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003C" w14:textId="77777777" w:rsidR="00DE7B59" w:rsidRDefault="00201DF0">
      <w:pPr>
        <w:spacing w:after="153"/>
        <w:ind w:left="-5"/>
      </w:pPr>
      <w:r>
        <w:t xml:space="preserve">Medellín, September 25, 2023</w:t>
      </w:r>
      <w:r>
        <w:t xml:space="preserve"> </w:t>
      </w:r>
    </w:p>
    <w:p w14:paraId="071EC3B5" w14:textId="77777777" w:rsidR="00DE7B59" w:rsidRDefault="00201DF0">
      <w:pPr>
        <w:spacing w:after="160" w:line="259" w:lineRule="auto"/>
        <w:ind w:left="0" w:firstLine="0"/>
        <w:jc w:val="left"/>
      </w:pPr>
      <w:r>
        <w:t xml:space="preserve"> </w:t>
      </w:r>
    </w:p>
    <w:p w14:paraId="4246BC4A" w14:textId="77777777" w:rsidR="00DE7B59" w:rsidRDefault="00201DF0">
      <w:pPr>
        <w:spacing w:after="177" w:line="259" w:lineRule="auto"/>
        <w:ind w:left="0" w:right="5" w:firstLine="0"/>
        <w:jc w:val="center"/>
      </w:pPr>
      <w:r>
        <w:rPr>
          <w:b/>
        </w:rPr>
        <w:t xml:space="preserve">Annex - Relevant Information</w:t>
      </w:r>
      <w:r>
        <w:rPr>
          <w:b/>
        </w:rPr>
        <w:t xml:space="preserve"> </w:t>
      </w:r>
    </w:p>
    <w:p w14:paraId="2EB22BF0" w14:textId="77777777" w:rsidR="00DE7B59" w:rsidRDefault="00201DF0">
      <w:pPr>
        <w:spacing w:after="175" w:line="259" w:lineRule="auto"/>
        <w:ind w:left="0" w:firstLine="0"/>
        <w:jc w:val="left"/>
      </w:pPr>
      <w:r>
        <w:t xml:space="preserve"> </w:t>
      </w:r>
    </w:p>
    <w:p w14:paraId="044C73DA" w14:textId="77777777" w:rsidR="00DE7B59" w:rsidRDefault="00201DF0">
      <w:pPr>
        <w:spacing w:after="165"/>
        <w:ind w:left="-5"/>
      </w:pPr>
      <w:r>
        <w:t xml:space="preserve">Regarding the information circulated in the media with respect to the process carried out by EPM to make a down payment of a credit operation with BID Invest in 2021, and the management of information with the bank and the National Government, the following are indicated:</w:t>
      </w:r>
      <w:r>
        <w:t xml:space="preserve"> </w:t>
      </w:r>
    </w:p>
    <w:p w14:paraId="040527A0" w14:textId="77777777" w:rsidR="00DE7B59" w:rsidRDefault="00201DF0">
      <w:pPr>
        <w:ind w:left="-5"/>
      </w:pPr>
      <w:r>
        <w:t xml:space="preserve">1.</w:t>
      </w:r>
      <w:r>
        <w:t xml:space="preserve"> </w:t>
      </w:r>
      <w:r>
        <w:t xml:space="preserve">As EPM reported in the relevant information mechanism on December 2, 2021, the sources of resources used for said down payment for USD 450 million were:</w:t>
      </w:r>
      <w:r>
        <w:t xml:space="preserve">  </w:t>
      </w:r>
      <w:r>
        <w:t xml:space="preserve">available in cash and cash equivalents that the company had available on the date of the payment agreement, in temporary investments and petty cash, as follows:</w:t>
      </w:r>
      <w:r>
        <w:t xml:space="preserve">  </w:t>
      </w:r>
    </w:p>
    <w:p w14:paraId="54CDC5CB" w14:textId="77777777" w:rsidR="00DE7B59" w:rsidRDefault="00201DF0">
      <w:pPr>
        <w:spacing w:after="16" w:line="259" w:lineRule="auto"/>
        <w:ind w:left="0" w:firstLine="0"/>
        <w:jc w:val="left"/>
      </w:pPr>
      <w:r>
        <w:t xml:space="preserve"> </w:t>
      </w:r>
    </w:p>
    <w:p w14:paraId="7529DE13" w14:textId="77777777" w:rsidR="00DE7B59" w:rsidRDefault="00201DF0">
      <w:pPr>
        <w:numPr>
          <w:ilvl w:val="0"/>
          <w:numId w:val="1"/>
        </w:numPr>
        <w:ind w:hanging="220"/>
      </w:pPr>
      <w:r>
        <w:t xml:space="preserve">Foreign currency:</w:t>
      </w:r>
      <w:r>
        <w:t xml:space="preserve"> </w:t>
      </w:r>
      <w:r>
        <w:t xml:space="preserve">USD $ 344 million</w:t>
      </w:r>
      <w:r>
        <w:t xml:space="preserve">  </w:t>
      </w:r>
    </w:p>
    <w:p w14:paraId="62397D3B" w14:textId="77777777" w:rsidR="00DE7B59" w:rsidRDefault="00201DF0">
      <w:pPr>
        <w:numPr>
          <w:ilvl w:val="0"/>
          <w:numId w:val="1"/>
        </w:numPr>
        <w:ind w:hanging="220"/>
      </w:pPr>
      <w:r>
        <w:t xml:space="preserve">Local currency.</w:t>
      </w:r>
      <w:r>
        <w:t xml:space="preserve">  </w:t>
      </w:r>
      <w:r>
        <w:tab/>
      </w:r>
      <w:r>
        <w:t xml:space="preserve">COP $ 840 billion</w:t>
      </w:r>
      <w:r>
        <w:t xml:space="preserve"> </w:t>
      </w:r>
    </w:p>
    <w:p w14:paraId="528623DD" w14:textId="77777777" w:rsidR="00DE7B59" w:rsidRDefault="00201DF0">
      <w:pPr>
        <w:spacing w:after="16" w:line="259" w:lineRule="auto"/>
        <w:ind w:left="0" w:firstLine="0"/>
        <w:jc w:val="left"/>
      </w:pPr>
      <w:r>
        <w:t xml:space="preserve"> </w:t>
      </w:r>
    </w:p>
    <w:p w14:paraId="7F1AB08B" w14:textId="77777777" w:rsidR="00DE7B59" w:rsidRDefault="00201DF0">
      <w:pPr>
        <w:numPr>
          <w:ilvl w:val="0"/>
          <w:numId w:val="2"/>
        </w:numPr>
      </w:pPr>
      <w:r>
        <w:t xml:space="preserve">The public credit operations executed by EPM in the periods prior to and following said down payment were carried out with resources different from those used to pay the BID Invest credit balance, as reported in detail in the financial statements published on the web page: </w:t>
      </w:r>
      <w:hyperlink r:id="rId5">
        <w:r>
          <w:rPr>
            <w:color w:val="0563C1"/>
            <w:u w:val="single" w:color="0563C1"/>
          </w:rPr>
          <w:t xml:space="preserve">https://cu.epm.com.co/inversionistas/informacion</w:t>
        </w:r>
      </w:hyperlink>
      <w:hyperlink r:id="rId6">
        <w:r>
          <w:rPr>
            <w:color w:val="0563C1"/>
            <w:u w:val="single" w:color="0563C1"/>
          </w:rPr>
          <w:t xml:space="preserve">-</w:t>
        </w:r>
      </w:hyperlink>
      <w:hyperlink r:id="rId7">
        <w:r>
          <w:rPr>
            <w:color w:val="0563C1"/>
            <w:u w:val="single" w:color="0563C1"/>
          </w:rPr>
          <w:t xml:space="preserve">financiera</w:t>
        </w:r>
      </w:hyperlink>
      <w:hyperlink r:id="rId8">
        <w:r>
          <w:t xml:space="preserve"> </w:t>
        </w:r>
      </w:hyperlink>
    </w:p>
    <w:p w14:paraId="3DF3CDD7" w14:textId="77777777" w:rsidR="00DE7B59" w:rsidRDefault="00201DF0">
      <w:pPr>
        <w:spacing w:after="17" w:line="259" w:lineRule="auto"/>
        <w:ind w:left="0" w:firstLine="0"/>
        <w:jc w:val="left"/>
      </w:pPr>
      <w:r>
        <w:t xml:space="preserve"> </w:t>
      </w:r>
    </w:p>
    <w:p w14:paraId="4D2C88FF" w14:textId="77777777" w:rsidR="00DE7B59" w:rsidRDefault="00201DF0">
      <w:pPr>
        <w:numPr>
          <w:ilvl w:val="0"/>
          <w:numId w:val="2"/>
        </w:numPr>
      </w:pPr>
      <w:r>
        <w:t xml:space="preserve">The information provided by EPM to the commercial bank, the relevant sector entities, and public investors in general follows strict criteria regarding timeliness, truth, and transparency.</w:t>
      </w:r>
      <w:r>
        <w:t xml:space="preserve"> </w:t>
      </w:r>
    </w:p>
    <w:p w14:paraId="40907AF3" w14:textId="77777777" w:rsidR="00DE7B59" w:rsidRDefault="00201DF0">
      <w:pPr>
        <w:spacing w:after="16" w:line="259" w:lineRule="auto"/>
        <w:ind w:left="0" w:firstLine="0"/>
        <w:jc w:val="left"/>
      </w:pPr>
      <w:r>
        <w:t xml:space="preserve"> </w:t>
      </w:r>
    </w:p>
    <w:p w14:paraId="01C98DBB" w14:textId="77777777" w:rsidR="00DE7B59" w:rsidRDefault="00201DF0">
      <w:pPr>
        <w:spacing w:after="19" w:line="259" w:lineRule="auto"/>
        <w:ind w:left="0" w:firstLine="0"/>
        <w:jc w:val="left"/>
      </w:pPr>
      <w:r>
        <w:t xml:space="preserve"> </w:t>
      </w:r>
    </w:p>
    <w:p w14:paraId="2C4EDD0E" w14:textId="77777777" w:rsidR="00DE7B59" w:rsidRDefault="00201DF0">
      <w:pPr>
        <w:spacing w:after="35" w:line="259" w:lineRule="auto"/>
        <w:ind w:left="0" w:firstLine="0"/>
        <w:jc w:val="left"/>
      </w:pPr>
      <w:r>
        <w:t xml:space="preserve"> </w:t>
      </w:r>
    </w:p>
    <w:p w14:paraId="68833CAD" w14:textId="77777777" w:rsidR="00DE7B59" w:rsidRDefault="00201DF0">
      <w:pPr>
        <w:spacing w:after="19" w:line="259" w:lineRule="auto"/>
        <w:ind w:left="0" w:firstLine="0"/>
        <w:jc w:val="left"/>
      </w:pPr>
      <w:r>
        <w:rPr>
          <w:sz w:val="24"/>
        </w:rPr>
        <w:t xml:space="preserve"> </w:t>
      </w:r>
    </w:p>
    <w:p w14:paraId="0DBB9A7C" w14:textId="77777777" w:rsidR="00DE7B59" w:rsidRDefault="00201DF0">
      <w:pPr>
        <w:spacing w:after="19" w:line="259" w:lineRule="auto"/>
        <w:ind w:left="0" w:firstLine="0"/>
        <w:jc w:val="left"/>
      </w:pPr>
      <w:r>
        <w:rPr>
          <w:sz w:val="24"/>
        </w:rPr>
        <w:t xml:space="preserve"> </w:t>
      </w:r>
    </w:p>
    <w:p w14:paraId="71222E28" w14:textId="77777777" w:rsidR="00DE7B59" w:rsidRDefault="00201DF0">
      <w:pPr>
        <w:spacing w:after="19" w:line="259" w:lineRule="auto"/>
        <w:ind w:left="0" w:firstLine="0"/>
        <w:jc w:val="left"/>
      </w:pPr>
      <w:r>
        <w:rPr>
          <w:sz w:val="24"/>
        </w:rPr>
        <w:t xml:space="preserve">  </w:t>
      </w:r>
    </w:p>
    <w:p w14:paraId="4751ADB1" w14:textId="77777777" w:rsidR="00DE7B59" w:rsidRDefault="00201DF0">
      <w:pPr>
        <w:spacing w:after="0" w:line="259" w:lineRule="auto"/>
        <w:ind w:left="0" w:firstLine="0"/>
        <w:jc w:val="left"/>
      </w:pPr>
      <w:r>
        <w:rPr>
          <w:sz w:val="24"/>
        </w:rPr>
        <w:t xml:space="preserve">   </w:t>
      </w:r>
    </w:p>
    <w:p w14:paraId="23812E34" w14:textId="77777777" w:rsidR="00DE7B59" w:rsidRDefault="00201DF0">
      <w:pPr>
        <w:spacing w:after="0" w:line="259" w:lineRule="auto"/>
        <w:ind w:left="0" w:firstLine="0"/>
        <w:jc w:val="left"/>
      </w:pPr>
      <w:r>
        <w:rPr>
          <w:sz w:val="24"/>
        </w:rPr>
        <w:t xml:space="preserve"> </w:t>
      </w:r>
    </w:p>
    <w:p w14:paraId="2DD63EA2" w14:textId="77777777" w:rsidR="00DE7B59" w:rsidRDefault="00201DF0">
      <w:pPr>
        <w:spacing w:after="0" w:line="259" w:lineRule="auto"/>
        <w:ind w:left="0" w:firstLine="0"/>
        <w:jc w:val="left"/>
      </w:pPr>
      <w:r>
        <w:rPr>
          <w:sz w:val="24"/>
        </w:rPr>
        <w:t xml:space="preserve"> </w:t>
      </w:r>
    </w:p>
    <w:p w14:paraId="0F2D9A1B" w14:textId="77777777" w:rsidR="00DE7B59" w:rsidRDefault="00201DF0">
      <w:pPr>
        <w:spacing w:after="0" w:line="259" w:lineRule="auto"/>
        <w:ind w:left="0" w:firstLine="0"/>
        <w:jc w:val="left"/>
      </w:pPr>
      <w:r>
        <w:rPr>
          <w:sz w:val="24"/>
        </w:rPr>
        <w:t xml:space="preserve"> </w:t>
      </w:r>
    </w:p>
    <w:p w14:paraId="637DBBB3" w14:textId="77777777" w:rsidR="00DE7B59" w:rsidRDefault="00201DF0">
      <w:pPr>
        <w:spacing w:after="0" w:line="259" w:lineRule="auto"/>
        <w:ind w:left="0" w:firstLine="0"/>
        <w:jc w:val="left"/>
      </w:pPr>
      <w:r>
        <w:rPr>
          <w:sz w:val="24"/>
        </w:rPr>
        <w:t xml:space="preserve"> </w:t>
      </w:r>
    </w:p>
    <w:p w14:paraId="69969D36" w14:textId="77777777" w:rsidR="00DE7B59" w:rsidRDefault="00201DF0">
      <w:pPr>
        <w:spacing w:after="160" w:line="259" w:lineRule="auto"/>
        <w:ind w:left="0" w:firstLine="0"/>
        <w:jc w:val="left"/>
      </w:pPr>
      <w:r>
        <w:rPr>
          <w:rFonts w:ascii="Calibri" w:hAnsi="Calibri"/>
        </w:rPr>
        <w:t xml:space="preserve">  </w:t>
      </w:r>
    </w:p>
    <w:p w14:paraId="521A22FE" w14:textId="77777777" w:rsidR="00DE7B59" w:rsidRDefault="00201DF0">
      <w:pPr>
        <w:spacing w:after="158" w:line="259" w:lineRule="auto"/>
        <w:ind w:left="0" w:firstLine="0"/>
        <w:jc w:val="left"/>
      </w:pPr>
      <w:r>
        <w:rPr>
          <w:rFonts w:ascii="Calibri" w:hAnsi="Calibri"/>
        </w:rPr>
        <w:t xml:space="preserve"> </w:t>
      </w:r>
    </w:p>
    <w:p w14:paraId="4FBD4636" w14:textId="77777777" w:rsidR="00DE7B59" w:rsidRDefault="00201DF0">
      <w:pPr>
        <w:spacing w:after="160" w:line="259" w:lineRule="auto"/>
        <w:ind w:left="0" w:firstLine="0"/>
        <w:jc w:val="left"/>
      </w:pPr>
      <w:r>
        <w:rPr>
          <w:rFonts w:ascii="Calibri" w:hAnsi="Calibri"/>
        </w:rPr>
        <w:t xml:space="preserve"> </w:t>
      </w:r>
    </w:p>
    <w:p w14:paraId="2B3B5A96" w14:textId="77777777" w:rsidR="00DE7B59" w:rsidRDefault="00201DF0">
      <w:pPr>
        <w:spacing w:after="0" w:line="259" w:lineRule="auto"/>
        <w:ind w:left="0" w:firstLine="0"/>
        <w:jc w:val="left"/>
      </w:pPr>
      <w:r>
        <w:rPr>
          <w:rFonts w:ascii="Calibri" w:hAnsi="Calibri"/>
        </w:rPr>
        <w:t xml:space="preserve"> </w:t>
      </w:r>
    </w:p>
    <w:sectPr w:rsidR="00DE7B59">
      <w:pgSz w:w="12240" w:h="15840"/>
      <w:pgMar w:top="1440" w:right="1695"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A06"/>
    <w:multiLevelType w:val="hybridMultilevel"/>
    <w:tmpl w:val="FEF6D8CA"/>
    <w:lvl w:ilvl="0" w:tplc="51801AAC">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80E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E65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666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898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AAE3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4FC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8BB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4F2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D810AF"/>
    <w:multiLevelType w:val="hybridMultilevel"/>
    <w:tmpl w:val="7B4451A6"/>
    <w:lvl w:ilvl="0" w:tplc="DF0A4300">
      <w:start w:val="1"/>
      <w:numFmt w:val="lowerRoman"/>
      <w:lvlText w:val="%1."/>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AF9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B079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D42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450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10ED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388D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269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5832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01710879">
    <w:abstractNumId w:val="1"/>
  </w:num>
  <w:num w:numId="2" w16cid:durableId="183587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59"/>
    <w:rsid w:val="00201DF0"/>
    <w:rsid w:val="00DE7B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E55FDD9"/>
  <w15:docId w15:val="{CC3E1B3C-1B1A-41AA-8F75-0877E61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7"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s://cu.epm.com.co/inversionistas/informacion-financiera" TargetMode="External"/><Relationship Id="rId3" Type="http://schemas.openxmlformats.org/officeDocument/2006/relationships/settings" Target="settings.xml"/><Relationship Id="rId7" Type="http://schemas.openxmlformats.org/officeDocument/2006/relationships/hyperlink" Target="https://cu.epm.com.co/inversionistas/informacion-financi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epm.com.co/inversionistas/informacion-financiera" TargetMode="External"/><Relationship Id="rId5" Type="http://schemas.openxmlformats.org/officeDocument/2006/relationships/hyperlink" Target="https://cu.epm.com.co/inversionistas/informacion-financie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1403</Characters>
  <Application>Microsoft Office Word</Application>
  <DocSecurity>4</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dc:creator>
  <cp:keywords/>
  <cp:lastModifiedBy>Felipe Franco-PT</cp:lastModifiedBy>
  <cp:revision>2</cp:revision>
  <dcterms:created xsi:type="dcterms:W3CDTF">2023-09-26T16:42:00Z</dcterms:created>
  <dcterms:modified xsi:type="dcterms:W3CDTF">2023-09-26T16:42:00Z</dcterms:modified>
</cp:coreProperties>
</file>