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D3C67" w14:textId="77777777" w:rsidR="00BF5D88" w:rsidRDefault="00BF5D88" w:rsidP="00F80B00">
      <w:pPr>
        <w:pStyle w:val="Default"/>
        <w:jc w:val="both"/>
        <w:rPr>
          <w:b/>
          <w:bCs/>
          <w:i/>
          <w:iCs/>
          <w:color w:val="79D300"/>
        </w:rPr>
      </w:pPr>
    </w:p>
    <w:p w14:paraId="2C7FAADA" w14:textId="2BC5B334" w:rsidR="00A64704" w:rsidRDefault="00A27F6B" w:rsidP="00F80B00">
      <w:pPr>
        <w:pStyle w:val="Default"/>
        <w:jc w:val="both"/>
        <w:rPr>
          <w:b/>
          <w:bCs/>
          <w:i/>
          <w:iCs/>
          <w:color w:val="79D300"/>
        </w:rPr>
      </w:pPr>
      <w:r>
        <w:rPr>
          <w:b/>
          <w:bCs/>
          <w:i/>
          <w:iCs/>
          <w:color w:val="79D300"/>
        </w:rPr>
        <w:t>Modificación</w:t>
      </w:r>
      <w:r w:rsidR="00A64704">
        <w:rPr>
          <w:b/>
          <w:bCs/>
          <w:i/>
          <w:iCs/>
          <w:color w:val="79D300"/>
        </w:rPr>
        <w:t xml:space="preserve"> CCU</w:t>
      </w:r>
      <w:r>
        <w:rPr>
          <w:b/>
          <w:bCs/>
          <w:i/>
          <w:iCs/>
          <w:color w:val="79D300"/>
        </w:rPr>
        <w:t xml:space="preserve"> </w:t>
      </w:r>
      <w:r w:rsidR="00DC6C06">
        <w:rPr>
          <w:b/>
          <w:bCs/>
          <w:i/>
          <w:iCs/>
          <w:color w:val="79D300"/>
        </w:rPr>
        <w:t>Energía</w:t>
      </w:r>
    </w:p>
    <w:p w14:paraId="1E8BD00F" w14:textId="77777777" w:rsidR="00A64704" w:rsidRPr="002B341B" w:rsidRDefault="00A64704" w:rsidP="00F80B00">
      <w:pPr>
        <w:pStyle w:val="Default"/>
        <w:jc w:val="both"/>
        <w:rPr>
          <w:b/>
          <w:bCs/>
          <w:i/>
          <w:iCs/>
          <w:color w:val="79D300"/>
        </w:rPr>
      </w:pPr>
    </w:p>
    <w:p w14:paraId="1236BDAF" w14:textId="77777777" w:rsidR="005345B7" w:rsidRDefault="00335C29" w:rsidP="002B341B">
      <w:pPr>
        <w:pStyle w:val="Default"/>
        <w:jc w:val="both"/>
      </w:pPr>
      <w:r w:rsidRPr="002B341B">
        <w:rPr>
          <w:b/>
          <w:bCs/>
          <w:i/>
          <w:iCs/>
          <w:color w:val="79D300"/>
        </w:rPr>
        <w:t xml:space="preserve">Cláusula </w:t>
      </w:r>
      <w:r w:rsidR="00E202C3">
        <w:rPr>
          <w:b/>
          <w:bCs/>
          <w:i/>
          <w:iCs/>
          <w:color w:val="79D300"/>
        </w:rPr>
        <w:t>49</w:t>
      </w:r>
      <w:r w:rsidRPr="002B341B">
        <w:rPr>
          <w:b/>
          <w:bCs/>
          <w:i/>
          <w:iCs/>
          <w:color w:val="79D300"/>
        </w:rPr>
        <w:t>. Desviaciones significativas</w:t>
      </w:r>
      <w:r w:rsidRPr="00335C29">
        <w:rPr>
          <w:b/>
          <w:bCs/>
          <w:i/>
          <w:iCs/>
          <w:color w:val="79D300"/>
          <w:sz w:val="23"/>
          <w:szCs w:val="23"/>
        </w:rPr>
        <w:t>:</w:t>
      </w:r>
      <w:r w:rsidR="00E202C3">
        <w:rPr>
          <w:b/>
          <w:bCs/>
          <w:i/>
          <w:iCs/>
          <w:color w:val="79D300"/>
          <w:sz w:val="23"/>
          <w:szCs w:val="23"/>
        </w:rPr>
        <w:t xml:space="preserve"> </w:t>
      </w:r>
      <w:r w:rsidR="00E202C3">
        <w:t>Para elaborar las facturas, es obligación de las empresas adoptar mecanismos eficientes que permitan someter su facturación a investigación de desviaciones significativas entre el consumo registrado del suscriptor o usuario durante un período de facturación y sus promedios de consumo anteriores.</w:t>
      </w:r>
    </w:p>
    <w:p w14:paraId="773AD588" w14:textId="77777777" w:rsidR="005345B7" w:rsidRDefault="005345B7" w:rsidP="002B341B">
      <w:pPr>
        <w:pStyle w:val="Default"/>
        <w:jc w:val="both"/>
      </w:pPr>
    </w:p>
    <w:p w14:paraId="0468927B" w14:textId="169D5D65" w:rsidR="00F80B00" w:rsidRPr="001011A1" w:rsidRDefault="005345B7" w:rsidP="002B341B">
      <w:pPr>
        <w:pStyle w:val="Default"/>
        <w:jc w:val="both"/>
        <w:rPr>
          <w:i/>
          <w:iCs/>
          <w:color w:val="7F7F7F" w:themeColor="text1" w:themeTint="80"/>
          <w:sz w:val="23"/>
          <w:szCs w:val="23"/>
        </w:rPr>
      </w:pPr>
      <w:r w:rsidRPr="005345B7">
        <w:rPr>
          <w:b/>
          <w:bCs/>
          <w:i/>
          <w:iCs/>
          <w:color w:val="79D300"/>
        </w:rPr>
        <w:t>Parágrafo 1</w:t>
      </w:r>
      <w:r>
        <w:rPr>
          <w:b/>
          <w:bCs/>
          <w:i/>
          <w:iCs/>
          <w:color w:val="79D300"/>
        </w:rPr>
        <w:t>.</w:t>
      </w:r>
      <w:r w:rsidR="00335C29">
        <w:rPr>
          <w:i/>
          <w:iCs/>
          <w:color w:val="79D300"/>
          <w:sz w:val="23"/>
          <w:szCs w:val="23"/>
        </w:rPr>
        <w:t xml:space="preserve"> </w:t>
      </w:r>
      <w:r w:rsidR="002B341B">
        <w:t>Se entenderá por desviaciones significativas, en el período de facturación correspondiente, la variación en los consumos que estén por encima o por debajo de los límites establecidos conforme al siguiente procedimiento:</w:t>
      </w:r>
    </w:p>
    <w:p w14:paraId="4F107EA4" w14:textId="46D7336B" w:rsidR="00D9497D" w:rsidRDefault="00D9497D" w:rsidP="00F80B00">
      <w:pPr>
        <w:pStyle w:val="Default"/>
        <w:spacing w:after="5"/>
        <w:jc w:val="both"/>
        <w:rPr>
          <w:b/>
          <w:bCs/>
          <w:i/>
          <w:iCs/>
          <w:color w:val="79D300"/>
          <w:sz w:val="23"/>
          <w:szCs w:val="23"/>
        </w:rPr>
      </w:pPr>
    </w:p>
    <w:p w14:paraId="7D2EDB70" w14:textId="281F7E87" w:rsidR="002B341B" w:rsidRDefault="002B341B" w:rsidP="002B341B">
      <w:pPr>
        <w:pStyle w:val="Default"/>
        <w:spacing w:after="5"/>
        <w:jc w:val="both"/>
      </w:pPr>
      <w:r w:rsidRPr="002B341B">
        <w:rPr>
          <w:b/>
          <w:bCs/>
          <w:i/>
          <w:iCs/>
          <w:color w:val="79D300"/>
        </w:rPr>
        <w:t>1. Base de información</w:t>
      </w:r>
      <w:r w:rsidRPr="002B341B">
        <w:rPr>
          <w:b/>
          <w:bCs/>
          <w:i/>
          <w:iCs/>
          <w:color w:val="79D300"/>
          <w:sz w:val="23"/>
          <w:szCs w:val="23"/>
        </w:rPr>
        <w:t>:</w:t>
      </w:r>
      <w:r>
        <w:t xml:space="preserve"> Se utilizará la información de los consumos reales del usuario de las facturas de los últimos doce (12) períodos anteriores al mes de análisis y que tengan consumo diferente a cero, si la facturación es mensual o de los últimos seis (6) períodos si la facturación es bimestral o de los últimos cuatro (4) períodos si la facturación es trimestral.</w:t>
      </w:r>
    </w:p>
    <w:p w14:paraId="703B0878" w14:textId="77777777" w:rsidR="002B341B" w:rsidRDefault="002B341B" w:rsidP="002B341B">
      <w:pPr>
        <w:pStyle w:val="Default"/>
        <w:spacing w:after="5"/>
        <w:jc w:val="both"/>
      </w:pPr>
    </w:p>
    <w:p w14:paraId="3C8BFC0A" w14:textId="77777777" w:rsidR="002B341B" w:rsidRDefault="002B341B" w:rsidP="002B341B">
      <w:pPr>
        <w:pStyle w:val="Default"/>
        <w:spacing w:after="5"/>
        <w:jc w:val="both"/>
      </w:pPr>
      <w:r w:rsidRPr="002B341B">
        <w:rPr>
          <w:b/>
          <w:bCs/>
          <w:i/>
          <w:iCs/>
          <w:color w:val="79D300"/>
        </w:rPr>
        <w:t>2. Tratamiento de la información:</w:t>
      </w:r>
      <w:r>
        <w:t xml:space="preserve"> Cada uno de los consumos reales entendido como la diferencia de las lecturas del medidor, correspondientes a las facturas de los últimos doce (12) períodos anteriores al mes de análisis y que tengan consumo diferente a cero se normalizarán a meses de treinta (30) días, dividiendo el consumo facturado en cada mes, entre el número de días efectivamente facturados, y luego el resultado se multiplicará por treinta (30), si la facturación es mensual o por sesenta (60) si la facturación es bimestral o por noventa (90) si la factura es trimestral. </w:t>
      </w:r>
    </w:p>
    <w:p w14:paraId="76805023" w14:textId="77777777" w:rsidR="002B341B" w:rsidRDefault="002B341B" w:rsidP="002B341B">
      <w:pPr>
        <w:pStyle w:val="Default"/>
        <w:spacing w:after="5"/>
        <w:jc w:val="both"/>
      </w:pPr>
    </w:p>
    <w:p w14:paraId="193B5CEB" w14:textId="2B3E24C9" w:rsidR="002B341B" w:rsidRDefault="002B341B" w:rsidP="002B341B">
      <w:pPr>
        <w:pStyle w:val="Default"/>
        <w:spacing w:after="5"/>
        <w:jc w:val="both"/>
      </w:pPr>
      <w:r w:rsidRPr="002B341B">
        <w:rPr>
          <w:b/>
          <w:bCs/>
          <w:i/>
          <w:iCs/>
          <w:color w:val="79D300"/>
        </w:rPr>
        <w:t xml:space="preserve">3. Cálculo del </w:t>
      </w:r>
      <w:r>
        <w:rPr>
          <w:b/>
          <w:bCs/>
          <w:i/>
          <w:iCs/>
          <w:color w:val="79D300"/>
        </w:rPr>
        <w:t xml:space="preserve">consumo </w:t>
      </w:r>
      <w:r w:rsidRPr="002B341B">
        <w:rPr>
          <w:b/>
          <w:bCs/>
          <w:i/>
          <w:iCs/>
          <w:color w:val="79D300"/>
        </w:rPr>
        <w:t>promedio histórico:</w:t>
      </w:r>
      <w:r>
        <w:t xml:space="preserve"> Con los valores obtenidos en el numeral anterior, se calculará el promedio simple del consumo del usuario, el cual se tomará como el consumo promedio histórico para desviación significativa del periodo de facturación, el cual es diferente al consumo promedio definido en el artículo 1 de la Resolución CREG 108 de 1997 o aquella que la modifique, adicion</w:t>
      </w:r>
      <w:r w:rsidR="007D5C5B">
        <w:t>e</w:t>
      </w:r>
      <w:r>
        <w:t xml:space="preserve"> o sustituya. </w:t>
      </w:r>
    </w:p>
    <w:p w14:paraId="6375FF59" w14:textId="77777777" w:rsidR="002B341B" w:rsidRDefault="002B341B" w:rsidP="002B341B">
      <w:pPr>
        <w:pStyle w:val="Default"/>
        <w:spacing w:after="5"/>
        <w:jc w:val="both"/>
      </w:pPr>
    </w:p>
    <w:p w14:paraId="4C1B2724" w14:textId="77777777" w:rsidR="002B341B" w:rsidRDefault="002B341B" w:rsidP="002B341B">
      <w:pPr>
        <w:pStyle w:val="Default"/>
        <w:spacing w:after="5"/>
        <w:jc w:val="both"/>
      </w:pPr>
      <w:r w:rsidRPr="002B341B">
        <w:rPr>
          <w:b/>
          <w:bCs/>
          <w:i/>
          <w:iCs/>
          <w:color w:val="79D300"/>
        </w:rPr>
        <w:t>4. Desviación estándar:</w:t>
      </w:r>
      <w:r>
        <w:t xml:space="preserve"> A partir de los valores obtenidos de los numerales dos y tres anteriores, se calculará la desviación estándar poblacional, la cual se determina conforme a lo siguiente: </w:t>
      </w:r>
    </w:p>
    <w:p w14:paraId="03D2F986" w14:textId="77777777" w:rsidR="002B341B" w:rsidRDefault="002B341B" w:rsidP="002B341B">
      <w:pPr>
        <w:pStyle w:val="Default"/>
        <w:spacing w:after="5"/>
        <w:jc w:val="both"/>
      </w:pPr>
    </w:p>
    <w:p w14:paraId="0E0CCE8F" w14:textId="77521050" w:rsidR="002B341B" w:rsidRDefault="002B341B" w:rsidP="002B341B">
      <w:pPr>
        <w:pStyle w:val="Default"/>
        <w:spacing w:after="5"/>
        <w:jc w:val="both"/>
      </w:pPr>
      <w:r w:rsidRPr="002B341B">
        <w:rPr>
          <w:b/>
          <w:bCs/>
          <w:i/>
          <w:iCs/>
          <w:color w:val="79D300"/>
        </w:rPr>
        <w:t>a</w:t>
      </w:r>
      <w:r w:rsidRPr="002B341B">
        <w:rPr>
          <w:b/>
          <w:bCs/>
          <w:i/>
          <w:iCs/>
          <w:color w:val="79D300"/>
          <w:sz w:val="23"/>
          <w:szCs w:val="23"/>
        </w:rPr>
        <w:t>)</w:t>
      </w:r>
      <w:r>
        <w:t xml:space="preserve"> Se </w:t>
      </w:r>
      <w:r w:rsidR="00E202C3">
        <w:t>calcula</w:t>
      </w:r>
      <w:r>
        <w:t xml:space="preserve"> para cada periodo histórico de facturación, el cuadrado de la diferencia de cada consumo normalizado, obtenido en el numeral 2, con respecto al consumo promedio histórico para desviación significativa resultante de la aplicación del numeral 3. </w:t>
      </w:r>
    </w:p>
    <w:p w14:paraId="165B3FFC" w14:textId="77777777" w:rsidR="002B341B" w:rsidRDefault="002B341B" w:rsidP="002B341B">
      <w:pPr>
        <w:pStyle w:val="Default"/>
        <w:spacing w:after="5"/>
        <w:jc w:val="both"/>
      </w:pPr>
    </w:p>
    <w:p w14:paraId="3502E87A" w14:textId="77777777" w:rsidR="002B341B" w:rsidRDefault="002B341B" w:rsidP="002B341B">
      <w:pPr>
        <w:pStyle w:val="Default"/>
        <w:spacing w:after="5"/>
        <w:jc w:val="both"/>
      </w:pPr>
      <w:r w:rsidRPr="002B341B">
        <w:rPr>
          <w:b/>
          <w:bCs/>
          <w:i/>
          <w:iCs/>
          <w:color w:val="79D300"/>
        </w:rPr>
        <w:t>b</w:t>
      </w:r>
      <w:r w:rsidRPr="002B341B">
        <w:rPr>
          <w:b/>
          <w:bCs/>
          <w:i/>
          <w:iCs/>
          <w:color w:val="79D300"/>
          <w:sz w:val="23"/>
          <w:szCs w:val="23"/>
        </w:rPr>
        <w:t>)</w:t>
      </w:r>
      <w:r>
        <w:t xml:space="preserve"> Se realiza la sumatoria de los valores resultantes en el literal a). </w:t>
      </w:r>
    </w:p>
    <w:p w14:paraId="5B852BF4" w14:textId="77777777" w:rsidR="002B341B" w:rsidRDefault="002B341B" w:rsidP="002B341B">
      <w:pPr>
        <w:pStyle w:val="Default"/>
        <w:spacing w:after="5"/>
        <w:jc w:val="both"/>
      </w:pPr>
    </w:p>
    <w:p w14:paraId="459EE395" w14:textId="546C6872" w:rsidR="002B341B" w:rsidRDefault="002B341B" w:rsidP="002B341B">
      <w:pPr>
        <w:pStyle w:val="Default"/>
        <w:spacing w:after="5"/>
        <w:jc w:val="both"/>
      </w:pPr>
      <w:r w:rsidRPr="002B341B">
        <w:rPr>
          <w:b/>
          <w:bCs/>
          <w:i/>
          <w:iCs/>
          <w:color w:val="79D300"/>
        </w:rPr>
        <w:t>c</w:t>
      </w:r>
      <w:r w:rsidRPr="002B341B">
        <w:rPr>
          <w:b/>
          <w:bCs/>
          <w:i/>
          <w:iCs/>
          <w:color w:val="79D300"/>
          <w:sz w:val="23"/>
          <w:szCs w:val="23"/>
        </w:rPr>
        <w:t>)</w:t>
      </w:r>
      <w:r>
        <w:t xml:space="preserve"> El resultado del literal b) se divide entre el número total de datos analizados (12, 6 </w:t>
      </w:r>
      <w:r w:rsidR="001F605C">
        <w:t>o</w:t>
      </w:r>
      <w:r>
        <w:t xml:space="preserve"> 4 según corresponda). </w:t>
      </w:r>
    </w:p>
    <w:p w14:paraId="02B11EC5" w14:textId="77777777" w:rsidR="002B341B" w:rsidRDefault="002B341B" w:rsidP="002B341B">
      <w:pPr>
        <w:pStyle w:val="Default"/>
        <w:spacing w:after="5"/>
        <w:jc w:val="both"/>
      </w:pPr>
    </w:p>
    <w:p w14:paraId="2352E364" w14:textId="7B8D9C46" w:rsidR="002B341B" w:rsidRDefault="002B341B" w:rsidP="002B341B">
      <w:pPr>
        <w:pStyle w:val="Default"/>
        <w:spacing w:after="5"/>
        <w:jc w:val="both"/>
      </w:pPr>
      <w:r w:rsidRPr="002B341B">
        <w:rPr>
          <w:b/>
          <w:bCs/>
          <w:i/>
          <w:iCs/>
          <w:color w:val="79D300"/>
        </w:rPr>
        <w:lastRenderedPageBreak/>
        <w:t>d)</w:t>
      </w:r>
      <w:r>
        <w:t xml:space="preserve"> La desviación estándar poblacional corresponderá al cálculo de la raíz cuadrada del valor obtenido en el literal c). El valor resultante corresponderá a la desviación estándar para el periodo de facturación en análisis.</w:t>
      </w:r>
    </w:p>
    <w:p w14:paraId="218BEAF5" w14:textId="77777777" w:rsidR="002B341B" w:rsidRDefault="002B341B" w:rsidP="002B341B">
      <w:pPr>
        <w:pStyle w:val="Default"/>
        <w:spacing w:after="5"/>
        <w:jc w:val="both"/>
      </w:pPr>
    </w:p>
    <w:p w14:paraId="3DA142D3" w14:textId="77777777" w:rsidR="002B341B" w:rsidRDefault="002B341B" w:rsidP="002B341B">
      <w:pPr>
        <w:pStyle w:val="Default"/>
        <w:spacing w:after="5"/>
        <w:jc w:val="both"/>
      </w:pPr>
    </w:p>
    <w:p w14:paraId="7F4A3F2B" w14:textId="77777777" w:rsidR="002B341B" w:rsidRDefault="002B341B" w:rsidP="002B341B">
      <w:pPr>
        <w:pStyle w:val="Default"/>
        <w:spacing w:after="5"/>
        <w:jc w:val="both"/>
      </w:pPr>
      <w:r w:rsidRPr="002B341B">
        <w:rPr>
          <w:b/>
          <w:bCs/>
          <w:i/>
          <w:iCs/>
          <w:color w:val="79D300"/>
          <w:sz w:val="23"/>
          <w:szCs w:val="23"/>
        </w:rPr>
        <w:t>5. Definición de límites para determinar el inicio de la investigación por desviaciones significativas:</w:t>
      </w:r>
      <w:r>
        <w:t xml:space="preserve"> </w:t>
      </w:r>
    </w:p>
    <w:p w14:paraId="090EFC9C" w14:textId="77777777" w:rsidR="002B341B" w:rsidRDefault="002B341B" w:rsidP="002B341B">
      <w:pPr>
        <w:pStyle w:val="Default"/>
        <w:spacing w:after="5"/>
        <w:jc w:val="both"/>
      </w:pPr>
    </w:p>
    <w:p w14:paraId="155B4537" w14:textId="5EFFEF8D" w:rsidR="002B341B" w:rsidRDefault="002B341B" w:rsidP="002B341B">
      <w:pPr>
        <w:pStyle w:val="Default"/>
        <w:spacing w:after="5"/>
        <w:jc w:val="both"/>
      </w:pPr>
      <w:r w:rsidRPr="002B341B">
        <w:rPr>
          <w:b/>
          <w:bCs/>
          <w:i/>
          <w:iCs/>
          <w:color w:val="79D300"/>
          <w:sz w:val="23"/>
          <w:szCs w:val="23"/>
        </w:rPr>
        <w:t>5.1.</w:t>
      </w:r>
      <w:r>
        <w:t xml:space="preserve"> </w:t>
      </w:r>
      <w:r w:rsidR="00E202C3" w:rsidRPr="002B341B">
        <w:rPr>
          <w:b/>
          <w:bCs/>
          <w:i/>
          <w:iCs/>
          <w:color w:val="79D300"/>
        </w:rPr>
        <w:t>Límite</w:t>
      </w:r>
      <w:r w:rsidRPr="002B341B">
        <w:rPr>
          <w:b/>
          <w:bCs/>
          <w:i/>
          <w:iCs/>
          <w:color w:val="79D300"/>
        </w:rPr>
        <w:t xml:space="preserve"> </w:t>
      </w:r>
      <w:r>
        <w:rPr>
          <w:b/>
          <w:bCs/>
          <w:i/>
          <w:iCs/>
          <w:color w:val="79D300"/>
        </w:rPr>
        <w:t>s</w:t>
      </w:r>
      <w:r w:rsidRPr="002B341B">
        <w:rPr>
          <w:b/>
          <w:bCs/>
          <w:i/>
          <w:iCs/>
          <w:color w:val="79D300"/>
        </w:rPr>
        <w:t>uperior:</w:t>
      </w:r>
      <w:r>
        <w:t xml:space="preserve"> El límite superior para el periodo de facturación de análisis del suscriptor o usuario corresponderá al consumo promedio histórico para desviación significativa del periodo de facturación más tres (3) desviaciones estándar. </w:t>
      </w:r>
    </w:p>
    <w:p w14:paraId="7B36DB90" w14:textId="77777777" w:rsidR="002B341B" w:rsidRDefault="002B341B" w:rsidP="002B341B">
      <w:pPr>
        <w:pStyle w:val="Default"/>
        <w:spacing w:after="5"/>
        <w:jc w:val="both"/>
      </w:pPr>
    </w:p>
    <w:p w14:paraId="42C764F2" w14:textId="70A2DB75" w:rsidR="002B341B" w:rsidRDefault="002B341B" w:rsidP="002B341B">
      <w:pPr>
        <w:pStyle w:val="Default"/>
        <w:spacing w:after="5"/>
        <w:jc w:val="both"/>
      </w:pPr>
      <w:r w:rsidRPr="002B341B">
        <w:rPr>
          <w:b/>
          <w:bCs/>
          <w:i/>
          <w:iCs/>
          <w:color w:val="79D300"/>
          <w:sz w:val="23"/>
          <w:szCs w:val="23"/>
        </w:rPr>
        <w:t>5.2</w:t>
      </w:r>
      <w:r>
        <w:t xml:space="preserve">. </w:t>
      </w:r>
      <w:r w:rsidRPr="002B341B">
        <w:rPr>
          <w:b/>
          <w:bCs/>
          <w:i/>
          <w:iCs/>
          <w:color w:val="79D300"/>
        </w:rPr>
        <w:t>Límite</w:t>
      </w:r>
      <w:r>
        <w:rPr>
          <w:b/>
          <w:bCs/>
          <w:i/>
          <w:iCs/>
          <w:color w:val="79D300"/>
        </w:rPr>
        <w:t xml:space="preserve"> </w:t>
      </w:r>
      <w:r w:rsidRPr="002B341B">
        <w:rPr>
          <w:b/>
          <w:bCs/>
          <w:i/>
          <w:iCs/>
          <w:color w:val="79D300"/>
        </w:rPr>
        <w:t>inferior:</w:t>
      </w:r>
      <w:r>
        <w:t xml:space="preserve"> El límite inferior para el periodo de facturación del usuario corresponderá al máximo entre cero y el resultado de tomar el consumo promedio histórico para desviación significativa del periodo de facturación y restarle tres (3) deviaciones estándar.</w:t>
      </w:r>
    </w:p>
    <w:p w14:paraId="1A3C3696" w14:textId="77777777" w:rsidR="001F5FBD" w:rsidRPr="001F605C" w:rsidRDefault="001F5FBD" w:rsidP="002B341B">
      <w:pPr>
        <w:pStyle w:val="Default"/>
        <w:spacing w:after="5"/>
        <w:jc w:val="both"/>
        <w:rPr>
          <w:b/>
          <w:i/>
          <w:color w:val="79D300"/>
        </w:rPr>
      </w:pPr>
    </w:p>
    <w:p w14:paraId="306779B7" w14:textId="5B5D02AB" w:rsidR="002B341B" w:rsidRDefault="002B341B" w:rsidP="002B341B">
      <w:pPr>
        <w:pStyle w:val="Default"/>
        <w:spacing w:after="5"/>
        <w:jc w:val="both"/>
        <w:rPr>
          <w:b/>
          <w:bCs/>
          <w:i/>
          <w:iCs/>
          <w:color w:val="79D300"/>
        </w:rPr>
      </w:pPr>
      <w:r w:rsidRPr="002B341B">
        <w:rPr>
          <w:b/>
          <w:bCs/>
          <w:i/>
          <w:iCs/>
          <w:color w:val="79D300"/>
        </w:rPr>
        <w:t xml:space="preserve">6. Serán indicadores de inicio de investigaciones por desviaciones significativas los siguientes: </w:t>
      </w:r>
    </w:p>
    <w:p w14:paraId="65D56689" w14:textId="77777777" w:rsidR="002B341B" w:rsidRPr="002B341B" w:rsidRDefault="002B341B" w:rsidP="002B341B">
      <w:pPr>
        <w:pStyle w:val="Default"/>
        <w:spacing w:after="5"/>
        <w:jc w:val="both"/>
        <w:rPr>
          <w:b/>
          <w:bCs/>
          <w:i/>
          <w:iCs/>
          <w:color w:val="79D300"/>
        </w:rPr>
      </w:pPr>
    </w:p>
    <w:p w14:paraId="3EE89FD4" w14:textId="716E52B2" w:rsidR="002B341B" w:rsidRDefault="002B341B" w:rsidP="002B341B">
      <w:pPr>
        <w:pStyle w:val="Default"/>
        <w:spacing w:after="5"/>
        <w:jc w:val="both"/>
      </w:pPr>
      <w:r w:rsidRPr="002B341B">
        <w:rPr>
          <w:b/>
          <w:bCs/>
          <w:i/>
          <w:iCs/>
          <w:color w:val="79D300"/>
        </w:rPr>
        <w:t>6.1.</w:t>
      </w:r>
      <w:r>
        <w:t xml:space="preserve"> El consumo que se registre en el mes de análisis, una vez normalizado a treinta (30) días, se dividirá entre el límite superior calculado anteriormente para cada periodo, y luego se multiplicará por 100. En el caso de que este resultado sea superior a 100, será obligación de la empresa iniciar un proceso de investigación por desviación significativa.</w:t>
      </w:r>
    </w:p>
    <w:p w14:paraId="76D47304" w14:textId="77777777" w:rsidR="002B341B" w:rsidRDefault="002B341B" w:rsidP="002B341B">
      <w:pPr>
        <w:pStyle w:val="Default"/>
        <w:spacing w:after="5"/>
        <w:jc w:val="both"/>
      </w:pPr>
    </w:p>
    <w:p w14:paraId="78FE15B1" w14:textId="41911594" w:rsidR="002B341B" w:rsidRDefault="002B341B" w:rsidP="002B341B">
      <w:pPr>
        <w:pStyle w:val="Default"/>
        <w:spacing w:after="5"/>
        <w:jc w:val="both"/>
      </w:pPr>
      <w:r w:rsidRPr="002B341B">
        <w:rPr>
          <w:b/>
          <w:bCs/>
          <w:i/>
          <w:iCs/>
          <w:color w:val="79D300"/>
        </w:rPr>
        <w:t>6.2.</w:t>
      </w:r>
      <w:r>
        <w:t xml:space="preserve"> El consumo que se registre en el mes de análisis, una vez normalizado a treinta (30) días, se dividirá entre el límite inferior calculado anteriormente para cada periodo, siempre y cuando este sea mayor a cero, y luego se multiplicará por 100. En el caso de que este resultado sea menor al 100, la empresa podrá iniciar un proceso de investigación por desviación significativa.</w:t>
      </w:r>
      <w:r w:rsidR="005345B7">
        <w:t xml:space="preserve"> En este escenario la empresa podrá decidir si realiza o no la investigación por desviación significativa.</w:t>
      </w:r>
    </w:p>
    <w:p w14:paraId="2263A5D6" w14:textId="77777777" w:rsidR="006B68B3" w:rsidRDefault="006B68B3" w:rsidP="002B341B">
      <w:pPr>
        <w:pStyle w:val="Default"/>
        <w:spacing w:after="5"/>
        <w:jc w:val="both"/>
      </w:pPr>
    </w:p>
    <w:p w14:paraId="35BFDE32" w14:textId="5B1080C7" w:rsidR="00AB0D72" w:rsidRPr="00E740E1" w:rsidRDefault="00AB0D72" w:rsidP="00AB0D72">
      <w:pPr>
        <w:pStyle w:val="Default"/>
        <w:spacing w:after="5"/>
        <w:jc w:val="both"/>
        <w:rPr>
          <w:rFonts w:cs="Aptos"/>
          <w:color w:val="auto"/>
        </w:rPr>
      </w:pPr>
      <w:r w:rsidRPr="001F605C">
        <w:rPr>
          <w:b/>
          <w:bCs/>
          <w:i/>
          <w:iCs/>
          <w:color w:val="79D300"/>
        </w:rPr>
        <w:t>6.3.</w:t>
      </w:r>
      <w:r w:rsidRPr="00E740E1">
        <w:rPr>
          <w:color w:val="auto"/>
        </w:rPr>
        <w:t xml:space="preserve"> En caso de que se cumpla alguna de las condiciones establecidas en los numerales 6.1 o 6.2, la Empresa podrá evaluar mediante el uso de modelos analíticos la pertinencia de realizar la revisión técnica en terreno, la lógica que incluyen estos modelos consiste en:</w:t>
      </w:r>
    </w:p>
    <w:p w14:paraId="1CBBF696" w14:textId="77777777" w:rsidR="00AB0D72" w:rsidRPr="00E740E1" w:rsidRDefault="00AB0D72" w:rsidP="00AB0D72">
      <w:pPr>
        <w:pStyle w:val="Default"/>
        <w:spacing w:after="5"/>
        <w:jc w:val="both"/>
        <w:rPr>
          <w:color w:val="auto"/>
        </w:rPr>
      </w:pPr>
    </w:p>
    <w:p w14:paraId="71EFAAD6" w14:textId="77777777" w:rsidR="00AB0D72" w:rsidRPr="00E740E1" w:rsidRDefault="00AB0D72" w:rsidP="00AB0D72">
      <w:pPr>
        <w:pStyle w:val="Default"/>
        <w:numPr>
          <w:ilvl w:val="0"/>
          <w:numId w:val="4"/>
        </w:numPr>
        <w:spacing w:after="5"/>
        <w:jc w:val="both"/>
        <w:rPr>
          <w:rFonts w:eastAsia="Times New Roman"/>
          <w:color w:val="auto"/>
        </w:rPr>
      </w:pPr>
      <w:r w:rsidRPr="00E740E1">
        <w:rPr>
          <w:rFonts w:eastAsia="Times New Roman"/>
          <w:color w:val="auto"/>
        </w:rPr>
        <w:t>Se marcan las instalaciones con desviación de consumo.</w:t>
      </w:r>
    </w:p>
    <w:p w14:paraId="1279C57D" w14:textId="758D57F4" w:rsidR="00AB0D72" w:rsidRPr="00E740E1" w:rsidRDefault="00AB0D72" w:rsidP="00AB0D72">
      <w:pPr>
        <w:pStyle w:val="Default"/>
        <w:numPr>
          <w:ilvl w:val="0"/>
          <w:numId w:val="4"/>
        </w:numPr>
        <w:spacing w:after="5"/>
        <w:jc w:val="both"/>
        <w:rPr>
          <w:rFonts w:eastAsia="Times New Roman"/>
          <w:color w:val="auto"/>
        </w:rPr>
      </w:pPr>
      <w:r w:rsidRPr="00E740E1">
        <w:rPr>
          <w:rFonts w:eastAsia="Times New Roman"/>
          <w:color w:val="auto"/>
        </w:rPr>
        <w:t>Se complementa la información de estas instalaciones con los datos históricos de su consumo, las observaciones de lectura y otras variables operativas.</w:t>
      </w:r>
    </w:p>
    <w:p w14:paraId="6499F5B2" w14:textId="77777777" w:rsidR="00AB0D72" w:rsidRPr="00E740E1" w:rsidRDefault="00AB0D72" w:rsidP="00AB0D72">
      <w:pPr>
        <w:pStyle w:val="Default"/>
        <w:numPr>
          <w:ilvl w:val="0"/>
          <w:numId w:val="4"/>
        </w:numPr>
        <w:spacing w:after="5"/>
        <w:jc w:val="both"/>
        <w:rPr>
          <w:rFonts w:eastAsia="Times New Roman"/>
          <w:color w:val="auto"/>
        </w:rPr>
      </w:pPr>
      <w:r w:rsidRPr="00E740E1">
        <w:rPr>
          <w:rFonts w:eastAsia="Times New Roman"/>
          <w:color w:val="auto"/>
        </w:rPr>
        <w:t>Se consolida la información.</w:t>
      </w:r>
    </w:p>
    <w:p w14:paraId="01738ABB" w14:textId="206061A1" w:rsidR="00AB0D72" w:rsidRPr="00E740E1" w:rsidRDefault="00AB0D72" w:rsidP="00AB0D72">
      <w:pPr>
        <w:pStyle w:val="Default"/>
        <w:numPr>
          <w:ilvl w:val="0"/>
          <w:numId w:val="4"/>
        </w:numPr>
        <w:spacing w:after="5"/>
        <w:jc w:val="both"/>
        <w:rPr>
          <w:rFonts w:eastAsia="Times New Roman"/>
          <w:color w:val="auto"/>
        </w:rPr>
      </w:pPr>
      <w:r w:rsidRPr="00E740E1">
        <w:rPr>
          <w:rFonts w:eastAsia="Times New Roman"/>
          <w:color w:val="auto"/>
        </w:rPr>
        <w:t>Se carga a un software especializado con el fin de clasificar las instalaciones y aplicarles alguna de las siguientes metodologías definidas en EPM:</w:t>
      </w:r>
    </w:p>
    <w:p w14:paraId="489DCBF9" w14:textId="77777777" w:rsidR="00AB0D72" w:rsidRPr="00E740E1" w:rsidRDefault="00AB0D72" w:rsidP="00AB0D72">
      <w:pPr>
        <w:pStyle w:val="Default"/>
        <w:spacing w:after="5"/>
        <w:ind w:left="720"/>
        <w:jc w:val="both"/>
        <w:rPr>
          <w:color w:val="auto"/>
        </w:rPr>
      </w:pPr>
    </w:p>
    <w:p w14:paraId="68A6F775" w14:textId="28C0DDD5" w:rsidR="00AB0D72" w:rsidRPr="00E740E1" w:rsidRDefault="00AB0D72" w:rsidP="00AB0D72">
      <w:pPr>
        <w:pStyle w:val="Default"/>
        <w:spacing w:after="5"/>
        <w:ind w:left="720"/>
        <w:jc w:val="both"/>
        <w:rPr>
          <w:color w:val="auto"/>
        </w:rPr>
      </w:pPr>
      <w:r w:rsidRPr="001F605C">
        <w:rPr>
          <w:b/>
          <w:bCs/>
          <w:i/>
          <w:iCs/>
          <w:color w:val="79D300"/>
        </w:rPr>
        <w:lastRenderedPageBreak/>
        <w:t>Serie</w:t>
      </w:r>
      <w:r w:rsidR="00367224">
        <w:rPr>
          <w:b/>
          <w:bCs/>
          <w:i/>
          <w:iCs/>
          <w:color w:val="79D300"/>
        </w:rPr>
        <w:t>s</w:t>
      </w:r>
      <w:r w:rsidRPr="001F605C">
        <w:rPr>
          <w:b/>
          <w:bCs/>
          <w:i/>
          <w:iCs/>
          <w:color w:val="79D300"/>
        </w:rPr>
        <w:t xml:space="preserve"> de tiempo: </w:t>
      </w:r>
      <w:r w:rsidR="001F605C">
        <w:rPr>
          <w:color w:val="auto"/>
        </w:rPr>
        <w:t>E</w:t>
      </w:r>
      <w:r w:rsidRPr="00E740E1">
        <w:rPr>
          <w:color w:val="auto"/>
        </w:rPr>
        <w:t>s una metodología que</w:t>
      </w:r>
      <w:r w:rsidRPr="00E740E1">
        <w:rPr>
          <w:b/>
          <w:bCs/>
          <w:color w:val="auto"/>
        </w:rPr>
        <w:t xml:space="preserve"> </w:t>
      </w:r>
      <w:r w:rsidRPr="00E740E1">
        <w:rPr>
          <w:color w:val="auto"/>
        </w:rPr>
        <w:t>representa un conjunto de observaciones obtenidas en intervalos regulares de tiempo. Estas observaciones representan la evolución de la variable consumo a lo largo del tiempo. El propósito principal es analizar los patrones de consumo para determinar tendencias, entender estacionalidades y detectar anomalías.</w:t>
      </w:r>
    </w:p>
    <w:p w14:paraId="68702D4D" w14:textId="77777777" w:rsidR="00AB0D72" w:rsidRPr="00E740E1" w:rsidRDefault="00AB0D72" w:rsidP="00AB0D72">
      <w:pPr>
        <w:pStyle w:val="Default"/>
        <w:spacing w:after="5"/>
        <w:ind w:left="720"/>
        <w:jc w:val="both"/>
        <w:rPr>
          <w:b/>
          <w:bCs/>
          <w:color w:val="auto"/>
        </w:rPr>
      </w:pPr>
    </w:p>
    <w:p w14:paraId="3286CF18" w14:textId="5EB890E0" w:rsidR="00AB0D72" w:rsidRPr="00E740E1" w:rsidRDefault="00AB0D72" w:rsidP="00AB0D72">
      <w:pPr>
        <w:pStyle w:val="Default"/>
        <w:spacing w:after="5"/>
        <w:ind w:left="720"/>
        <w:jc w:val="both"/>
        <w:rPr>
          <w:color w:val="auto"/>
        </w:rPr>
      </w:pPr>
      <w:r w:rsidRPr="001F605C">
        <w:rPr>
          <w:b/>
          <w:bCs/>
          <w:i/>
          <w:iCs/>
          <w:color w:val="79D300"/>
        </w:rPr>
        <w:t>Arboles de clasificación:</w:t>
      </w:r>
      <w:r w:rsidRPr="00E740E1">
        <w:rPr>
          <w:b/>
          <w:bCs/>
          <w:color w:val="auto"/>
        </w:rPr>
        <w:t xml:space="preserve"> </w:t>
      </w:r>
      <w:r w:rsidRPr="00E740E1">
        <w:rPr>
          <w:color w:val="auto"/>
        </w:rPr>
        <w:t>Esta metodología</w:t>
      </w:r>
      <w:r w:rsidR="001F605C">
        <w:rPr>
          <w:color w:val="auto"/>
        </w:rPr>
        <w:t xml:space="preserve"> </w:t>
      </w:r>
      <w:r w:rsidRPr="00E740E1">
        <w:rPr>
          <w:color w:val="auto"/>
        </w:rPr>
        <w:t>utili</w:t>
      </w:r>
      <w:r w:rsidR="00E740E1">
        <w:rPr>
          <w:color w:val="auto"/>
        </w:rPr>
        <w:t>za</w:t>
      </w:r>
      <w:r w:rsidRPr="00E740E1">
        <w:rPr>
          <w:color w:val="auto"/>
        </w:rPr>
        <w:t xml:space="preserve"> variables de referencia y apren</w:t>
      </w:r>
      <w:r w:rsidR="00E740E1">
        <w:rPr>
          <w:color w:val="auto"/>
        </w:rPr>
        <w:t>de</w:t>
      </w:r>
      <w:r w:rsidRPr="00E740E1">
        <w:rPr>
          <w:color w:val="auto"/>
        </w:rPr>
        <w:t xml:space="preserve"> a calcular una frontera de decisión</w:t>
      </w:r>
      <w:r w:rsidR="00E740E1">
        <w:rPr>
          <w:color w:val="auto"/>
        </w:rPr>
        <w:t>, determinando la categoría a la que pertenece el consumo del cliente, lo</w:t>
      </w:r>
      <w:r w:rsidRPr="00E740E1">
        <w:rPr>
          <w:color w:val="auto"/>
        </w:rPr>
        <w:t xml:space="preserve"> que permit</w:t>
      </w:r>
      <w:r w:rsidR="00E740E1">
        <w:rPr>
          <w:color w:val="auto"/>
        </w:rPr>
        <w:t>e</w:t>
      </w:r>
      <w:r w:rsidRPr="00E740E1">
        <w:rPr>
          <w:color w:val="auto"/>
        </w:rPr>
        <w:t xml:space="preserve"> definir si existe o no una justificación a la desviación de consumo.</w:t>
      </w:r>
    </w:p>
    <w:p w14:paraId="78C3A9AD" w14:textId="77777777" w:rsidR="00AB0D72" w:rsidRPr="00E740E1" w:rsidRDefault="00AB0D72" w:rsidP="00AB0D72">
      <w:pPr>
        <w:pStyle w:val="Default"/>
        <w:spacing w:after="5"/>
        <w:ind w:left="720"/>
        <w:jc w:val="both"/>
        <w:rPr>
          <w:b/>
          <w:bCs/>
          <w:color w:val="auto"/>
        </w:rPr>
      </w:pPr>
    </w:p>
    <w:p w14:paraId="05514983" w14:textId="3AB94D57" w:rsidR="00AB0D72" w:rsidRDefault="00AB0D72" w:rsidP="00AB0D72">
      <w:pPr>
        <w:pStyle w:val="Default"/>
        <w:spacing w:after="5"/>
        <w:jc w:val="both"/>
      </w:pPr>
      <w:r w:rsidRPr="00E740E1">
        <w:rPr>
          <w:color w:val="auto"/>
        </w:rPr>
        <w:t>Al final cada modelo entrega una clasificación de las instalaciones evaluadas, para determinar cuáles de estas órdenes se enviarán a revisión de campo y cuáles se aprueban desde escritorio</w:t>
      </w:r>
      <w:r>
        <w:rPr>
          <w:color w:val="0070C0"/>
        </w:rPr>
        <w:t>.</w:t>
      </w:r>
    </w:p>
    <w:p w14:paraId="0CA70DBC" w14:textId="1A7DDD37" w:rsidR="005345B7" w:rsidRPr="004528E6" w:rsidRDefault="005345B7" w:rsidP="002B341B">
      <w:pPr>
        <w:pStyle w:val="Default"/>
        <w:spacing w:after="5"/>
        <w:jc w:val="both"/>
        <w:rPr>
          <w:color w:val="0070C0"/>
        </w:rPr>
      </w:pPr>
    </w:p>
    <w:p w14:paraId="67F86668" w14:textId="43BCF675" w:rsidR="005345B7" w:rsidRDefault="005345B7" w:rsidP="002B341B">
      <w:pPr>
        <w:pStyle w:val="Default"/>
        <w:spacing w:after="5"/>
        <w:jc w:val="both"/>
      </w:pPr>
      <w:r w:rsidRPr="005345B7">
        <w:rPr>
          <w:b/>
          <w:bCs/>
          <w:i/>
          <w:iCs/>
          <w:color w:val="79D300"/>
        </w:rPr>
        <w:t>Parágrafo</w:t>
      </w:r>
      <w:r>
        <w:rPr>
          <w:b/>
          <w:bCs/>
          <w:i/>
          <w:iCs/>
          <w:color w:val="79D300"/>
        </w:rPr>
        <w:t xml:space="preserve"> 2</w:t>
      </w:r>
      <w:r w:rsidRPr="005345B7">
        <w:rPr>
          <w:b/>
          <w:bCs/>
          <w:i/>
          <w:iCs/>
          <w:color w:val="79D300"/>
        </w:rPr>
        <w:t>.</w:t>
      </w:r>
      <w:r w:rsidRPr="005345B7">
        <w:t xml:space="preserve"> Siempre que se inicie una investigación por desviaciones significativas </w:t>
      </w:r>
      <w:r>
        <w:t>EPM</w:t>
      </w:r>
      <w:r w:rsidRPr="005345B7">
        <w:t xml:space="preserve"> deberá practicar las visitas y realizar las pruebas técnicas que se requieran con el fin de precisar la causa que originó la desviación. La empresa estará exceptuada de realizar la visita cuando compruebe a través de un proceso de analítica de datos que la desviación se encuentra justificada; lo cual </w:t>
      </w:r>
      <w:r>
        <w:t xml:space="preserve">será </w:t>
      </w:r>
      <w:r w:rsidRPr="005345B7">
        <w:t>debidamente informado al usuario en documento anexo a la factura</w:t>
      </w:r>
      <w:r w:rsidR="00A27F6B">
        <w:t xml:space="preserve"> para que este pueda ejercer su derecho a la defensa en caso de considerar necesaria la visita, caso en el cual la Empresa estará obligada a realizarla.</w:t>
      </w:r>
    </w:p>
    <w:p w14:paraId="242A764B" w14:textId="77777777" w:rsidR="005345B7" w:rsidRDefault="005345B7" w:rsidP="002B341B">
      <w:pPr>
        <w:pStyle w:val="Default"/>
        <w:spacing w:after="5"/>
        <w:jc w:val="both"/>
      </w:pPr>
    </w:p>
    <w:p w14:paraId="0089797C" w14:textId="31A1C6BD" w:rsidR="005345B7" w:rsidRDefault="005345B7" w:rsidP="002B341B">
      <w:pPr>
        <w:pStyle w:val="Default"/>
        <w:spacing w:after="5"/>
        <w:jc w:val="both"/>
      </w:pPr>
      <w:r w:rsidRPr="005345B7">
        <w:rPr>
          <w:b/>
          <w:bCs/>
          <w:i/>
          <w:iCs/>
          <w:color w:val="79D300"/>
        </w:rPr>
        <w:t xml:space="preserve">Parágrafo </w:t>
      </w:r>
      <w:r>
        <w:rPr>
          <w:b/>
          <w:bCs/>
          <w:i/>
          <w:iCs/>
          <w:color w:val="79D300"/>
        </w:rPr>
        <w:t>3</w:t>
      </w:r>
      <w:r w:rsidRPr="005345B7">
        <w:rPr>
          <w:b/>
          <w:bCs/>
          <w:i/>
          <w:iCs/>
          <w:color w:val="79D300"/>
        </w:rPr>
        <w:t>.</w:t>
      </w:r>
      <w:r w:rsidRPr="005345B7">
        <w:t xml:space="preserve"> El mecanismo propuesto en el parágrafo 1 de est</w:t>
      </w:r>
      <w:r>
        <w:t xml:space="preserve">a cláusula </w:t>
      </w:r>
      <w:r w:rsidRPr="005345B7">
        <w:t>no podrá ser aplicado en las investigaciones por desviaciones significativas para usuarios nuevos, o que tengan menos información de facturación de la indicada, es decir, doce (12) periodos de consumo en caso de facturación mensual, (6) en caso de bimestral o cuatro (4) en el caso de trimestral. En estos casos, la empresa podrá hacer el análisis y la verificación por la variación de consumos, ya sea por iniciativa propia o por solicitud directa del usuario.</w:t>
      </w:r>
    </w:p>
    <w:p w14:paraId="1E997F8A" w14:textId="77777777" w:rsidR="00D53AA7" w:rsidRDefault="00D53AA7">
      <w:pPr>
        <w:rPr>
          <w:color w:val="7F7F7F" w:themeColor="text1" w:themeTint="80"/>
        </w:rPr>
      </w:pPr>
    </w:p>
    <w:p w14:paraId="13BCA53A" w14:textId="60E038AB" w:rsidR="00D53AA7" w:rsidRDefault="00E740E1" w:rsidP="00D53AA7">
      <w:pPr>
        <w:jc w:val="both"/>
        <w:rPr>
          <w:rFonts w:ascii="VAGRounded Lt" w:hAnsi="VAGRounded Lt"/>
          <w:color w:val="000000"/>
          <w:sz w:val="24"/>
          <w:szCs w:val="24"/>
        </w:rPr>
      </w:pPr>
      <w:r>
        <w:rPr>
          <w:rFonts w:ascii="VAGRounded Lt" w:hAnsi="VAGRounded Lt"/>
          <w:b/>
          <w:bCs/>
          <w:i/>
          <w:iCs/>
          <w:color w:val="79D300"/>
          <w:sz w:val="24"/>
          <w:szCs w:val="24"/>
        </w:rPr>
        <w:t xml:space="preserve">Parágrafo 4. </w:t>
      </w:r>
      <w:r w:rsidR="00D53AA7" w:rsidRPr="00D53AA7">
        <w:rPr>
          <w:rFonts w:ascii="VAGRounded Lt" w:hAnsi="VAGRounded Lt"/>
          <w:b/>
          <w:bCs/>
          <w:i/>
          <w:iCs/>
          <w:color w:val="79D300"/>
          <w:sz w:val="24"/>
          <w:szCs w:val="24"/>
        </w:rPr>
        <w:t xml:space="preserve">Facturación en caso de desviaciones significativas. </w:t>
      </w:r>
      <w:r w:rsidR="00D53AA7" w:rsidRPr="00D53AA7">
        <w:rPr>
          <w:rFonts w:ascii="VAGRounded Lt" w:hAnsi="VAGRounded Lt"/>
          <w:color w:val="000000"/>
          <w:sz w:val="24"/>
          <w:szCs w:val="24"/>
        </w:rPr>
        <w:t xml:space="preserve">Mientras se establece la causa de la desviación del consumo  del usuario, dentro de la investigación iniciada de conformidad con el procedimiento indicado en </w:t>
      </w:r>
      <w:r w:rsidR="007F6F42">
        <w:rPr>
          <w:rFonts w:ascii="VAGRounded Lt" w:hAnsi="VAGRounded Lt"/>
          <w:color w:val="000000"/>
          <w:sz w:val="24"/>
          <w:szCs w:val="24"/>
        </w:rPr>
        <w:t>el parágrafo 1</w:t>
      </w:r>
      <w:r w:rsidR="00D53AA7" w:rsidRPr="00D53AA7">
        <w:rPr>
          <w:rFonts w:ascii="VAGRounded Lt" w:hAnsi="VAGRounded Lt"/>
          <w:color w:val="000000"/>
          <w:sz w:val="24"/>
          <w:szCs w:val="24"/>
        </w:rPr>
        <w:t xml:space="preserve">, la </w:t>
      </w:r>
      <w:r w:rsidR="007F6F42">
        <w:rPr>
          <w:rFonts w:ascii="VAGRounded Lt" w:hAnsi="VAGRounded Lt"/>
          <w:color w:val="000000"/>
          <w:sz w:val="24"/>
          <w:szCs w:val="24"/>
        </w:rPr>
        <w:t>E</w:t>
      </w:r>
      <w:r w:rsidR="00D53AA7" w:rsidRPr="00D53AA7">
        <w:rPr>
          <w:rFonts w:ascii="VAGRounded Lt" w:hAnsi="VAGRounded Lt"/>
          <w:color w:val="000000"/>
          <w:sz w:val="24"/>
          <w:szCs w:val="24"/>
        </w:rPr>
        <w:t>mpresa facturará el consumo objeto de investigación cobrando al usuario el consumo promedio conforme a la definición del artículo 1 de la Resolución CREG 108 de 1997 o aquella que la modifique, adicion</w:t>
      </w:r>
      <w:r w:rsidR="00D53AA7">
        <w:rPr>
          <w:rFonts w:ascii="VAGRounded Lt" w:hAnsi="VAGRounded Lt"/>
          <w:color w:val="000000"/>
          <w:sz w:val="24"/>
          <w:szCs w:val="24"/>
        </w:rPr>
        <w:t>e</w:t>
      </w:r>
      <w:r w:rsidR="00D53AA7" w:rsidRPr="00D53AA7">
        <w:rPr>
          <w:rFonts w:ascii="VAGRounded Lt" w:hAnsi="VAGRounded Lt"/>
          <w:color w:val="000000"/>
          <w:sz w:val="24"/>
          <w:szCs w:val="24"/>
        </w:rPr>
        <w:t xml:space="preserve"> o sustituya, consumos promedios de suscriptores o usuarios en circunstancias semejantes o mediante aforo individual de acuerdo con lo establecido en </w:t>
      </w:r>
      <w:r w:rsidR="00D53AA7">
        <w:rPr>
          <w:rFonts w:ascii="VAGRounded Lt" w:hAnsi="VAGRounded Lt"/>
          <w:color w:val="000000"/>
          <w:sz w:val="24"/>
          <w:szCs w:val="24"/>
        </w:rPr>
        <w:t>las normas vigentes.</w:t>
      </w:r>
    </w:p>
    <w:p w14:paraId="760D3150" w14:textId="77777777" w:rsidR="00D53AA7" w:rsidRDefault="00D53AA7" w:rsidP="00D53AA7">
      <w:pPr>
        <w:jc w:val="both"/>
        <w:rPr>
          <w:rFonts w:ascii="VAGRounded Lt" w:hAnsi="VAGRounded Lt"/>
          <w:color w:val="000000"/>
          <w:sz w:val="24"/>
          <w:szCs w:val="24"/>
        </w:rPr>
      </w:pPr>
    </w:p>
    <w:p w14:paraId="23C8D552" w14:textId="77777777" w:rsidR="00D53AA7" w:rsidRPr="00D53AA7" w:rsidRDefault="00D53AA7" w:rsidP="00D53AA7">
      <w:pPr>
        <w:jc w:val="both"/>
        <w:rPr>
          <w:rFonts w:ascii="VAGRounded Lt" w:hAnsi="VAGRounded Lt"/>
          <w:b/>
          <w:bCs/>
          <w:i/>
          <w:iCs/>
          <w:color w:val="79D300"/>
          <w:sz w:val="24"/>
          <w:szCs w:val="24"/>
        </w:rPr>
      </w:pPr>
    </w:p>
    <w:p w14:paraId="0D75BAFC" w14:textId="353E2882" w:rsidR="00D53AA7" w:rsidRDefault="00D53AA7" w:rsidP="00D53AA7">
      <w:pPr>
        <w:jc w:val="both"/>
        <w:rPr>
          <w:rFonts w:ascii="VAGRounded Lt" w:hAnsi="VAGRounded Lt"/>
          <w:color w:val="000000"/>
          <w:sz w:val="24"/>
          <w:szCs w:val="24"/>
        </w:rPr>
      </w:pPr>
      <w:r w:rsidRPr="00D53AA7">
        <w:rPr>
          <w:rFonts w:ascii="VAGRounded Lt" w:hAnsi="VAGRounded Lt"/>
          <w:b/>
          <w:bCs/>
          <w:i/>
          <w:iCs/>
          <w:color w:val="79D300"/>
          <w:sz w:val="24"/>
          <w:szCs w:val="24"/>
        </w:rPr>
        <w:t>Cláusula 50 Procedimiento para investigar las desviaciones significativas.</w:t>
      </w:r>
      <w:r w:rsidRPr="00D53AA7">
        <w:rPr>
          <w:rFonts w:ascii="VAGRounded Lt" w:hAnsi="VAGRounded Lt"/>
          <w:color w:val="000000"/>
          <w:sz w:val="24"/>
          <w:szCs w:val="24"/>
        </w:rPr>
        <w:t xml:space="preserve"> </w:t>
      </w:r>
      <w:r w:rsidR="001F5FBD">
        <w:rPr>
          <w:rFonts w:ascii="VAGRounded Lt" w:hAnsi="VAGRounded Lt"/>
          <w:color w:val="000000"/>
          <w:sz w:val="24"/>
          <w:szCs w:val="24"/>
        </w:rPr>
        <w:t>Como</w:t>
      </w:r>
      <w:r w:rsidR="001F5FBD" w:rsidRPr="00D53AA7">
        <w:rPr>
          <w:rFonts w:ascii="VAGRounded Lt" w:hAnsi="VAGRounded Lt"/>
          <w:color w:val="000000"/>
          <w:sz w:val="24"/>
          <w:szCs w:val="24"/>
        </w:rPr>
        <w:t xml:space="preserve"> </w:t>
      </w:r>
      <w:r w:rsidR="001F5FBD">
        <w:rPr>
          <w:rFonts w:ascii="VAGRounded Lt" w:hAnsi="VAGRounded Lt"/>
          <w:color w:val="000000"/>
          <w:sz w:val="24"/>
          <w:szCs w:val="24"/>
        </w:rPr>
        <w:t xml:space="preserve">garantía de cumplimiento </w:t>
      </w:r>
      <w:r w:rsidRPr="00D53AA7">
        <w:rPr>
          <w:rFonts w:ascii="VAGRounded Lt" w:hAnsi="VAGRounded Lt"/>
          <w:color w:val="000000"/>
          <w:sz w:val="24"/>
          <w:szCs w:val="24"/>
        </w:rPr>
        <w:t>del debido proceso</w:t>
      </w:r>
      <w:r w:rsidR="001F5FBD">
        <w:rPr>
          <w:rFonts w:ascii="VAGRounded Lt" w:hAnsi="VAGRounded Lt"/>
          <w:color w:val="000000"/>
          <w:sz w:val="24"/>
          <w:szCs w:val="24"/>
        </w:rPr>
        <w:t xml:space="preserve">, </w:t>
      </w:r>
      <w:r w:rsidR="00A27F6B">
        <w:rPr>
          <w:rFonts w:ascii="VAGRounded Lt" w:hAnsi="VAGRounded Lt"/>
          <w:color w:val="000000"/>
          <w:sz w:val="24"/>
          <w:szCs w:val="24"/>
        </w:rPr>
        <w:t xml:space="preserve">EPM </w:t>
      </w:r>
      <w:r w:rsidR="00A27F6B" w:rsidRPr="00D53AA7">
        <w:rPr>
          <w:rFonts w:ascii="VAGRounded Lt" w:hAnsi="VAGRounded Lt"/>
          <w:color w:val="000000"/>
          <w:sz w:val="24"/>
          <w:szCs w:val="24"/>
        </w:rPr>
        <w:t>deberá</w:t>
      </w:r>
      <w:r w:rsidR="001F5FBD">
        <w:rPr>
          <w:rFonts w:ascii="VAGRounded Lt" w:hAnsi="VAGRounded Lt"/>
          <w:color w:val="000000"/>
          <w:sz w:val="24"/>
          <w:szCs w:val="24"/>
        </w:rPr>
        <w:t xml:space="preserve"> investigar </w:t>
      </w:r>
      <w:r w:rsidRPr="00D53AA7">
        <w:rPr>
          <w:rFonts w:ascii="VAGRounded Lt" w:hAnsi="VAGRounded Lt"/>
          <w:color w:val="000000"/>
          <w:sz w:val="24"/>
          <w:szCs w:val="24"/>
        </w:rPr>
        <w:t xml:space="preserve">la causa que originó la desviación </w:t>
      </w:r>
      <w:r w:rsidR="001F5FBD">
        <w:rPr>
          <w:rFonts w:ascii="VAGRounded Lt" w:hAnsi="VAGRounded Lt"/>
          <w:color w:val="000000"/>
          <w:sz w:val="24"/>
          <w:szCs w:val="24"/>
        </w:rPr>
        <w:t>significativa en</w:t>
      </w:r>
      <w:r w:rsidRPr="00D53AA7">
        <w:rPr>
          <w:rFonts w:ascii="VAGRounded Lt" w:hAnsi="VAGRounded Lt"/>
          <w:color w:val="000000"/>
          <w:sz w:val="24"/>
          <w:szCs w:val="24"/>
        </w:rPr>
        <w:t xml:space="preserve"> </w:t>
      </w:r>
      <w:r w:rsidR="001F5FBD">
        <w:rPr>
          <w:rFonts w:ascii="VAGRounded Lt" w:hAnsi="VAGRounded Lt"/>
          <w:color w:val="000000"/>
          <w:sz w:val="24"/>
          <w:szCs w:val="24"/>
        </w:rPr>
        <w:t xml:space="preserve">el </w:t>
      </w:r>
      <w:r w:rsidRPr="00D53AA7">
        <w:rPr>
          <w:rFonts w:ascii="VAGRounded Lt" w:hAnsi="VAGRounded Lt"/>
          <w:color w:val="000000"/>
          <w:sz w:val="24"/>
          <w:szCs w:val="24"/>
        </w:rPr>
        <w:t>consumo</w:t>
      </w:r>
      <w:r w:rsidR="001F5FBD">
        <w:rPr>
          <w:rFonts w:ascii="VAGRounded Lt" w:hAnsi="VAGRounded Lt"/>
          <w:color w:val="000000"/>
          <w:sz w:val="24"/>
          <w:szCs w:val="24"/>
        </w:rPr>
        <w:t>.</w:t>
      </w:r>
      <w:r w:rsidRPr="00D53AA7">
        <w:rPr>
          <w:rFonts w:ascii="VAGRounded Lt" w:hAnsi="VAGRounded Lt"/>
          <w:color w:val="000000"/>
          <w:sz w:val="24"/>
          <w:szCs w:val="24"/>
        </w:rPr>
        <w:t xml:space="preserve"> </w:t>
      </w:r>
      <w:r w:rsidR="001F5FBD">
        <w:rPr>
          <w:rFonts w:ascii="VAGRounded Lt" w:hAnsi="VAGRounded Lt"/>
          <w:color w:val="000000"/>
          <w:sz w:val="24"/>
          <w:szCs w:val="24"/>
        </w:rPr>
        <w:t>P</w:t>
      </w:r>
      <w:r w:rsidRPr="00D53AA7">
        <w:rPr>
          <w:rFonts w:ascii="VAGRounded Lt" w:hAnsi="VAGRounded Lt"/>
          <w:color w:val="000000"/>
          <w:sz w:val="24"/>
          <w:szCs w:val="24"/>
        </w:rPr>
        <w:t xml:space="preserve">ara </w:t>
      </w:r>
      <w:r>
        <w:rPr>
          <w:rFonts w:ascii="VAGRounded Lt" w:hAnsi="VAGRounded Lt"/>
          <w:color w:val="000000"/>
          <w:sz w:val="24"/>
          <w:szCs w:val="24"/>
        </w:rPr>
        <w:t xml:space="preserve">realizar </w:t>
      </w:r>
      <w:r w:rsidR="001F5FBD">
        <w:rPr>
          <w:rFonts w:ascii="VAGRounded Lt" w:hAnsi="VAGRounded Lt"/>
          <w:color w:val="000000"/>
          <w:sz w:val="24"/>
          <w:szCs w:val="24"/>
        </w:rPr>
        <w:t xml:space="preserve">dicha </w:t>
      </w:r>
      <w:r>
        <w:rPr>
          <w:rFonts w:ascii="VAGRounded Lt" w:hAnsi="VAGRounded Lt"/>
          <w:color w:val="000000"/>
          <w:sz w:val="24"/>
          <w:szCs w:val="24"/>
        </w:rPr>
        <w:t xml:space="preserve">investigación </w:t>
      </w:r>
      <w:r w:rsidR="00B963A6" w:rsidRPr="00D53AA7">
        <w:rPr>
          <w:rFonts w:ascii="VAGRounded Lt" w:hAnsi="VAGRounded Lt"/>
          <w:color w:val="000000"/>
          <w:sz w:val="24"/>
          <w:szCs w:val="24"/>
        </w:rPr>
        <w:t>EPM</w:t>
      </w:r>
      <w:r w:rsidRPr="00D53AA7">
        <w:rPr>
          <w:rFonts w:ascii="VAGRounded Lt" w:hAnsi="VAGRounded Lt"/>
          <w:color w:val="000000"/>
          <w:sz w:val="24"/>
          <w:szCs w:val="24"/>
        </w:rPr>
        <w:t xml:space="preserve"> </w:t>
      </w:r>
      <w:r w:rsidR="001F5FBD">
        <w:rPr>
          <w:rFonts w:ascii="VAGRounded Lt" w:hAnsi="VAGRounded Lt"/>
          <w:color w:val="000000"/>
          <w:sz w:val="24"/>
          <w:szCs w:val="24"/>
        </w:rPr>
        <w:t xml:space="preserve">adelantará </w:t>
      </w:r>
      <w:r w:rsidRPr="00D53AA7">
        <w:rPr>
          <w:rFonts w:ascii="VAGRounded Lt" w:hAnsi="VAGRounded Lt"/>
          <w:color w:val="000000"/>
          <w:sz w:val="24"/>
          <w:szCs w:val="24"/>
        </w:rPr>
        <w:t xml:space="preserve">las siguientes etapas: </w:t>
      </w:r>
    </w:p>
    <w:p w14:paraId="27A4991A" w14:textId="77777777" w:rsidR="00B963A6" w:rsidRDefault="00B963A6" w:rsidP="00D53AA7">
      <w:pPr>
        <w:jc w:val="both"/>
        <w:rPr>
          <w:rFonts w:ascii="VAGRounded Lt" w:hAnsi="VAGRounded Lt"/>
          <w:color w:val="000000"/>
          <w:sz w:val="24"/>
          <w:szCs w:val="24"/>
        </w:rPr>
      </w:pPr>
    </w:p>
    <w:p w14:paraId="6AC6DEF2" w14:textId="16EC1B5D" w:rsidR="00B963A6" w:rsidRDefault="00B963A6" w:rsidP="00B963A6">
      <w:pPr>
        <w:jc w:val="both"/>
        <w:rPr>
          <w:rFonts w:ascii="VAGRounded Lt" w:hAnsi="VAGRounded Lt"/>
          <w:color w:val="000000"/>
          <w:sz w:val="24"/>
          <w:szCs w:val="24"/>
        </w:rPr>
      </w:pPr>
      <w:r>
        <w:rPr>
          <w:rFonts w:ascii="VAGRounded Lt" w:hAnsi="VAGRounded Lt"/>
          <w:b/>
          <w:bCs/>
          <w:i/>
          <w:iCs/>
          <w:color w:val="79D300"/>
          <w:sz w:val="24"/>
          <w:szCs w:val="24"/>
        </w:rPr>
        <w:t>a</w:t>
      </w:r>
      <w:r w:rsidRPr="00B963A6">
        <w:rPr>
          <w:rFonts w:ascii="VAGRounded Lt" w:hAnsi="VAGRounded Lt"/>
          <w:b/>
          <w:bCs/>
          <w:i/>
          <w:iCs/>
          <w:color w:val="79D300"/>
          <w:sz w:val="24"/>
          <w:szCs w:val="24"/>
        </w:rPr>
        <w:t>)</w:t>
      </w:r>
      <w:r>
        <w:rPr>
          <w:rFonts w:ascii="VAGRounded Lt" w:hAnsi="VAGRounded Lt"/>
          <w:color w:val="000000"/>
          <w:sz w:val="24"/>
          <w:szCs w:val="24"/>
        </w:rPr>
        <w:t xml:space="preserve"> </w:t>
      </w:r>
      <w:r w:rsidRPr="00B963A6">
        <w:rPr>
          <w:rFonts w:ascii="VAGRounded Lt" w:hAnsi="VAGRounded Lt"/>
          <w:color w:val="000000"/>
          <w:sz w:val="24"/>
          <w:szCs w:val="24"/>
        </w:rPr>
        <w:t xml:space="preserve">EPM podrá realizar la revisión </w:t>
      </w:r>
      <w:r>
        <w:rPr>
          <w:rFonts w:ascii="VAGRounded Lt" w:hAnsi="VAGRounded Lt"/>
          <w:color w:val="000000"/>
          <w:sz w:val="24"/>
          <w:szCs w:val="24"/>
        </w:rPr>
        <w:t xml:space="preserve">por desviación significativa </w:t>
      </w:r>
      <w:r w:rsidRPr="00B963A6">
        <w:rPr>
          <w:rFonts w:ascii="VAGRounded Lt" w:hAnsi="VAGRounded Lt"/>
          <w:color w:val="000000"/>
          <w:sz w:val="24"/>
          <w:szCs w:val="24"/>
        </w:rPr>
        <w:t xml:space="preserve">en el momento de toma de la lectura, previa explicación al USUARIO de los derechos que le asisten, siempre y cuando éste otorgue el consentimiento y exprese la voluntad de atender la realización de la </w:t>
      </w:r>
      <w:r>
        <w:rPr>
          <w:rFonts w:ascii="VAGRounded Lt" w:hAnsi="VAGRounded Lt"/>
          <w:color w:val="000000"/>
          <w:sz w:val="24"/>
          <w:szCs w:val="24"/>
        </w:rPr>
        <w:t>visita</w:t>
      </w:r>
      <w:r w:rsidRPr="00B963A6">
        <w:rPr>
          <w:rFonts w:ascii="VAGRounded Lt" w:hAnsi="VAGRounded Lt"/>
          <w:color w:val="000000"/>
          <w:sz w:val="24"/>
          <w:szCs w:val="24"/>
        </w:rPr>
        <w:t xml:space="preserve"> en ese momento, sin requerir un aviso previo para ello, y renuncie si es del caso, a la posibilidad de contar con la asesoría de un técnico, para lo cual deberá dejar expresa constancia en el acta de revisión que se suscribe con el USUARIO</w:t>
      </w:r>
      <w:r>
        <w:rPr>
          <w:rFonts w:ascii="VAGRounded Lt" w:hAnsi="VAGRounded Lt"/>
          <w:color w:val="000000"/>
          <w:sz w:val="24"/>
          <w:szCs w:val="24"/>
        </w:rPr>
        <w:t>.</w:t>
      </w:r>
    </w:p>
    <w:p w14:paraId="4C3DD4E5" w14:textId="77777777" w:rsidR="00D53AA7" w:rsidRDefault="00D53AA7" w:rsidP="00D53AA7">
      <w:pPr>
        <w:jc w:val="both"/>
        <w:rPr>
          <w:rFonts w:ascii="VAGRounded Lt" w:hAnsi="VAGRounded Lt"/>
          <w:color w:val="000000"/>
          <w:sz w:val="24"/>
          <w:szCs w:val="24"/>
        </w:rPr>
      </w:pPr>
    </w:p>
    <w:p w14:paraId="52953CAB" w14:textId="73FC42C0" w:rsidR="00D53AA7" w:rsidRPr="00B963A6" w:rsidRDefault="00D53AA7" w:rsidP="00D53AA7">
      <w:pPr>
        <w:jc w:val="both"/>
        <w:rPr>
          <w:rFonts w:ascii="VAGRounded Lt" w:hAnsi="VAGRounded Lt"/>
          <w:color w:val="000000"/>
          <w:sz w:val="24"/>
          <w:szCs w:val="24"/>
        </w:rPr>
      </w:pPr>
      <w:r w:rsidRPr="00D53AA7">
        <w:rPr>
          <w:rFonts w:ascii="VAGRounded Lt" w:hAnsi="VAGRounded Lt"/>
          <w:b/>
          <w:bCs/>
          <w:i/>
          <w:iCs/>
          <w:color w:val="79D300"/>
          <w:sz w:val="24"/>
          <w:szCs w:val="24"/>
        </w:rPr>
        <w:t>b)</w:t>
      </w:r>
      <w:r w:rsidRPr="00D53AA7">
        <w:rPr>
          <w:rFonts w:ascii="VAGRounded Lt" w:hAnsi="VAGRounded Lt"/>
          <w:color w:val="000000"/>
          <w:sz w:val="24"/>
          <w:szCs w:val="24"/>
        </w:rPr>
        <w:t xml:space="preserve"> Hacer uso de la información histórica de la instalación</w:t>
      </w:r>
      <w:r w:rsidR="00B963A6">
        <w:rPr>
          <w:rFonts w:ascii="VAGRounded Lt" w:hAnsi="VAGRounded Lt"/>
          <w:color w:val="000000"/>
          <w:sz w:val="24"/>
          <w:szCs w:val="24"/>
        </w:rPr>
        <w:t xml:space="preserve"> por medio de la utilización de </w:t>
      </w:r>
      <w:r w:rsidR="001F5FBD">
        <w:rPr>
          <w:rFonts w:ascii="VAGRounded Lt" w:hAnsi="VAGRounded Lt"/>
          <w:color w:val="000000"/>
          <w:sz w:val="24"/>
          <w:szCs w:val="24"/>
        </w:rPr>
        <w:t xml:space="preserve">los </w:t>
      </w:r>
      <w:r w:rsidR="00B963A6">
        <w:rPr>
          <w:rFonts w:ascii="VAGRounded Lt" w:hAnsi="VAGRounded Lt"/>
          <w:color w:val="000000"/>
          <w:sz w:val="24"/>
          <w:szCs w:val="24"/>
        </w:rPr>
        <w:t>modelos de analítica de datos</w:t>
      </w:r>
      <w:r w:rsidR="001F5FBD">
        <w:rPr>
          <w:rFonts w:ascii="VAGRounded Lt" w:hAnsi="VAGRounded Lt"/>
          <w:color w:val="000000"/>
          <w:sz w:val="24"/>
          <w:szCs w:val="24"/>
        </w:rPr>
        <w:t xml:space="preserve"> </w:t>
      </w:r>
      <w:r w:rsidR="006C2B84">
        <w:rPr>
          <w:rFonts w:ascii="VAGRounded Lt" w:hAnsi="VAGRounded Lt"/>
          <w:color w:val="000000"/>
          <w:sz w:val="24"/>
          <w:szCs w:val="24"/>
        </w:rPr>
        <w:t xml:space="preserve">descritos </w:t>
      </w:r>
      <w:r w:rsidR="001F5FBD">
        <w:rPr>
          <w:rFonts w:ascii="VAGRounded Lt" w:hAnsi="VAGRounded Lt"/>
          <w:color w:val="000000"/>
          <w:sz w:val="24"/>
          <w:szCs w:val="24"/>
        </w:rPr>
        <w:t xml:space="preserve">en el numeral </w:t>
      </w:r>
      <w:r w:rsidR="00A27F6B">
        <w:rPr>
          <w:rFonts w:ascii="VAGRounded Lt" w:hAnsi="VAGRounded Lt"/>
          <w:color w:val="000000"/>
          <w:sz w:val="24"/>
          <w:szCs w:val="24"/>
        </w:rPr>
        <w:t>6.3</w:t>
      </w:r>
      <w:r w:rsidR="00E740E1">
        <w:rPr>
          <w:rFonts w:ascii="VAGRounded Lt" w:hAnsi="VAGRounded Lt"/>
          <w:color w:val="000000"/>
          <w:sz w:val="24"/>
          <w:szCs w:val="24"/>
        </w:rPr>
        <w:t xml:space="preserve"> del Parágrafo 1 de la Clausula 49</w:t>
      </w:r>
      <w:r w:rsidR="00B963A6">
        <w:rPr>
          <w:rFonts w:ascii="VAGRounded Lt" w:hAnsi="VAGRounded Lt"/>
          <w:color w:val="000000"/>
          <w:sz w:val="24"/>
          <w:szCs w:val="24"/>
        </w:rPr>
        <w:t xml:space="preserve">, con el objetivo de evidenciar desde </w:t>
      </w:r>
      <w:r w:rsidR="001F5FBD">
        <w:rPr>
          <w:rFonts w:ascii="VAGRounded Lt" w:hAnsi="VAGRounded Lt"/>
          <w:color w:val="000000"/>
          <w:sz w:val="24"/>
          <w:szCs w:val="24"/>
        </w:rPr>
        <w:t xml:space="preserve">el </w:t>
      </w:r>
      <w:r w:rsidR="00B963A6">
        <w:rPr>
          <w:rFonts w:ascii="VAGRounded Lt" w:hAnsi="VAGRounded Lt"/>
          <w:color w:val="000000"/>
          <w:sz w:val="24"/>
          <w:szCs w:val="24"/>
        </w:rPr>
        <w:t>escritorio la causa que origin</w:t>
      </w:r>
      <w:r w:rsidR="001F5FBD">
        <w:rPr>
          <w:rFonts w:ascii="VAGRounded Lt" w:hAnsi="VAGRounded Lt"/>
          <w:color w:val="000000"/>
          <w:sz w:val="24"/>
          <w:szCs w:val="24"/>
        </w:rPr>
        <w:t>ó</w:t>
      </w:r>
      <w:r w:rsidR="00B963A6">
        <w:rPr>
          <w:rFonts w:ascii="VAGRounded Lt" w:hAnsi="VAGRounded Lt"/>
          <w:color w:val="000000"/>
          <w:sz w:val="24"/>
          <w:szCs w:val="24"/>
        </w:rPr>
        <w:t xml:space="preserve"> la desviación, incluyendo</w:t>
      </w:r>
      <w:r w:rsidRPr="00D53AA7">
        <w:rPr>
          <w:rFonts w:ascii="VAGRounded Lt" w:hAnsi="VAGRounded Lt"/>
          <w:color w:val="000000"/>
          <w:sz w:val="24"/>
          <w:szCs w:val="24"/>
        </w:rPr>
        <w:t xml:space="preserve"> el análisis de </w:t>
      </w:r>
      <w:r w:rsidR="00B963A6">
        <w:rPr>
          <w:rFonts w:ascii="VAGRounded Lt" w:hAnsi="VAGRounded Lt"/>
          <w:color w:val="000000"/>
          <w:sz w:val="24"/>
          <w:szCs w:val="24"/>
        </w:rPr>
        <w:t xml:space="preserve">usuarios con consumos </w:t>
      </w:r>
      <w:r w:rsidRPr="00D53AA7">
        <w:rPr>
          <w:rFonts w:ascii="VAGRounded Lt" w:hAnsi="VAGRounded Lt"/>
          <w:color w:val="000000"/>
          <w:sz w:val="24"/>
          <w:szCs w:val="24"/>
        </w:rPr>
        <w:t>estaciona</w:t>
      </w:r>
      <w:r w:rsidR="00B963A6">
        <w:rPr>
          <w:rFonts w:ascii="VAGRounded Lt" w:hAnsi="VAGRounded Lt"/>
          <w:color w:val="000000"/>
          <w:sz w:val="24"/>
          <w:szCs w:val="24"/>
        </w:rPr>
        <w:t>les,</w:t>
      </w:r>
      <w:r w:rsidR="00250FDE">
        <w:rPr>
          <w:rFonts w:ascii="VAGRounded Lt" w:hAnsi="VAGRounded Lt"/>
          <w:color w:val="000000"/>
          <w:sz w:val="24"/>
          <w:szCs w:val="24"/>
        </w:rPr>
        <w:t xml:space="preserve"> </w:t>
      </w:r>
      <w:r w:rsidR="00B963A6">
        <w:rPr>
          <w:rFonts w:ascii="VAGRounded Lt" w:hAnsi="VAGRounded Lt"/>
          <w:color w:val="000000"/>
          <w:sz w:val="24"/>
          <w:szCs w:val="24"/>
        </w:rPr>
        <w:t>e</w:t>
      </w:r>
      <w:r w:rsidR="00B963A6" w:rsidRPr="00B963A6">
        <w:rPr>
          <w:rFonts w:ascii="VAGRounded Lt" w:hAnsi="VAGRounded Lt"/>
          <w:color w:val="000000"/>
          <w:sz w:val="24"/>
          <w:szCs w:val="24"/>
        </w:rPr>
        <w:t xml:space="preserve">l usuario podrá informar a la </w:t>
      </w:r>
      <w:r w:rsidR="00250FDE">
        <w:rPr>
          <w:rFonts w:ascii="VAGRounded Lt" w:hAnsi="VAGRounded Lt"/>
          <w:color w:val="000000"/>
          <w:sz w:val="24"/>
          <w:szCs w:val="24"/>
        </w:rPr>
        <w:t>E</w:t>
      </w:r>
      <w:r w:rsidR="00B963A6" w:rsidRPr="00B963A6">
        <w:rPr>
          <w:rFonts w:ascii="VAGRounded Lt" w:hAnsi="VAGRounded Lt"/>
          <w:color w:val="000000"/>
          <w:sz w:val="24"/>
          <w:szCs w:val="24"/>
        </w:rPr>
        <w:t xml:space="preserve">mpresa </w:t>
      </w:r>
      <w:r w:rsidR="005345B7">
        <w:rPr>
          <w:rFonts w:ascii="VAGRounded Lt" w:hAnsi="VAGRounded Lt"/>
          <w:color w:val="000000"/>
          <w:sz w:val="24"/>
          <w:szCs w:val="24"/>
        </w:rPr>
        <w:t xml:space="preserve">el comportamiento </w:t>
      </w:r>
      <w:r w:rsidR="00B963A6" w:rsidRPr="00B963A6">
        <w:rPr>
          <w:rFonts w:ascii="VAGRounded Lt" w:hAnsi="VAGRounded Lt"/>
          <w:color w:val="000000"/>
          <w:sz w:val="24"/>
          <w:szCs w:val="24"/>
        </w:rPr>
        <w:t xml:space="preserve">estacional </w:t>
      </w:r>
      <w:r w:rsidR="005345B7">
        <w:rPr>
          <w:rFonts w:ascii="VAGRounded Lt" w:hAnsi="VAGRounded Lt"/>
          <w:color w:val="000000"/>
          <w:sz w:val="24"/>
          <w:szCs w:val="24"/>
        </w:rPr>
        <w:t>de sus consumos</w:t>
      </w:r>
      <w:r w:rsidR="00B963A6" w:rsidRPr="00B963A6">
        <w:rPr>
          <w:rFonts w:ascii="VAGRounded Lt" w:hAnsi="VAGRounded Lt"/>
          <w:color w:val="000000"/>
          <w:sz w:val="24"/>
          <w:szCs w:val="24"/>
        </w:rPr>
        <w:t xml:space="preserve"> </w:t>
      </w:r>
      <w:r w:rsidR="001F5FBD">
        <w:rPr>
          <w:rFonts w:ascii="VAGRounded Lt" w:hAnsi="VAGRounded Lt"/>
          <w:color w:val="000000"/>
          <w:sz w:val="24"/>
          <w:szCs w:val="24"/>
        </w:rPr>
        <w:t>para que sea incluido dentro de</w:t>
      </w:r>
      <w:r w:rsidR="00250FDE">
        <w:rPr>
          <w:rFonts w:ascii="VAGRounded Lt" w:hAnsi="VAGRounded Lt"/>
          <w:color w:val="000000"/>
          <w:sz w:val="24"/>
          <w:szCs w:val="24"/>
        </w:rPr>
        <w:t xml:space="preserve"> una</w:t>
      </w:r>
      <w:r w:rsidR="00B963A6" w:rsidRPr="00B963A6">
        <w:rPr>
          <w:rFonts w:ascii="VAGRounded Lt" w:hAnsi="VAGRounded Lt"/>
          <w:color w:val="000000"/>
          <w:sz w:val="24"/>
          <w:szCs w:val="24"/>
        </w:rPr>
        <w:t xml:space="preserve"> </w:t>
      </w:r>
      <w:r w:rsidR="00250FDE">
        <w:rPr>
          <w:rFonts w:ascii="VAGRounded Lt" w:hAnsi="VAGRounded Lt"/>
          <w:color w:val="000000"/>
          <w:sz w:val="24"/>
          <w:szCs w:val="24"/>
        </w:rPr>
        <w:t>base de datos</w:t>
      </w:r>
      <w:r w:rsidR="005345B7">
        <w:rPr>
          <w:rFonts w:ascii="VAGRounded Lt" w:hAnsi="VAGRounded Lt"/>
          <w:color w:val="000000"/>
          <w:sz w:val="24"/>
          <w:szCs w:val="24"/>
        </w:rPr>
        <w:t>, p</w:t>
      </w:r>
      <w:r w:rsidR="00B963A6" w:rsidRPr="00B963A6">
        <w:rPr>
          <w:rFonts w:ascii="VAGRounded Lt" w:hAnsi="VAGRounded Lt"/>
          <w:color w:val="000000"/>
          <w:sz w:val="24"/>
          <w:szCs w:val="24"/>
        </w:rPr>
        <w:t>ara tal fin EPM dispondrá en su página web</w:t>
      </w:r>
      <w:r w:rsidR="0094635A">
        <w:rPr>
          <w:rFonts w:ascii="VAGRounded Lt" w:hAnsi="VAGRounded Lt"/>
          <w:color w:val="000000"/>
          <w:sz w:val="24"/>
          <w:szCs w:val="24"/>
        </w:rPr>
        <w:t xml:space="preserve"> </w:t>
      </w:r>
      <w:r w:rsidR="00B963A6" w:rsidRPr="00B963A6">
        <w:rPr>
          <w:rFonts w:ascii="VAGRounded Lt" w:hAnsi="VAGRounded Lt"/>
          <w:color w:val="000000"/>
          <w:sz w:val="24"/>
          <w:szCs w:val="24"/>
        </w:rPr>
        <w:t>un formato donde el usuario p</w:t>
      </w:r>
      <w:r w:rsidR="00B963A6">
        <w:rPr>
          <w:rFonts w:ascii="VAGRounded Lt" w:hAnsi="VAGRounded Lt"/>
          <w:color w:val="000000"/>
          <w:sz w:val="24"/>
          <w:szCs w:val="24"/>
        </w:rPr>
        <w:t>o</w:t>
      </w:r>
      <w:r w:rsidR="00B963A6" w:rsidRPr="00B963A6">
        <w:rPr>
          <w:rFonts w:ascii="VAGRounded Lt" w:hAnsi="VAGRounded Lt"/>
          <w:color w:val="000000"/>
          <w:sz w:val="24"/>
          <w:szCs w:val="24"/>
        </w:rPr>
        <w:t>drá registrar est</w:t>
      </w:r>
      <w:r w:rsidR="00B963A6">
        <w:rPr>
          <w:rFonts w:ascii="VAGRounded Lt" w:hAnsi="VAGRounded Lt"/>
          <w:color w:val="000000"/>
          <w:sz w:val="24"/>
          <w:szCs w:val="24"/>
        </w:rPr>
        <w:t>a</w:t>
      </w:r>
      <w:r w:rsidR="00B963A6" w:rsidRPr="00B963A6">
        <w:rPr>
          <w:rFonts w:ascii="VAGRounded Lt" w:hAnsi="VAGRounded Lt"/>
          <w:color w:val="000000"/>
          <w:sz w:val="24"/>
          <w:szCs w:val="24"/>
        </w:rPr>
        <w:t xml:space="preserve"> novedad.</w:t>
      </w:r>
    </w:p>
    <w:p w14:paraId="13049971" w14:textId="77777777" w:rsidR="00B963A6" w:rsidRDefault="00B963A6" w:rsidP="00D53AA7">
      <w:pPr>
        <w:jc w:val="both"/>
        <w:rPr>
          <w:rFonts w:ascii="VAGRounded Lt" w:hAnsi="VAGRounded Lt"/>
          <w:color w:val="000000"/>
          <w:sz w:val="24"/>
          <w:szCs w:val="24"/>
        </w:rPr>
      </w:pPr>
    </w:p>
    <w:p w14:paraId="6D93AB5C" w14:textId="12A53E78" w:rsidR="00B963A6" w:rsidRDefault="00D53AA7" w:rsidP="00B963A6">
      <w:pPr>
        <w:jc w:val="both"/>
        <w:rPr>
          <w:rFonts w:ascii="VAGRounded Lt" w:hAnsi="VAGRounded Lt"/>
          <w:color w:val="000000"/>
          <w:sz w:val="24"/>
          <w:szCs w:val="24"/>
        </w:rPr>
      </w:pPr>
      <w:r w:rsidRPr="00D53AA7">
        <w:rPr>
          <w:rFonts w:ascii="VAGRounded Lt" w:hAnsi="VAGRounded Lt"/>
          <w:b/>
          <w:bCs/>
          <w:i/>
          <w:iCs/>
          <w:color w:val="79D300"/>
          <w:sz w:val="24"/>
          <w:szCs w:val="24"/>
        </w:rPr>
        <w:t>c)</w:t>
      </w:r>
      <w:r w:rsidRPr="00D53AA7">
        <w:rPr>
          <w:rFonts w:ascii="VAGRounded Lt" w:hAnsi="VAGRounded Lt"/>
          <w:color w:val="000000"/>
          <w:sz w:val="24"/>
          <w:szCs w:val="24"/>
        </w:rPr>
        <w:t xml:space="preserve"> En caso de que no sea posible determinar la causa</w:t>
      </w:r>
      <w:r w:rsidR="00B963A6">
        <w:rPr>
          <w:rFonts w:ascii="VAGRounded Lt" w:hAnsi="VAGRounded Lt"/>
          <w:color w:val="000000"/>
          <w:sz w:val="24"/>
          <w:szCs w:val="24"/>
        </w:rPr>
        <w:t xml:space="preserve"> de la desviación</w:t>
      </w:r>
      <w:r w:rsidRPr="00D53AA7">
        <w:rPr>
          <w:rFonts w:ascii="VAGRounded Lt" w:hAnsi="VAGRounded Lt"/>
          <w:color w:val="000000"/>
          <w:sz w:val="24"/>
          <w:szCs w:val="24"/>
        </w:rPr>
        <w:t xml:space="preserve"> </w:t>
      </w:r>
      <w:r w:rsidR="00B963A6">
        <w:rPr>
          <w:rFonts w:ascii="VAGRounded Lt" w:hAnsi="VAGRounded Lt"/>
          <w:color w:val="000000"/>
          <w:sz w:val="24"/>
          <w:szCs w:val="24"/>
        </w:rPr>
        <w:t xml:space="preserve">significativa </w:t>
      </w:r>
      <w:r w:rsidRPr="00D53AA7">
        <w:rPr>
          <w:rFonts w:ascii="VAGRounded Lt" w:hAnsi="VAGRounded Lt"/>
          <w:color w:val="000000"/>
          <w:sz w:val="24"/>
          <w:szCs w:val="24"/>
        </w:rPr>
        <w:t xml:space="preserve">de acuerdo con </w:t>
      </w:r>
      <w:r w:rsidR="00B963A6">
        <w:rPr>
          <w:rFonts w:ascii="VAGRounded Lt" w:hAnsi="VAGRounded Lt"/>
          <w:color w:val="000000"/>
          <w:sz w:val="24"/>
          <w:szCs w:val="24"/>
        </w:rPr>
        <w:t>los</w:t>
      </w:r>
      <w:r w:rsidRPr="00D53AA7">
        <w:rPr>
          <w:rFonts w:ascii="VAGRounded Lt" w:hAnsi="VAGRounded Lt"/>
          <w:color w:val="000000"/>
          <w:sz w:val="24"/>
          <w:szCs w:val="24"/>
        </w:rPr>
        <w:t xml:space="preserve"> procedimiento</w:t>
      </w:r>
      <w:r w:rsidR="00B963A6">
        <w:rPr>
          <w:rFonts w:ascii="VAGRounded Lt" w:hAnsi="VAGRounded Lt"/>
          <w:color w:val="000000"/>
          <w:sz w:val="24"/>
          <w:szCs w:val="24"/>
        </w:rPr>
        <w:t>s</w:t>
      </w:r>
      <w:r w:rsidRPr="00D53AA7">
        <w:rPr>
          <w:rFonts w:ascii="VAGRounded Lt" w:hAnsi="VAGRounded Lt"/>
          <w:color w:val="000000"/>
          <w:sz w:val="24"/>
          <w:szCs w:val="24"/>
        </w:rPr>
        <w:t xml:space="preserve"> anterior</w:t>
      </w:r>
      <w:r w:rsidR="00B963A6">
        <w:rPr>
          <w:rFonts w:ascii="VAGRounded Lt" w:hAnsi="VAGRounded Lt"/>
          <w:color w:val="000000"/>
          <w:sz w:val="24"/>
          <w:szCs w:val="24"/>
        </w:rPr>
        <w:t>es</w:t>
      </w:r>
      <w:r w:rsidRPr="00D53AA7">
        <w:rPr>
          <w:rFonts w:ascii="VAGRounded Lt" w:hAnsi="VAGRounded Lt"/>
          <w:color w:val="000000"/>
          <w:sz w:val="24"/>
          <w:szCs w:val="24"/>
        </w:rPr>
        <w:t xml:space="preserve">, EPM realizará </w:t>
      </w:r>
      <w:r w:rsidR="00B963A6">
        <w:rPr>
          <w:rFonts w:ascii="VAGRounded Lt" w:hAnsi="VAGRounded Lt"/>
          <w:color w:val="000000"/>
          <w:sz w:val="24"/>
          <w:szCs w:val="24"/>
        </w:rPr>
        <w:t xml:space="preserve">una </w:t>
      </w:r>
      <w:r w:rsidRPr="00D53AA7">
        <w:rPr>
          <w:rFonts w:ascii="VAGRounded Lt" w:hAnsi="VAGRounded Lt"/>
          <w:color w:val="000000"/>
          <w:sz w:val="24"/>
          <w:szCs w:val="24"/>
        </w:rPr>
        <w:t xml:space="preserve">visita al predio para lo cual podrá comunicar al USUARIO la fecha de </w:t>
      </w:r>
      <w:r w:rsidR="00B963A6">
        <w:rPr>
          <w:rFonts w:ascii="VAGRounded Lt" w:hAnsi="VAGRounded Lt"/>
          <w:color w:val="000000"/>
          <w:sz w:val="24"/>
          <w:szCs w:val="24"/>
        </w:rPr>
        <w:t>esta</w:t>
      </w:r>
      <w:r w:rsidRPr="00D53AA7">
        <w:rPr>
          <w:rFonts w:ascii="VAGRounded Lt" w:hAnsi="VAGRounded Lt"/>
          <w:color w:val="000000"/>
          <w:sz w:val="24"/>
          <w:szCs w:val="24"/>
        </w:rPr>
        <w:t>. Cuando EPM realice dos visitas consecutivas con el fin de detectar la causa que generó la desviación significativa y las mismas no se puedan efectuar por causa imputable al USUARIO, siempre y cuando de éstas exista prueba documental</w:t>
      </w:r>
      <w:r w:rsidR="005345B7">
        <w:rPr>
          <w:rFonts w:ascii="VAGRounded Lt" w:hAnsi="VAGRounded Lt"/>
          <w:color w:val="000000"/>
          <w:sz w:val="24"/>
          <w:szCs w:val="24"/>
        </w:rPr>
        <w:t xml:space="preserve">. </w:t>
      </w:r>
      <w:r w:rsidRPr="00D53AA7">
        <w:rPr>
          <w:rFonts w:ascii="VAGRounded Lt" w:hAnsi="VAGRounded Lt"/>
          <w:color w:val="000000"/>
          <w:sz w:val="24"/>
          <w:szCs w:val="24"/>
        </w:rPr>
        <w:t xml:space="preserve">Una vez agotadas las etapas que se requieran en la investigación anteriormente descrita y EPM concluya que la causa que originó la desviación significativa fue el consumo realmente demandado en el inmueble, se cargará el consumo dejado en investigación en la facturación del período siguiente. </w:t>
      </w:r>
    </w:p>
    <w:p w14:paraId="101CDCEE" w14:textId="77777777" w:rsidR="00B963A6" w:rsidRDefault="00B963A6" w:rsidP="00B963A6">
      <w:pPr>
        <w:jc w:val="both"/>
        <w:rPr>
          <w:rFonts w:ascii="VAGRounded Lt" w:hAnsi="VAGRounded Lt"/>
          <w:color w:val="000000"/>
          <w:sz w:val="24"/>
          <w:szCs w:val="24"/>
        </w:rPr>
      </w:pPr>
    </w:p>
    <w:p w14:paraId="254D0733" w14:textId="77777777" w:rsidR="00D53AA7" w:rsidRDefault="00D53AA7" w:rsidP="00D53AA7">
      <w:pPr>
        <w:jc w:val="both"/>
        <w:rPr>
          <w:rFonts w:ascii="VAGRounded Lt" w:hAnsi="VAGRounded Lt"/>
          <w:color w:val="000000"/>
          <w:sz w:val="24"/>
          <w:szCs w:val="24"/>
        </w:rPr>
      </w:pPr>
    </w:p>
    <w:sectPr w:rsidR="00D53AA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C2387" w14:textId="77777777" w:rsidR="00A74E5F" w:rsidRDefault="00A74E5F" w:rsidP="002B341B">
      <w:r>
        <w:separator/>
      </w:r>
    </w:p>
  </w:endnote>
  <w:endnote w:type="continuationSeparator" w:id="0">
    <w:p w14:paraId="6C2F17CF" w14:textId="77777777" w:rsidR="00A74E5F" w:rsidRDefault="00A74E5F" w:rsidP="002B341B">
      <w:r>
        <w:continuationSeparator/>
      </w:r>
    </w:p>
  </w:endnote>
  <w:endnote w:type="continuationNotice" w:id="1">
    <w:p w14:paraId="5CF7ED57" w14:textId="77777777" w:rsidR="00A74E5F" w:rsidRDefault="00A74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Rounded Lt">
    <w:altName w:val="Calibri"/>
    <w:charset w:val="00"/>
    <w:family w:val="auto"/>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8BB6A" w14:textId="77777777" w:rsidR="00E740E1" w:rsidRDefault="00E740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A264F" w14:textId="77777777" w:rsidR="00A74E5F" w:rsidRDefault="00A74E5F" w:rsidP="002B341B">
      <w:r>
        <w:separator/>
      </w:r>
    </w:p>
  </w:footnote>
  <w:footnote w:type="continuationSeparator" w:id="0">
    <w:p w14:paraId="2017C450" w14:textId="77777777" w:rsidR="00A74E5F" w:rsidRDefault="00A74E5F" w:rsidP="002B341B">
      <w:r>
        <w:continuationSeparator/>
      </w:r>
    </w:p>
  </w:footnote>
  <w:footnote w:type="continuationNotice" w:id="1">
    <w:p w14:paraId="188AA8D1" w14:textId="77777777" w:rsidR="00A74E5F" w:rsidRDefault="00A74E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CBFC" w14:textId="77777777" w:rsidR="00E740E1" w:rsidRDefault="00E740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F63FF"/>
    <w:multiLevelType w:val="hybridMultilevel"/>
    <w:tmpl w:val="E10412FA"/>
    <w:lvl w:ilvl="0" w:tplc="A1722B34">
      <w:start w:val="5"/>
      <w:numFmt w:val="bullet"/>
      <w:lvlText w:val=""/>
      <w:lvlJc w:val="left"/>
      <w:pPr>
        <w:ind w:left="720" w:hanging="360"/>
      </w:pPr>
      <w:rPr>
        <w:rFonts w:ascii="Symbol" w:eastAsiaTheme="minorHAnsi"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45F66A8"/>
    <w:multiLevelType w:val="hybridMultilevel"/>
    <w:tmpl w:val="8DB26C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8A165B9"/>
    <w:multiLevelType w:val="hybridMultilevel"/>
    <w:tmpl w:val="C666B5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3710067"/>
    <w:multiLevelType w:val="hybridMultilevel"/>
    <w:tmpl w:val="36D287B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1383796732">
    <w:abstractNumId w:val="2"/>
  </w:num>
  <w:num w:numId="2" w16cid:durableId="372316936">
    <w:abstractNumId w:val="1"/>
  </w:num>
  <w:num w:numId="3" w16cid:durableId="1754549811">
    <w:abstractNumId w:val="0"/>
  </w:num>
  <w:num w:numId="4" w16cid:durableId="450049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B00"/>
    <w:rsid w:val="00072A33"/>
    <w:rsid w:val="00085D01"/>
    <w:rsid w:val="000E6167"/>
    <w:rsid w:val="001011A1"/>
    <w:rsid w:val="00172B95"/>
    <w:rsid w:val="0019681D"/>
    <w:rsid w:val="001F5FBD"/>
    <w:rsid w:val="001F605C"/>
    <w:rsid w:val="00240976"/>
    <w:rsid w:val="00250FDE"/>
    <w:rsid w:val="0026100B"/>
    <w:rsid w:val="002B341B"/>
    <w:rsid w:val="002D30A2"/>
    <w:rsid w:val="00335C29"/>
    <w:rsid w:val="00360250"/>
    <w:rsid w:val="003632C0"/>
    <w:rsid w:val="00367224"/>
    <w:rsid w:val="00425317"/>
    <w:rsid w:val="00427B19"/>
    <w:rsid w:val="004528E6"/>
    <w:rsid w:val="00477679"/>
    <w:rsid w:val="005345B7"/>
    <w:rsid w:val="005A1747"/>
    <w:rsid w:val="005F286C"/>
    <w:rsid w:val="006128C9"/>
    <w:rsid w:val="006158FB"/>
    <w:rsid w:val="00664114"/>
    <w:rsid w:val="006B68B3"/>
    <w:rsid w:val="006C2B84"/>
    <w:rsid w:val="0071109E"/>
    <w:rsid w:val="007D5C5B"/>
    <w:rsid w:val="007F6F42"/>
    <w:rsid w:val="008059E4"/>
    <w:rsid w:val="008100F0"/>
    <w:rsid w:val="008D68DA"/>
    <w:rsid w:val="008E044F"/>
    <w:rsid w:val="00916BCD"/>
    <w:rsid w:val="0094635A"/>
    <w:rsid w:val="00960891"/>
    <w:rsid w:val="009B1B83"/>
    <w:rsid w:val="009E331C"/>
    <w:rsid w:val="00A27F6B"/>
    <w:rsid w:val="00A6034F"/>
    <w:rsid w:val="00A6138E"/>
    <w:rsid w:val="00A64704"/>
    <w:rsid w:val="00A74E5F"/>
    <w:rsid w:val="00A76EE9"/>
    <w:rsid w:val="00AB0D72"/>
    <w:rsid w:val="00B963A6"/>
    <w:rsid w:val="00BB3FD0"/>
    <w:rsid w:val="00BF5D88"/>
    <w:rsid w:val="00C06AC8"/>
    <w:rsid w:val="00C737AA"/>
    <w:rsid w:val="00D009F7"/>
    <w:rsid w:val="00D53AA7"/>
    <w:rsid w:val="00D9497D"/>
    <w:rsid w:val="00DC6C06"/>
    <w:rsid w:val="00E202C3"/>
    <w:rsid w:val="00E52BF1"/>
    <w:rsid w:val="00E626A7"/>
    <w:rsid w:val="00E740E1"/>
    <w:rsid w:val="00EA06B4"/>
    <w:rsid w:val="00F30482"/>
    <w:rsid w:val="00F61BF1"/>
    <w:rsid w:val="00F80B00"/>
    <w:rsid w:val="00F84119"/>
    <w:rsid w:val="00FA46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AFB98"/>
  <w15:chartTrackingRefBased/>
  <w15:docId w15:val="{C089ADF7-08DE-4EDB-943C-41CCC3A1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B00"/>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F80B00"/>
    <w:pPr>
      <w:autoSpaceDE w:val="0"/>
      <w:autoSpaceDN w:val="0"/>
    </w:pPr>
    <w:rPr>
      <w:rFonts w:ascii="VAGRounded Lt" w:hAnsi="VAGRounded Lt"/>
      <w:color w:val="000000"/>
      <w:sz w:val="24"/>
      <w:szCs w:val="24"/>
    </w:rPr>
  </w:style>
  <w:style w:type="paragraph" w:styleId="Encabezado">
    <w:name w:val="header"/>
    <w:basedOn w:val="Normal"/>
    <w:link w:val="EncabezadoCar"/>
    <w:uiPriority w:val="99"/>
    <w:unhideWhenUsed/>
    <w:rsid w:val="002B341B"/>
    <w:pPr>
      <w:tabs>
        <w:tab w:val="center" w:pos="4419"/>
        <w:tab w:val="right" w:pos="8838"/>
      </w:tabs>
    </w:pPr>
  </w:style>
  <w:style w:type="character" w:customStyle="1" w:styleId="EncabezadoCar">
    <w:name w:val="Encabezado Car"/>
    <w:basedOn w:val="Fuentedeprrafopredeter"/>
    <w:link w:val="Encabezado"/>
    <w:uiPriority w:val="99"/>
    <w:rsid w:val="002B341B"/>
    <w:rPr>
      <w:rFonts w:ascii="Calibri" w:hAnsi="Calibri" w:cs="Calibri"/>
    </w:rPr>
  </w:style>
  <w:style w:type="paragraph" w:styleId="Piedepgina">
    <w:name w:val="footer"/>
    <w:basedOn w:val="Normal"/>
    <w:link w:val="PiedepginaCar"/>
    <w:uiPriority w:val="99"/>
    <w:unhideWhenUsed/>
    <w:rsid w:val="002B341B"/>
    <w:pPr>
      <w:tabs>
        <w:tab w:val="center" w:pos="4419"/>
        <w:tab w:val="right" w:pos="8838"/>
      </w:tabs>
    </w:pPr>
  </w:style>
  <w:style w:type="character" w:customStyle="1" w:styleId="PiedepginaCar">
    <w:name w:val="Pie de página Car"/>
    <w:basedOn w:val="Fuentedeprrafopredeter"/>
    <w:link w:val="Piedepgina"/>
    <w:uiPriority w:val="99"/>
    <w:rsid w:val="002B341B"/>
    <w:rPr>
      <w:rFonts w:ascii="Calibri" w:hAnsi="Calibri" w:cs="Calibri"/>
    </w:rPr>
  </w:style>
  <w:style w:type="character" w:customStyle="1" w:styleId="normaltextrun">
    <w:name w:val="normaltextrun"/>
    <w:basedOn w:val="Fuentedeprrafopredeter"/>
    <w:rsid w:val="00477679"/>
  </w:style>
  <w:style w:type="character" w:customStyle="1" w:styleId="eop">
    <w:name w:val="eop"/>
    <w:basedOn w:val="Fuentedeprrafopredeter"/>
    <w:rsid w:val="00477679"/>
  </w:style>
  <w:style w:type="paragraph" w:styleId="Prrafodelista">
    <w:name w:val="List Paragraph"/>
    <w:basedOn w:val="Normal"/>
    <w:uiPriority w:val="34"/>
    <w:qFormat/>
    <w:rsid w:val="00D53AA7"/>
    <w:pPr>
      <w:ind w:left="720"/>
      <w:contextualSpacing/>
    </w:pPr>
  </w:style>
  <w:style w:type="paragraph" w:styleId="Revisin">
    <w:name w:val="Revision"/>
    <w:hidden/>
    <w:uiPriority w:val="99"/>
    <w:semiHidden/>
    <w:rsid w:val="00427B19"/>
    <w:pPr>
      <w:spacing w:after="0" w:line="240" w:lineRule="auto"/>
    </w:pPr>
    <w:rPr>
      <w:rFonts w:ascii="Calibri" w:hAnsi="Calibri" w:cs="Calibri"/>
    </w:rPr>
  </w:style>
  <w:style w:type="character" w:styleId="Refdecomentario">
    <w:name w:val="annotation reference"/>
    <w:basedOn w:val="Fuentedeprrafopredeter"/>
    <w:uiPriority w:val="99"/>
    <w:semiHidden/>
    <w:unhideWhenUsed/>
    <w:rsid w:val="00A6034F"/>
    <w:rPr>
      <w:sz w:val="16"/>
      <w:szCs w:val="16"/>
    </w:rPr>
  </w:style>
  <w:style w:type="paragraph" w:styleId="Textocomentario">
    <w:name w:val="annotation text"/>
    <w:basedOn w:val="Normal"/>
    <w:link w:val="TextocomentarioCar"/>
    <w:uiPriority w:val="99"/>
    <w:unhideWhenUsed/>
    <w:rsid w:val="00A6034F"/>
    <w:rPr>
      <w:sz w:val="20"/>
      <w:szCs w:val="20"/>
    </w:rPr>
  </w:style>
  <w:style w:type="character" w:customStyle="1" w:styleId="TextocomentarioCar">
    <w:name w:val="Texto comentario Car"/>
    <w:basedOn w:val="Fuentedeprrafopredeter"/>
    <w:link w:val="Textocomentario"/>
    <w:uiPriority w:val="99"/>
    <w:rsid w:val="00A6034F"/>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A6034F"/>
    <w:rPr>
      <w:b/>
      <w:bCs/>
    </w:rPr>
  </w:style>
  <w:style w:type="character" w:customStyle="1" w:styleId="AsuntodelcomentarioCar">
    <w:name w:val="Asunto del comentario Car"/>
    <w:basedOn w:val="TextocomentarioCar"/>
    <w:link w:val="Asuntodelcomentario"/>
    <w:uiPriority w:val="99"/>
    <w:semiHidden/>
    <w:rsid w:val="00A6034F"/>
    <w:rPr>
      <w:rFonts w:ascii="Calibri" w:hAnsi="Calibri" w:cs="Calibri"/>
      <w:b/>
      <w:bCs/>
      <w:sz w:val="20"/>
      <w:szCs w:val="20"/>
    </w:rPr>
  </w:style>
  <w:style w:type="character" w:customStyle="1" w:styleId="ui-provider">
    <w:name w:val="ui-provider"/>
    <w:basedOn w:val="Fuentedeprrafopredeter"/>
    <w:rsid w:val="00AB0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850021">
      <w:bodyDiv w:val="1"/>
      <w:marLeft w:val="0"/>
      <w:marRight w:val="0"/>
      <w:marTop w:val="0"/>
      <w:marBottom w:val="0"/>
      <w:divBdr>
        <w:top w:val="none" w:sz="0" w:space="0" w:color="auto"/>
        <w:left w:val="none" w:sz="0" w:space="0" w:color="auto"/>
        <w:bottom w:val="none" w:sz="0" w:space="0" w:color="auto"/>
        <w:right w:val="none" w:sz="0" w:space="0" w:color="auto"/>
      </w:divBdr>
    </w:div>
    <w:div w:id="151762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1505</Words>
  <Characters>8278</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GIOVANNY DE JESUS MEZA MENESES</dc:creator>
  <cp:keywords/>
  <dc:description/>
  <cp:lastModifiedBy>GIOVANNY DE JESUS MEZA MENESES</cp:lastModifiedBy>
  <cp:revision>2</cp:revision>
  <cp:lastPrinted>2023-09-21T18:50:00Z</cp:lastPrinted>
  <dcterms:created xsi:type="dcterms:W3CDTF">2024-04-16T19:07:00Z</dcterms:created>
  <dcterms:modified xsi:type="dcterms:W3CDTF">2024-04-16T19:07:00Z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cab09b-e61a-4c01-96e7-67fc9e3d8cd5_Enabled">
    <vt:lpwstr>True</vt:lpwstr>
  </property>
  <property fmtid="{D5CDD505-2E9C-101B-9397-08002B2CF9AE}" pid="3" name="MSIP_Label_86cab09b-e61a-4c01-96e7-67fc9e3d8cd5_SiteId">
    <vt:lpwstr>bf1ce8b5-5d39-4bc5-ad6e-07b3e4d7d67a</vt:lpwstr>
  </property>
  <property fmtid="{D5CDD505-2E9C-101B-9397-08002B2CF9AE}" pid="4" name="MSIP_Label_86cab09b-e61a-4c01-96e7-67fc9e3d8cd5_SetDate">
    <vt:lpwstr>2024-04-08T18:44:08Z</vt:lpwstr>
  </property>
  <property fmtid="{D5CDD505-2E9C-101B-9397-08002B2CF9AE}" pid="5" name="MSIP_Label_86cab09b-e61a-4c01-96e7-67fc9e3d8cd5_Name">
    <vt:lpwstr>Private \ Todos los Empleados</vt:lpwstr>
  </property>
  <property fmtid="{D5CDD505-2E9C-101B-9397-08002B2CF9AE}" pid="6" name="MSIP_Label_86cab09b-e61a-4c01-96e7-67fc9e3d8cd5_Extended_MSFT_Method">
    <vt:lpwstr>Privileged</vt:lpwstr>
  </property>
</Properties>
</file>