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54402" w14:textId="294A5BB8" w:rsidR="0063699D" w:rsidRPr="00F0291C" w:rsidRDefault="0063699D" w:rsidP="00E518F1">
      <w:pPr>
        <w:spacing w:after="0" w:line="240" w:lineRule="auto"/>
        <w:ind w:right="198"/>
        <w:jc w:val="center"/>
        <w:rPr>
          <w:rFonts w:ascii="Arial Narrow" w:hAnsi="Arial Narrow" w:cs="Arial"/>
          <w:b/>
          <w:bCs/>
        </w:rPr>
      </w:pPr>
      <w:r w:rsidRPr="00F0291C">
        <w:rPr>
          <w:rFonts w:ascii="Arial Narrow" w:hAnsi="Arial Narrow" w:cs="Arial"/>
          <w:b/>
          <w:bCs/>
        </w:rPr>
        <w:t>D</w:t>
      </w:r>
      <w:r w:rsidR="003B0446" w:rsidRPr="00F0291C">
        <w:rPr>
          <w:rFonts w:ascii="Arial Narrow" w:hAnsi="Arial Narrow" w:cs="Arial"/>
          <w:b/>
          <w:bCs/>
        </w:rPr>
        <w:t xml:space="preserve">ecreto </w:t>
      </w:r>
      <w:proofErr w:type="gramStart"/>
      <w:r w:rsidR="003B0446" w:rsidRPr="00F0291C">
        <w:rPr>
          <w:rFonts w:ascii="Arial Narrow" w:hAnsi="Arial Narrow" w:cs="Arial"/>
          <w:b/>
          <w:bCs/>
        </w:rPr>
        <w:t>No.</w:t>
      </w:r>
      <w:r w:rsidRPr="00F0291C">
        <w:rPr>
          <w:rFonts w:ascii="Arial Narrow" w:hAnsi="Arial Narrow" w:cs="Arial"/>
          <w:b/>
          <w:bCs/>
        </w:rPr>
        <w:t xml:space="preserve">  </w:t>
      </w:r>
      <w:r w:rsidR="006A343B">
        <w:rPr>
          <w:rFonts w:ascii="Arial Narrow" w:hAnsi="Arial Narrow" w:cs="Arial"/>
          <w:b/>
          <w:bCs/>
        </w:rPr>
        <w:t>874</w:t>
      </w:r>
      <w:proofErr w:type="gramEnd"/>
    </w:p>
    <w:p w14:paraId="6D6EED5F" w14:textId="2D63C3D0" w:rsidR="0063699D" w:rsidRPr="00AE4863" w:rsidRDefault="0063699D" w:rsidP="00E518F1">
      <w:pPr>
        <w:spacing w:after="0" w:line="240" w:lineRule="auto"/>
        <w:ind w:right="198"/>
        <w:jc w:val="center"/>
        <w:rPr>
          <w:rFonts w:ascii="Arial Narrow" w:hAnsi="Arial Narrow" w:cs="Arial"/>
        </w:rPr>
      </w:pPr>
      <w:r w:rsidRPr="00AE4863">
        <w:rPr>
          <w:rFonts w:ascii="Arial Narrow" w:hAnsi="Arial Narrow" w:cs="Arial"/>
        </w:rPr>
        <w:t>(</w:t>
      </w:r>
      <w:proofErr w:type="gramStart"/>
      <w:r w:rsidR="006E16D6" w:rsidRPr="00AE4863">
        <w:rPr>
          <w:rFonts w:ascii="Arial Narrow" w:hAnsi="Arial Narrow" w:cs="Arial"/>
        </w:rPr>
        <w:t>Junio</w:t>
      </w:r>
      <w:proofErr w:type="gramEnd"/>
      <w:r w:rsidR="006E16D6" w:rsidRPr="00AE4863">
        <w:rPr>
          <w:rFonts w:ascii="Arial Narrow" w:hAnsi="Arial Narrow" w:cs="Arial"/>
        </w:rPr>
        <w:t xml:space="preserve"> 3 de 2025</w:t>
      </w:r>
      <w:r w:rsidRPr="00AE4863">
        <w:rPr>
          <w:rFonts w:ascii="Arial Narrow" w:hAnsi="Arial Narrow" w:cs="Arial"/>
        </w:rPr>
        <w:t>)</w:t>
      </w:r>
    </w:p>
    <w:p w14:paraId="53953DE3" w14:textId="0CC3549A" w:rsidR="0063699D" w:rsidRDefault="0063699D" w:rsidP="00E518F1">
      <w:pPr>
        <w:spacing w:after="0" w:line="240" w:lineRule="auto"/>
        <w:ind w:right="200"/>
        <w:rPr>
          <w:rFonts w:ascii="Arial Narrow" w:hAnsi="Arial Narrow" w:cs="Arial"/>
        </w:rPr>
      </w:pPr>
    </w:p>
    <w:p w14:paraId="4DA25231" w14:textId="77777777" w:rsidR="00773CF6" w:rsidRDefault="00773CF6" w:rsidP="00E518F1">
      <w:pPr>
        <w:spacing w:after="0" w:line="240" w:lineRule="auto"/>
        <w:ind w:right="200"/>
        <w:rPr>
          <w:rFonts w:ascii="Arial Narrow" w:hAnsi="Arial Narrow" w:cs="Arial"/>
        </w:rPr>
      </w:pPr>
    </w:p>
    <w:p w14:paraId="68A3E0EC" w14:textId="77777777" w:rsidR="00773CF6" w:rsidRPr="00F0291C" w:rsidRDefault="00773CF6" w:rsidP="00E518F1">
      <w:pPr>
        <w:spacing w:after="0" w:line="240" w:lineRule="auto"/>
        <w:ind w:right="200"/>
        <w:rPr>
          <w:rFonts w:ascii="Arial Narrow" w:hAnsi="Arial Narrow" w:cs="Arial"/>
        </w:rPr>
      </w:pPr>
    </w:p>
    <w:p w14:paraId="1F74085B" w14:textId="77777777" w:rsidR="0063699D" w:rsidRDefault="0063699D" w:rsidP="00E518F1">
      <w:pPr>
        <w:autoSpaceDE w:val="0"/>
        <w:autoSpaceDN w:val="0"/>
        <w:adjustRightInd w:val="0"/>
        <w:spacing w:after="0" w:line="240" w:lineRule="auto"/>
        <w:ind w:right="49"/>
        <w:jc w:val="center"/>
        <w:rPr>
          <w:rFonts w:ascii="Arial Narrow" w:hAnsi="Arial Narrow" w:cs="ArialMT"/>
          <w:b/>
          <w:bCs/>
        </w:rPr>
      </w:pPr>
      <w:r w:rsidRPr="00F0291C">
        <w:rPr>
          <w:rFonts w:ascii="Arial Narrow" w:hAnsi="Arial Narrow" w:cs="ArialMT"/>
          <w:b/>
          <w:bCs/>
        </w:rPr>
        <w:t>Por medio del cual se actualiza el Costo Medio de Inversión (CMI) de los servicios públicos domiciliarios de acueducto y alcantarillado que presta EMPRESAS PÚBLICAS DE MEDELLÍN E.S.P. en las Áreas de Prestación del Servicio (APS) que conforman el Mercado Regional, como consecuencia de la actualización del Plan de Obras e Inversiones Regulado (POIR) en aplicación del artículo 2.1.2.1.4.3.10 de la Resolución CRA 943 de 2021.</w:t>
      </w:r>
    </w:p>
    <w:p w14:paraId="18404015" w14:textId="77777777" w:rsidR="00E518F1" w:rsidRDefault="00E518F1" w:rsidP="00E518F1">
      <w:pPr>
        <w:autoSpaceDE w:val="0"/>
        <w:autoSpaceDN w:val="0"/>
        <w:adjustRightInd w:val="0"/>
        <w:spacing w:after="0" w:line="240" w:lineRule="auto"/>
        <w:ind w:right="49"/>
        <w:jc w:val="center"/>
        <w:rPr>
          <w:rFonts w:ascii="Arial Narrow" w:hAnsi="Arial Narrow" w:cs="ArialMT"/>
          <w:b/>
          <w:bCs/>
        </w:rPr>
      </w:pPr>
    </w:p>
    <w:p w14:paraId="432F996A" w14:textId="77777777" w:rsidR="00773CF6" w:rsidRPr="00F0291C" w:rsidRDefault="00773CF6" w:rsidP="00E518F1">
      <w:pPr>
        <w:autoSpaceDE w:val="0"/>
        <w:autoSpaceDN w:val="0"/>
        <w:adjustRightInd w:val="0"/>
        <w:spacing w:after="0" w:line="240" w:lineRule="auto"/>
        <w:ind w:right="49"/>
        <w:jc w:val="center"/>
        <w:rPr>
          <w:rFonts w:ascii="Arial Narrow" w:hAnsi="Arial Narrow" w:cs="ArialMT"/>
          <w:b/>
          <w:bCs/>
        </w:rPr>
      </w:pPr>
    </w:p>
    <w:p w14:paraId="325EA996" w14:textId="77777777" w:rsidR="0063699D" w:rsidRDefault="0063699D" w:rsidP="00D856BC">
      <w:pPr>
        <w:autoSpaceDE w:val="0"/>
        <w:autoSpaceDN w:val="0"/>
        <w:adjustRightInd w:val="0"/>
        <w:spacing w:after="0" w:line="240" w:lineRule="auto"/>
        <w:jc w:val="both"/>
        <w:rPr>
          <w:rFonts w:ascii="Arial Narrow" w:hAnsi="Arial Narrow"/>
        </w:rPr>
      </w:pPr>
      <w:r w:rsidRPr="004F560A">
        <w:rPr>
          <w:rFonts w:ascii="Arial Narrow" w:hAnsi="Arial Narrow"/>
        </w:rPr>
        <w:t xml:space="preserve">La </w:t>
      </w:r>
      <w:r w:rsidRPr="004F560A">
        <w:rPr>
          <w:rFonts w:ascii="Arial Narrow" w:hAnsi="Arial Narrow"/>
          <w:b/>
        </w:rPr>
        <w:t>JUNTA DIRECTIVA</w:t>
      </w:r>
      <w:r w:rsidRPr="004F560A">
        <w:rPr>
          <w:rFonts w:ascii="Arial Narrow" w:hAnsi="Arial Narrow"/>
        </w:rPr>
        <w:t xml:space="preserve">, en su rol de entidad tarifaria local de </w:t>
      </w:r>
      <w:r w:rsidRPr="004F560A">
        <w:rPr>
          <w:rFonts w:ascii="Arial Narrow" w:hAnsi="Arial Narrow"/>
          <w:b/>
        </w:rPr>
        <w:t xml:space="preserve">EMPRESAS PÚBLICAS DE MEDELLÍN E.S.P. (EPM), </w:t>
      </w:r>
      <w:r w:rsidRPr="004F560A">
        <w:rPr>
          <w:rFonts w:ascii="Arial Narrow" w:hAnsi="Arial Narrow"/>
        </w:rPr>
        <w:t>en ejercicio de sus facultades legales y estatutarias, especialmente las contempladas por el artículo 1.2.1 de la Resolución CRA 943 de 2021, y</w:t>
      </w:r>
    </w:p>
    <w:p w14:paraId="06383B96" w14:textId="77777777" w:rsidR="00E518F1" w:rsidRPr="004F560A" w:rsidRDefault="00E518F1" w:rsidP="00E518F1">
      <w:pPr>
        <w:autoSpaceDE w:val="0"/>
        <w:autoSpaceDN w:val="0"/>
        <w:adjustRightInd w:val="0"/>
        <w:spacing w:after="0" w:line="240" w:lineRule="auto"/>
        <w:jc w:val="center"/>
        <w:rPr>
          <w:rFonts w:ascii="Arial Narrow" w:hAnsi="Arial Narrow"/>
        </w:rPr>
      </w:pPr>
    </w:p>
    <w:p w14:paraId="749CB2F6" w14:textId="77777777" w:rsidR="0063699D" w:rsidRDefault="0063699D" w:rsidP="00E518F1">
      <w:pPr>
        <w:autoSpaceDE w:val="0"/>
        <w:autoSpaceDN w:val="0"/>
        <w:adjustRightInd w:val="0"/>
        <w:spacing w:after="0" w:line="240" w:lineRule="auto"/>
        <w:jc w:val="both"/>
        <w:rPr>
          <w:rFonts w:ascii="Arial Narrow" w:hAnsi="Arial Narrow" w:cs="ArialMT"/>
        </w:rPr>
      </w:pPr>
    </w:p>
    <w:p w14:paraId="418D6E9C" w14:textId="77777777" w:rsidR="00773CF6" w:rsidRPr="00F0291C" w:rsidRDefault="00773CF6" w:rsidP="00E518F1">
      <w:pPr>
        <w:autoSpaceDE w:val="0"/>
        <w:autoSpaceDN w:val="0"/>
        <w:adjustRightInd w:val="0"/>
        <w:spacing w:after="0" w:line="240" w:lineRule="auto"/>
        <w:jc w:val="both"/>
        <w:rPr>
          <w:rFonts w:ascii="Arial Narrow" w:hAnsi="Arial Narrow" w:cs="ArialMT"/>
        </w:rPr>
      </w:pPr>
    </w:p>
    <w:p w14:paraId="3A8A6E8B" w14:textId="5CA776B4" w:rsidR="0063699D" w:rsidRDefault="0063699D" w:rsidP="00E518F1">
      <w:pPr>
        <w:autoSpaceDE w:val="0"/>
        <w:autoSpaceDN w:val="0"/>
        <w:adjustRightInd w:val="0"/>
        <w:spacing w:after="0" w:line="240" w:lineRule="auto"/>
        <w:jc w:val="center"/>
        <w:rPr>
          <w:rFonts w:ascii="Arial Narrow" w:hAnsi="Arial Narrow" w:cs="Arial-BoldMT"/>
          <w:b/>
          <w:bCs/>
        </w:rPr>
      </w:pPr>
      <w:r w:rsidRPr="00F0291C">
        <w:rPr>
          <w:rFonts w:ascii="Arial Narrow" w:hAnsi="Arial Narrow" w:cs="Arial-BoldMT"/>
          <w:b/>
          <w:bCs/>
        </w:rPr>
        <w:t>CONSIDERANDO</w:t>
      </w:r>
    </w:p>
    <w:p w14:paraId="04C92654" w14:textId="77777777" w:rsidR="00E518F1" w:rsidRPr="00F0291C" w:rsidRDefault="00E518F1" w:rsidP="00E518F1">
      <w:pPr>
        <w:autoSpaceDE w:val="0"/>
        <w:autoSpaceDN w:val="0"/>
        <w:adjustRightInd w:val="0"/>
        <w:spacing w:after="0" w:line="240" w:lineRule="auto"/>
        <w:jc w:val="center"/>
        <w:rPr>
          <w:rFonts w:ascii="Arial Narrow" w:hAnsi="Arial Narrow" w:cs="Arial-BoldMT"/>
          <w:b/>
          <w:bCs/>
        </w:rPr>
      </w:pPr>
    </w:p>
    <w:p w14:paraId="6BBFA8FA" w14:textId="77777777" w:rsidR="0063699D" w:rsidRPr="004F560A" w:rsidRDefault="0063699D" w:rsidP="00E518F1">
      <w:pPr>
        <w:pStyle w:val="Default"/>
        <w:rPr>
          <w:sz w:val="22"/>
          <w:szCs w:val="22"/>
        </w:rPr>
      </w:pPr>
    </w:p>
    <w:p w14:paraId="32C280E6" w14:textId="74DF9FD5" w:rsidR="0063699D" w:rsidRPr="00EA7BE7" w:rsidRDefault="00BE2797" w:rsidP="00EA7BE7">
      <w:pPr>
        <w:pStyle w:val="Default"/>
        <w:numPr>
          <w:ilvl w:val="0"/>
          <w:numId w:val="7"/>
        </w:numPr>
        <w:ind w:left="360"/>
        <w:jc w:val="both"/>
        <w:rPr>
          <w:rFonts w:ascii="Arial Narrow" w:eastAsia="Arial Narrow" w:hAnsi="Arial Narrow" w:cs="Arial Narrow"/>
          <w:color w:val="auto"/>
          <w:sz w:val="22"/>
          <w:szCs w:val="22"/>
        </w:rPr>
      </w:pPr>
      <w:r>
        <w:rPr>
          <w:rFonts w:ascii="Arial Narrow" w:eastAsia="Arial Narrow" w:hAnsi="Arial Narrow" w:cs="Arial Narrow"/>
          <w:color w:val="auto"/>
          <w:sz w:val="22"/>
          <w:szCs w:val="22"/>
        </w:rPr>
        <w:t>Que e</w:t>
      </w:r>
      <w:r w:rsidR="0063699D" w:rsidRPr="00EA7BE7">
        <w:rPr>
          <w:rFonts w:ascii="Arial Narrow" w:eastAsia="Arial Narrow" w:hAnsi="Arial Narrow" w:cs="Arial Narrow"/>
          <w:color w:val="auto"/>
          <w:sz w:val="22"/>
          <w:szCs w:val="22"/>
        </w:rPr>
        <w:t xml:space="preserve">l artículo 17, literal h), del Acuerdo No. 12 del 28 de mayo de 1998 del Concejo de Medellín, por medio del cual se adoptaron los estatutos de EPM, otorga a la Junta Directiva de la Entidad la función de fijar las tarifas en aquellos casos en que le sea asignada la competencia por una norma superior. </w:t>
      </w:r>
    </w:p>
    <w:p w14:paraId="6AD7B79E" w14:textId="77777777" w:rsidR="0063699D" w:rsidRPr="00EA7BE7" w:rsidRDefault="0063699D" w:rsidP="00EA7BE7">
      <w:pPr>
        <w:pStyle w:val="Default"/>
        <w:ind w:left="360"/>
        <w:jc w:val="both"/>
        <w:rPr>
          <w:rFonts w:ascii="Arial Narrow" w:eastAsia="Arial Narrow" w:hAnsi="Arial Narrow" w:cs="Arial Narrow"/>
          <w:color w:val="auto"/>
          <w:sz w:val="22"/>
          <w:szCs w:val="22"/>
        </w:rPr>
      </w:pPr>
    </w:p>
    <w:p w14:paraId="70AC0DD9" w14:textId="2A9838EE" w:rsidR="0063699D" w:rsidRPr="00EA7BE7" w:rsidRDefault="00BE2797" w:rsidP="00EA7BE7">
      <w:pPr>
        <w:pStyle w:val="Default"/>
        <w:numPr>
          <w:ilvl w:val="0"/>
          <w:numId w:val="7"/>
        </w:numPr>
        <w:ind w:left="360"/>
        <w:jc w:val="both"/>
        <w:rPr>
          <w:rFonts w:ascii="Arial Narrow" w:eastAsia="Arial Narrow" w:hAnsi="Arial Narrow" w:cs="Arial Narrow"/>
          <w:color w:val="auto"/>
          <w:sz w:val="22"/>
          <w:szCs w:val="22"/>
        </w:rPr>
      </w:pPr>
      <w:r>
        <w:rPr>
          <w:rFonts w:ascii="Arial Narrow" w:eastAsia="Arial Narrow" w:hAnsi="Arial Narrow" w:cs="Arial Narrow"/>
          <w:color w:val="auto"/>
          <w:sz w:val="22"/>
          <w:szCs w:val="22"/>
        </w:rPr>
        <w:t>Que d</w:t>
      </w:r>
      <w:r w:rsidR="0063699D" w:rsidRPr="00EA7BE7">
        <w:rPr>
          <w:rFonts w:ascii="Arial Narrow" w:eastAsia="Arial Narrow" w:hAnsi="Arial Narrow" w:cs="Arial Narrow"/>
          <w:color w:val="auto"/>
          <w:sz w:val="22"/>
          <w:szCs w:val="22"/>
        </w:rPr>
        <w:t xml:space="preserve">e conformidad con el artículo 1.2.1. de la Resolución 943 de 2021, expedida por la Comisión de Regulación de Agua Potable y Saneamiento Básico (CRA), le corresponde a la Junta Directiva o quien haga sus veces, en calidad de entidad tarifaria local, definir las tarifas de los servicios de acueducto y alcantarillado. </w:t>
      </w:r>
    </w:p>
    <w:p w14:paraId="139C3BF0" w14:textId="77777777" w:rsidR="0063699D" w:rsidRPr="00EA7BE7" w:rsidRDefault="0063699D" w:rsidP="00EA7BE7">
      <w:pPr>
        <w:pStyle w:val="Default"/>
        <w:ind w:left="360"/>
        <w:jc w:val="both"/>
        <w:rPr>
          <w:rFonts w:ascii="Arial Narrow" w:eastAsia="Arial Narrow" w:hAnsi="Arial Narrow" w:cs="Arial Narrow"/>
          <w:color w:val="auto"/>
          <w:sz w:val="22"/>
          <w:szCs w:val="22"/>
        </w:rPr>
      </w:pPr>
    </w:p>
    <w:p w14:paraId="6BB434A3" w14:textId="5DF20805" w:rsidR="0063699D" w:rsidRPr="00EA7BE7" w:rsidRDefault="00BE2797" w:rsidP="00EA7BE7">
      <w:pPr>
        <w:pStyle w:val="Default"/>
        <w:numPr>
          <w:ilvl w:val="0"/>
          <w:numId w:val="7"/>
        </w:numPr>
        <w:ind w:left="360"/>
        <w:jc w:val="both"/>
        <w:rPr>
          <w:rFonts w:ascii="Arial Narrow" w:eastAsia="Arial Narrow" w:hAnsi="Arial Narrow" w:cs="Arial Narrow"/>
          <w:color w:val="auto"/>
          <w:sz w:val="22"/>
          <w:szCs w:val="22"/>
        </w:rPr>
      </w:pPr>
      <w:r>
        <w:rPr>
          <w:rFonts w:ascii="Arial Narrow" w:eastAsia="Arial Narrow" w:hAnsi="Arial Narrow" w:cs="Arial Narrow"/>
          <w:color w:val="auto"/>
          <w:sz w:val="22"/>
          <w:szCs w:val="22"/>
        </w:rPr>
        <w:t>Que e</w:t>
      </w:r>
      <w:r w:rsidR="0063699D" w:rsidRPr="00EA7BE7">
        <w:rPr>
          <w:rFonts w:ascii="Arial Narrow" w:eastAsia="Arial Narrow" w:hAnsi="Arial Narrow" w:cs="Arial Narrow"/>
          <w:color w:val="auto"/>
          <w:sz w:val="22"/>
          <w:szCs w:val="22"/>
        </w:rPr>
        <w:t xml:space="preserve">l numeral 3.3. del artículo 3 de la Ley 142 de 1994 </w:t>
      </w:r>
      <w:r w:rsidR="007A7DCF" w:rsidRPr="00EA7BE7">
        <w:rPr>
          <w:rFonts w:ascii="Arial Narrow" w:eastAsia="Arial Narrow" w:hAnsi="Arial Narrow" w:cs="Arial Narrow"/>
          <w:color w:val="auto"/>
          <w:sz w:val="22"/>
          <w:szCs w:val="22"/>
        </w:rPr>
        <w:t xml:space="preserve">establece como instrumento de intervención estatal </w:t>
      </w:r>
      <w:r w:rsidR="0063699D" w:rsidRPr="00EA7BE7">
        <w:rPr>
          <w:rFonts w:ascii="Arial Narrow" w:eastAsia="Arial Narrow" w:hAnsi="Arial Narrow" w:cs="Arial Narrow"/>
          <w:color w:val="auto"/>
          <w:sz w:val="22"/>
          <w:szCs w:val="22"/>
        </w:rPr>
        <w:t xml:space="preserve">la regulación de la prestación de los servicios públicos teniendo en cuenta las características de cada región, así como la fijación de metas de eficiencia, cobertura y calidad, evaluación de estas y la definición del régimen tarifario. </w:t>
      </w:r>
    </w:p>
    <w:p w14:paraId="7B5431DE" w14:textId="77777777" w:rsidR="0063699D" w:rsidRPr="00EA7BE7" w:rsidRDefault="0063699D" w:rsidP="00EA7BE7">
      <w:pPr>
        <w:pStyle w:val="Default"/>
        <w:ind w:left="360"/>
        <w:jc w:val="both"/>
        <w:rPr>
          <w:rFonts w:ascii="Arial Narrow" w:eastAsia="Arial Narrow" w:hAnsi="Arial Narrow" w:cs="Arial Narrow"/>
          <w:color w:val="auto"/>
          <w:sz w:val="22"/>
          <w:szCs w:val="22"/>
        </w:rPr>
      </w:pPr>
    </w:p>
    <w:p w14:paraId="680A1E23" w14:textId="65F51A6B" w:rsidR="0063699D" w:rsidRPr="00EA7BE7" w:rsidRDefault="00BE2797" w:rsidP="00EA7BE7">
      <w:pPr>
        <w:pStyle w:val="Default"/>
        <w:numPr>
          <w:ilvl w:val="0"/>
          <w:numId w:val="7"/>
        </w:numPr>
        <w:ind w:left="360"/>
        <w:jc w:val="both"/>
        <w:rPr>
          <w:rFonts w:ascii="Arial Narrow" w:eastAsia="Arial Narrow" w:hAnsi="Arial Narrow" w:cs="Arial Narrow"/>
          <w:color w:val="auto"/>
          <w:sz w:val="22"/>
          <w:szCs w:val="22"/>
        </w:rPr>
      </w:pPr>
      <w:r>
        <w:rPr>
          <w:rFonts w:ascii="Arial Narrow" w:eastAsia="Arial Narrow" w:hAnsi="Arial Narrow" w:cs="Arial Narrow"/>
          <w:color w:val="auto"/>
          <w:sz w:val="22"/>
          <w:szCs w:val="22"/>
        </w:rPr>
        <w:t>Que e</w:t>
      </w:r>
      <w:r w:rsidR="0063699D" w:rsidRPr="00EA7BE7">
        <w:rPr>
          <w:rFonts w:ascii="Arial Narrow" w:eastAsia="Arial Narrow" w:hAnsi="Arial Narrow" w:cs="Arial Narrow"/>
          <w:color w:val="auto"/>
          <w:sz w:val="22"/>
          <w:szCs w:val="22"/>
        </w:rPr>
        <w:t xml:space="preserve">l artículo 87 de la Ley 142 de 1994 estableció que el régimen tarifario estará orientado por los criterios de eficiencia económica, neutralidad, solidaridad, redistribución, suficiencia financiera, simplicidad y transparencia. </w:t>
      </w:r>
    </w:p>
    <w:p w14:paraId="673314BB" w14:textId="77777777" w:rsidR="0063699D" w:rsidRPr="00EA7BE7" w:rsidRDefault="0063699D" w:rsidP="00EA7BE7">
      <w:pPr>
        <w:pStyle w:val="Default"/>
        <w:ind w:left="360"/>
        <w:jc w:val="both"/>
        <w:rPr>
          <w:rFonts w:ascii="Arial Narrow" w:eastAsia="Arial Narrow" w:hAnsi="Arial Narrow" w:cs="Arial Narrow"/>
          <w:color w:val="auto"/>
          <w:sz w:val="22"/>
          <w:szCs w:val="22"/>
        </w:rPr>
      </w:pPr>
    </w:p>
    <w:p w14:paraId="2DAF38FB" w14:textId="29579229" w:rsidR="0063699D" w:rsidRPr="00EA7BE7" w:rsidRDefault="00BE2797" w:rsidP="00EA7BE7">
      <w:pPr>
        <w:pStyle w:val="Default"/>
        <w:numPr>
          <w:ilvl w:val="0"/>
          <w:numId w:val="7"/>
        </w:numPr>
        <w:ind w:left="360"/>
        <w:jc w:val="both"/>
        <w:rPr>
          <w:rFonts w:ascii="Arial Narrow" w:eastAsia="Arial Narrow" w:hAnsi="Arial Narrow" w:cs="Arial Narrow"/>
          <w:color w:val="auto"/>
          <w:sz w:val="22"/>
          <w:szCs w:val="22"/>
        </w:rPr>
      </w:pPr>
      <w:r>
        <w:rPr>
          <w:rFonts w:ascii="Arial Narrow" w:eastAsia="Arial Narrow" w:hAnsi="Arial Narrow" w:cs="Arial Narrow"/>
          <w:color w:val="auto"/>
          <w:sz w:val="22"/>
          <w:szCs w:val="22"/>
        </w:rPr>
        <w:t>Que e</w:t>
      </w:r>
      <w:r w:rsidR="0063699D" w:rsidRPr="00EA7BE7">
        <w:rPr>
          <w:rFonts w:ascii="Arial Narrow" w:eastAsia="Arial Narrow" w:hAnsi="Arial Narrow" w:cs="Arial Narrow"/>
          <w:color w:val="auto"/>
          <w:sz w:val="22"/>
          <w:szCs w:val="22"/>
        </w:rPr>
        <w:t xml:space="preserve">l criterio de suficiencia financiera </w:t>
      </w:r>
      <w:r w:rsidR="00A6124E" w:rsidRPr="00EA7BE7">
        <w:rPr>
          <w:rFonts w:ascii="Arial Narrow" w:eastAsia="Arial Narrow" w:hAnsi="Arial Narrow" w:cs="Arial Narrow"/>
          <w:color w:val="auto"/>
          <w:sz w:val="22"/>
          <w:szCs w:val="22"/>
        </w:rPr>
        <w:t>que trata el numeral</w:t>
      </w:r>
      <w:r w:rsidR="0063699D" w:rsidRPr="00EA7BE7">
        <w:rPr>
          <w:rFonts w:ascii="Arial Narrow" w:eastAsia="Arial Narrow" w:hAnsi="Arial Narrow" w:cs="Arial Narrow"/>
          <w:color w:val="auto"/>
          <w:sz w:val="22"/>
          <w:szCs w:val="22"/>
        </w:rPr>
        <w:t xml:space="preserve"> </w:t>
      </w:r>
      <w:r w:rsidR="00A6124E" w:rsidRPr="00EA7BE7">
        <w:rPr>
          <w:rFonts w:ascii="Arial Narrow" w:eastAsia="Arial Narrow" w:hAnsi="Arial Narrow" w:cs="Arial Narrow"/>
          <w:color w:val="auto"/>
          <w:sz w:val="22"/>
          <w:szCs w:val="22"/>
        </w:rPr>
        <w:t>87.</w:t>
      </w:r>
      <w:r w:rsidR="0063699D" w:rsidRPr="00EA7BE7">
        <w:rPr>
          <w:rFonts w:ascii="Arial Narrow" w:eastAsia="Arial Narrow" w:hAnsi="Arial Narrow" w:cs="Arial Narrow"/>
          <w:color w:val="auto"/>
          <w:sz w:val="22"/>
          <w:szCs w:val="22"/>
        </w:rPr>
        <w:t xml:space="preserve">4 </w:t>
      </w:r>
      <w:r w:rsidR="00A6124E" w:rsidRPr="00EA7BE7">
        <w:rPr>
          <w:rFonts w:ascii="Arial Narrow" w:eastAsia="Arial Narrow" w:hAnsi="Arial Narrow" w:cs="Arial Narrow"/>
          <w:color w:val="auto"/>
          <w:sz w:val="22"/>
          <w:szCs w:val="22"/>
        </w:rPr>
        <w:t>ibidem</w:t>
      </w:r>
      <w:r w:rsidR="0063699D" w:rsidRPr="00EA7BE7" w:rsidDel="004C20BC">
        <w:rPr>
          <w:rFonts w:ascii="Arial Narrow" w:eastAsia="Arial Narrow" w:hAnsi="Arial Narrow" w:cs="Arial Narrow"/>
          <w:color w:val="auto"/>
          <w:sz w:val="22"/>
          <w:szCs w:val="22"/>
        </w:rPr>
        <w:t xml:space="preserve"> </w:t>
      </w:r>
      <w:r w:rsidR="0063699D" w:rsidRPr="00EA7BE7">
        <w:rPr>
          <w:rFonts w:ascii="Arial Narrow" w:eastAsia="Arial Narrow" w:hAnsi="Arial Narrow" w:cs="Arial Narrow"/>
          <w:color w:val="auto"/>
          <w:sz w:val="22"/>
          <w:szCs w:val="22"/>
        </w:rPr>
        <w:t>establece que, en condiciones de eficiencia, las empresas deben recuperar sus costos de inversión y sus gastos de administración, operación y mantenimiento.</w:t>
      </w:r>
    </w:p>
    <w:p w14:paraId="3629B001" w14:textId="77777777" w:rsidR="0063699D" w:rsidRPr="00EA7BE7" w:rsidRDefault="0063699D" w:rsidP="00EA7BE7">
      <w:pPr>
        <w:pStyle w:val="Default"/>
        <w:ind w:left="360"/>
        <w:jc w:val="both"/>
        <w:rPr>
          <w:rFonts w:ascii="Arial Narrow" w:eastAsia="Arial Narrow" w:hAnsi="Arial Narrow" w:cs="Arial Narrow"/>
          <w:color w:val="auto"/>
          <w:sz w:val="22"/>
          <w:szCs w:val="22"/>
        </w:rPr>
      </w:pPr>
    </w:p>
    <w:p w14:paraId="7851E064" w14:textId="09236497" w:rsidR="0063699D" w:rsidRPr="00EA7BE7" w:rsidRDefault="00BE2797" w:rsidP="00EA7BE7">
      <w:pPr>
        <w:pStyle w:val="Default"/>
        <w:numPr>
          <w:ilvl w:val="0"/>
          <w:numId w:val="7"/>
        </w:numPr>
        <w:ind w:left="360"/>
        <w:jc w:val="both"/>
        <w:rPr>
          <w:rFonts w:ascii="Arial Narrow" w:eastAsia="Arial Narrow" w:hAnsi="Arial Narrow" w:cs="Arial Narrow"/>
          <w:color w:val="auto"/>
          <w:sz w:val="22"/>
          <w:szCs w:val="22"/>
        </w:rPr>
      </w:pPr>
      <w:r>
        <w:rPr>
          <w:rFonts w:ascii="Arial Narrow" w:eastAsia="Arial Narrow" w:hAnsi="Arial Narrow" w:cs="Arial Narrow"/>
          <w:color w:val="auto"/>
          <w:sz w:val="22"/>
          <w:szCs w:val="22"/>
        </w:rPr>
        <w:t>Que d</w:t>
      </w:r>
      <w:r w:rsidR="0063699D" w:rsidRPr="00EA7BE7">
        <w:rPr>
          <w:rFonts w:ascii="Arial Narrow" w:eastAsia="Arial Narrow" w:hAnsi="Arial Narrow" w:cs="Arial Narrow"/>
          <w:color w:val="auto"/>
          <w:sz w:val="22"/>
          <w:szCs w:val="22"/>
        </w:rPr>
        <w:t>e acuerdo con el artículo 88 de la Ley 142 de 1994, al fijar sus tarifas, las empresas de servicios públicos se someterán al régimen de regulación, el cual podrá incluir las modalidades de libertad regulada y libertad vigilada, o un régimen de libertad.</w:t>
      </w:r>
    </w:p>
    <w:p w14:paraId="781A47D9" w14:textId="77777777" w:rsidR="0063699D" w:rsidRPr="00EA7BE7" w:rsidRDefault="0063699D" w:rsidP="00EA7BE7">
      <w:pPr>
        <w:pStyle w:val="Default"/>
        <w:ind w:left="360"/>
        <w:jc w:val="both"/>
        <w:rPr>
          <w:rFonts w:ascii="Arial Narrow" w:eastAsia="Arial Narrow" w:hAnsi="Arial Narrow" w:cs="Arial Narrow"/>
          <w:color w:val="auto"/>
          <w:sz w:val="22"/>
          <w:szCs w:val="22"/>
        </w:rPr>
      </w:pPr>
    </w:p>
    <w:p w14:paraId="666851C7" w14:textId="12FF28C2" w:rsidR="0063699D" w:rsidRDefault="00BE2797" w:rsidP="00EA7BE7">
      <w:pPr>
        <w:pStyle w:val="Default"/>
        <w:numPr>
          <w:ilvl w:val="0"/>
          <w:numId w:val="7"/>
        </w:numPr>
        <w:ind w:left="360"/>
        <w:jc w:val="both"/>
        <w:rPr>
          <w:rFonts w:ascii="Arial Narrow" w:eastAsia="Arial Narrow" w:hAnsi="Arial Narrow" w:cs="Arial Narrow"/>
          <w:color w:val="auto"/>
          <w:sz w:val="22"/>
          <w:szCs w:val="22"/>
        </w:rPr>
      </w:pPr>
      <w:r>
        <w:rPr>
          <w:rFonts w:ascii="Arial Narrow" w:eastAsia="Arial Narrow" w:hAnsi="Arial Narrow" w:cs="Arial Narrow"/>
          <w:color w:val="auto"/>
          <w:sz w:val="22"/>
          <w:szCs w:val="22"/>
        </w:rPr>
        <w:t>Que s</w:t>
      </w:r>
      <w:r w:rsidR="0063699D" w:rsidRPr="00EA7BE7">
        <w:rPr>
          <w:rFonts w:ascii="Arial Narrow" w:eastAsia="Arial Narrow" w:hAnsi="Arial Narrow" w:cs="Arial Narrow"/>
          <w:color w:val="auto"/>
          <w:sz w:val="22"/>
          <w:szCs w:val="22"/>
        </w:rPr>
        <w:t xml:space="preserve">egún lo dispuesto en el numeral </w:t>
      </w:r>
      <w:r w:rsidR="00AE7F22" w:rsidRPr="00EA7BE7">
        <w:rPr>
          <w:rFonts w:ascii="Arial Narrow" w:eastAsia="Arial Narrow" w:hAnsi="Arial Narrow" w:cs="Arial Narrow"/>
          <w:color w:val="auto"/>
          <w:sz w:val="22"/>
          <w:szCs w:val="22"/>
        </w:rPr>
        <w:t>88.</w:t>
      </w:r>
      <w:r w:rsidR="0063699D" w:rsidRPr="00EA7BE7">
        <w:rPr>
          <w:rFonts w:ascii="Arial Narrow" w:eastAsia="Arial Narrow" w:hAnsi="Arial Narrow" w:cs="Arial Narrow"/>
          <w:color w:val="auto"/>
          <w:sz w:val="22"/>
          <w:szCs w:val="22"/>
        </w:rPr>
        <w:t xml:space="preserve">1 del artículo 88 de la Ley 142 de 1994, en un régimen de libertad regulada, para fijar sus tarifas, las empresas deben ceñirse a las fórmulas que defina periódicamente la </w:t>
      </w:r>
      <w:r w:rsidR="0063699D" w:rsidRPr="00EA7BE7">
        <w:rPr>
          <w:rFonts w:ascii="Arial Narrow" w:eastAsia="Arial Narrow" w:hAnsi="Arial Narrow" w:cs="Arial Narrow"/>
          <w:color w:val="auto"/>
          <w:sz w:val="22"/>
          <w:szCs w:val="22"/>
        </w:rPr>
        <w:lastRenderedPageBreak/>
        <w:t xml:space="preserve">respectiva Comisión, quien, de acuerdo con los estudios de costos, puede establecer topes máximos y mínimos tarifarios, de obligatorio cumplimiento por parte de las empresas. </w:t>
      </w:r>
    </w:p>
    <w:p w14:paraId="01D839F9" w14:textId="77777777" w:rsidR="001165E1" w:rsidRPr="00EA7BE7" w:rsidRDefault="001165E1" w:rsidP="002F27E5">
      <w:pPr>
        <w:pStyle w:val="Default"/>
        <w:jc w:val="both"/>
        <w:rPr>
          <w:rFonts w:ascii="Arial Narrow" w:eastAsia="Arial Narrow" w:hAnsi="Arial Narrow" w:cs="Arial Narrow"/>
          <w:color w:val="auto"/>
          <w:sz w:val="22"/>
          <w:szCs w:val="22"/>
        </w:rPr>
      </w:pPr>
    </w:p>
    <w:p w14:paraId="4B161C0E" w14:textId="61EFFDD0" w:rsidR="0063699D" w:rsidRPr="00EA7BE7" w:rsidRDefault="00BE2797" w:rsidP="00EA7BE7">
      <w:pPr>
        <w:pStyle w:val="Default"/>
        <w:numPr>
          <w:ilvl w:val="0"/>
          <w:numId w:val="7"/>
        </w:numPr>
        <w:ind w:left="360"/>
        <w:jc w:val="both"/>
        <w:rPr>
          <w:rFonts w:ascii="Arial Narrow" w:eastAsia="Arial Narrow" w:hAnsi="Arial Narrow" w:cs="Arial Narrow"/>
          <w:color w:val="auto"/>
          <w:sz w:val="22"/>
          <w:szCs w:val="22"/>
        </w:rPr>
      </w:pPr>
      <w:r>
        <w:rPr>
          <w:rFonts w:ascii="Arial Narrow" w:eastAsia="Arial Narrow" w:hAnsi="Arial Narrow" w:cs="Arial Narrow"/>
          <w:color w:val="auto"/>
          <w:sz w:val="22"/>
          <w:szCs w:val="22"/>
        </w:rPr>
        <w:t>Que d</w:t>
      </w:r>
      <w:r w:rsidR="0063699D" w:rsidRPr="00EA7BE7">
        <w:rPr>
          <w:rFonts w:ascii="Arial Narrow" w:eastAsia="Arial Narrow" w:hAnsi="Arial Narrow" w:cs="Arial Narrow"/>
          <w:color w:val="auto"/>
          <w:sz w:val="22"/>
          <w:szCs w:val="22"/>
        </w:rPr>
        <w:t xml:space="preserve">e conformidad con el inciso segundo del numeral </w:t>
      </w:r>
      <w:r w:rsidR="00E159B6" w:rsidRPr="00EA7BE7">
        <w:rPr>
          <w:rFonts w:ascii="Arial Narrow" w:eastAsia="Arial Narrow" w:hAnsi="Arial Narrow" w:cs="Arial Narrow"/>
          <w:color w:val="auto"/>
          <w:sz w:val="22"/>
          <w:szCs w:val="22"/>
        </w:rPr>
        <w:t>90.</w:t>
      </w:r>
      <w:r w:rsidR="0063699D" w:rsidRPr="00EA7BE7">
        <w:rPr>
          <w:rFonts w:ascii="Arial Narrow" w:eastAsia="Arial Narrow" w:hAnsi="Arial Narrow" w:cs="Arial Narrow"/>
          <w:color w:val="auto"/>
          <w:sz w:val="22"/>
          <w:szCs w:val="22"/>
        </w:rPr>
        <w:t xml:space="preserve">3 del artículo 90 de la Ley 142 de 1994, ninguno de los cargos involucrados en las fórmulas tarifarias </w:t>
      </w:r>
      <w:r w:rsidR="0063699D" w:rsidRPr="00FE17CE">
        <w:rPr>
          <w:rFonts w:ascii="Arial Narrow" w:eastAsia="Arial Narrow" w:hAnsi="Arial Narrow" w:cs="Arial Narrow"/>
          <w:i/>
          <w:iCs/>
          <w:color w:val="auto"/>
          <w:sz w:val="22"/>
          <w:szCs w:val="22"/>
        </w:rPr>
        <w:t>“podrá contradecir el principio de la eficiencia, ni trasladar al usuario los costos de una gestión ineficiente o extraer beneficios de posiciones dominantes o de monopolio”</w:t>
      </w:r>
      <w:r w:rsidR="0063699D" w:rsidRPr="00EA7BE7">
        <w:rPr>
          <w:rFonts w:ascii="Arial Narrow" w:eastAsia="Arial Narrow" w:hAnsi="Arial Narrow" w:cs="Arial Narrow"/>
          <w:color w:val="auto"/>
          <w:sz w:val="22"/>
          <w:szCs w:val="22"/>
        </w:rPr>
        <w:t>.</w:t>
      </w:r>
    </w:p>
    <w:p w14:paraId="2A3F19FB" w14:textId="77777777" w:rsidR="0063699D" w:rsidRPr="00EA7BE7" w:rsidRDefault="0063699D" w:rsidP="00EA7BE7">
      <w:pPr>
        <w:pStyle w:val="Default"/>
        <w:ind w:left="360"/>
        <w:jc w:val="both"/>
        <w:rPr>
          <w:rFonts w:ascii="Arial Narrow" w:eastAsia="Arial Narrow" w:hAnsi="Arial Narrow" w:cs="Arial Narrow"/>
          <w:color w:val="auto"/>
          <w:sz w:val="22"/>
          <w:szCs w:val="22"/>
        </w:rPr>
      </w:pPr>
    </w:p>
    <w:p w14:paraId="51D4844E" w14:textId="1C7D704F" w:rsidR="0063699D" w:rsidRPr="00EA7BE7" w:rsidRDefault="00BE2797" w:rsidP="00EA7BE7">
      <w:pPr>
        <w:pStyle w:val="Default"/>
        <w:numPr>
          <w:ilvl w:val="0"/>
          <w:numId w:val="7"/>
        </w:numPr>
        <w:ind w:left="360"/>
        <w:jc w:val="both"/>
        <w:rPr>
          <w:rFonts w:ascii="Arial Narrow" w:eastAsia="Arial Narrow" w:hAnsi="Arial Narrow" w:cs="Arial Narrow"/>
          <w:color w:val="auto"/>
          <w:sz w:val="22"/>
          <w:szCs w:val="22"/>
        </w:rPr>
      </w:pPr>
      <w:r>
        <w:rPr>
          <w:rFonts w:ascii="Arial Narrow" w:eastAsia="Arial Narrow" w:hAnsi="Arial Narrow" w:cs="Arial Narrow"/>
          <w:color w:val="auto"/>
          <w:sz w:val="22"/>
          <w:szCs w:val="22"/>
        </w:rPr>
        <w:t>Que e</w:t>
      </w:r>
      <w:r w:rsidR="0063699D" w:rsidRPr="00EA7BE7">
        <w:rPr>
          <w:rFonts w:ascii="Arial Narrow" w:eastAsia="Arial Narrow" w:hAnsi="Arial Narrow" w:cs="Arial Narrow"/>
          <w:color w:val="auto"/>
          <w:sz w:val="22"/>
          <w:szCs w:val="22"/>
        </w:rPr>
        <w:t>l 24 de junio de 2014 fue expedida la Resolución CRA 688, modificada por las Resoluciones CRA 735 de 2015, 864 de 2018 y 907 de 2019, y compiladas en el Subtítulo 1 del Título 2 de la Parte 1 del Libro 2 de la Resolución CRA 943 de 2021, por medio de la cual se estableció la metodología tarifaria para las personas prestadoras de los servicios públicos domiciliarios de acueducto y alcantarillado con más de 5.000 suscriptores en el área urbana</w:t>
      </w:r>
      <w:r w:rsidR="0063699D" w:rsidRPr="00EA7BE7" w:rsidDel="00C849F8">
        <w:rPr>
          <w:rFonts w:ascii="Arial Narrow" w:eastAsia="Arial Narrow" w:hAnsi="Arial Narrow" w:cs="Arial Narrow"/>
          <w:color w:val="auto"/>
          <w:sz w:val="22"/>
          <w:szCs w:val="22"/>
        </w:rPr>
        <w:t>.</w:t>
      </w:r>
    </w:p>
    <w:p w14:paraId="60E4812C" w14:textId="77777777" w:rsidR="0063699D" w:rsidRPr="00EA7BE7" w:rsidRDefault="0063699D" w:rsidP="00EA7BE7">
      <w:pPr>
        <w:pStyle w:val="Default"/>
        <w:ind w:left="360"/>
        <w:jc w:val="both"/>
        <w:rPr>
          <w:rFonts w:ascii="Arial Narrow" w:eastAsia="Arial Narrow" w:hAnsi="Arial Narrow" w:cs="Arial Narrow"/>
          <w:color w:val="auto"/>
          <w:sz w:val="22"/>
          <w:szCs w:val="22"/>
        </w:rPr>
      </w:pPr>
    </w:p>
    <w:p w14:paraId="393C50D9" w14:textId="7A991CCB" w:rsidR="0063699D" w:rsidRPr="00EA7BE7" w:rsidRDefault="00BE2797" w:rsidP="00EA7BE7">
      <w:pPr>
        <w:pStyle w:val="Default"/>
        <w:numPr>
          <w:ilvl w:val="0"/>
          <w:numId w:val="7"/>
        </w:numPr>
        <w:ind w:left="360"/>
        <w:jc w:val="both"/>
        <w:rPr>
          <w:rFonts w:ascii="Arial Narrow" w:eastAsia="Arial Narrow" w:hAnsi="Arial Narrow" w:cs="Arial Narrow"/>
          <w:color w:val="auto"/>
          <w:sz w:val="22"/>
          <w:szCs w:val="22"/>
        </w:rPr>
      </w:pPr>
      <w:r>
        <w:rPr>
          <w:rFonts w:ascii="Arial Narrow" w:eastAsia="Arial Narrow" w:hAnsi="Arial Narrow" w:cs="Arial Narrow"/>
          <w:color w:val="auto"/>
          <w:sz w:val="22"/>
          <w:szCs w:val="22"/>
        </w:rPr>
        <w:t>Que e</w:t>
      </w:r>
      <w:r w:rsidR="0063699D" w:rsidRPr="00EA7BE7">
        <w:rPr>
          <w:rFonts w:ascii="Arial Narrow" w:eastAsia="Arial Narrow" w:hAnsi="Arial Narrow" w:cs="Arial Narrow"/>
          <w:color w:val="auto"/>
          <w:sz w:val="22"/>
          <w:szCs w:val="22"/>
        </w:rPr>
        <w:t xml:space="preserve">n virtud de lo previsto en el artículo 126 de la Ley 1450 de 2011, se expidió la Resolución CRA 821 de 2017, modificada por la Resolución CRA 908 de 2019 y compilada en el Subtítulo 2 del Título 3 de la Parte 1 del Libro 2 de la Resolución CRA 943 de 2021, </w:t>
      </w:r>
      <w:r w:rsidR="0063699D" w:rsidRPr="00E44F23">
        <w:rPr>
          <w:rFonts w:ascii="Arial Narrow" w:eastAsia="Arial Narrow" w:hAnsi="Arial Narrow" w:cs="Arial Narrow"/>
          <w:i/>
          <w:iCs/>
          <w:color w:val="auto"/>
          <w:sz w:val="22"/>
          <w:szCs w:val="22"/>
        </w:rPr>
        <w:t>“Por la cual se define el concepto de mercado regional, se establecen las condiciones para declararlo y la forma de verificarlas, de conformidad con lo previsto en el artículo 126 de la Ley 1450 de 2011”</w:t>
      </w:r>
      <w:r w:rsidR="00E44F23">
        <w:rPr>
          <w:rFonts w:ascii="Arial Narrow" w:eastAsia="Arial Narrow" w:hAnsi="Arial Narrow" w:cs="Arial Narrow"/>
          <w:color w:val="auto"/>
          <w:sz w:val="22"/>
          <w:szCs w:val="22"/>
        </w:rPr>
        <w:t>.</w:t>
      </w:r>
    </w:p>
    <w:p w14:paraId="59F662D5" w14:textId="77777777" w:rsidR="0063699D" w:rsidRPr="00EA7BE7" w:rsidRDefault="0063699D" w:rsidP="00EA7BE7">
      <w:pPr>
        <w:pStyle w:val="Default"/>
        <w:ind w:left="360"/>
        <w:jc w:val="both"/>
        <w:rPr>
          <w:rFonts w:ascii="Arial Narrow" w:eastAsia="Arial Narrow" w:hAnsi="Arial Narrow" w:cs="Arial Narrow"/>
          <w:color w:val="auto"/>
          <w:sz w:val="22"/>
          <w:szCs w:val="22"/>
        </w:rPr>
      </w:pPr>
    </w:p>
    <w:p w14:paraId="68583450" w14:textId="09380608" w:rsidR="00AD4C18" w:rsidRPr="00EA7BE7" w:rsidRDefault="00BE2797" w:rsidP="00EA7BE7">
      <w:pPr>
        <w:pStyle w:val="Default"/>
        <w:numPr>
          <w:ilvl w:val="0"/>
          <w:numId w:val="7"/>
        </w:numPr>
        <w:ind w:left="360"/>
        <w:jc w:val="both"/>
        <w:rPr>
          <w:rFonts w:ascii="Arial Narrow" w:eastAsia="Arial Narrow" w:hAnsi="Arial Narrow" w:cs="Arial Narrow"/>
          <w:color w:val="auto"/>
          <w:sz w:val="22"/>
          <w:szCs w:val="22"/>
        </w:rPr>
      </w:pPr>
      <w:r>
        <w:rPr>
          <w:rFonts w:ascii="Arial Narrow" w:eastAsia="Arial Narrow" w:hAnsi="Arial Narrow" w:cs="Arial Narrow"/>
          <w:color w:val="auto"/>
          <w:sz w:val="22"/>
          <w:szCs w:val="22"/>
        </w:rPr>
        <w:t>Que t</w:t>
      </w:r>
      <w:r w:rsidR="0063699D" w:rsidRPr="00EA7BE7">
        <w:rPr>
          <w:rFonts w:ascii="Arial Narrow" w:eastAsia="Arial Narrow" w:hAnsi="Arial Narrow" w:cs="Arial Narrow"/>
          <w:color w:val="auto"/>
          <w:sz w:val="22"/>
          <w:szCs w:val="22"/>
        </w:rPr>
        <w:t xml:space="preserve">odas las Áreas de Prestación del Servicio (APS) contenidas en el Mercado Regional de EPM se encuentran en el ámbito de aplicación del Subtítulo 1 del Título 2 de la Parte 1 del Libro 2 de la Resolución CRA 943 de 2021. A su vez, la APS con mayor número de suscriptores es Medellín y corresponde al primer segmento. </w:t>
      </w:r>
    </w:p>
    <w:p w14:paraId="1ADBD8CD" w14:textId="77777777" w:rsidR="00AD4C18" w:rsidRPr="00EA7BE7" w:rsidRDefault="00AD4C18" w:rsidP="00EA7BE7">
      <w:pPr>
        <w:pStyle w:val="Default"/>
        <w:ind w:left="360"/>
        <w:jc w:val="both"/>
        <w:rPr>
          <w:rFonts w:ascii="Arial Narrow" w:eastAsia="Arial Narrow" w:hAnsi="Arial Narrow" w:cs="Arial Narrow"/>
          <w:color w:val="auto"/>
          <w:sz w:val="22"/>
          <w:szCs w:val="22"/>
        </w:rPr>
      </w:pPr>
    </w:p>
    <w:p w14:paraId="5C3A6297" w14:textId="163E36BF" w:rsidR="0063699D" w:rsidRPr="00EA7BE7" w:rsidRDefault="00BE2797" w:rsidP="00EA7BE7">
      <w:pPr>
        <w:pStyle w:val="Default"/>
        <w:numPr>
          <w:ilvl w:val="0"/>
          <w:numId w:val="7"/>
        </w:numPr>
        <w:ind w:left="360"/>
        <w:jc w:val="both"/>
        <w:rPr>
          <w:rFonts w:ascii="Arial Narrow" w:eastAsia="Arial Narrow" w:hAnsi="Arial Narrow" w:cs="Arial Narrow"/>
          <w:color w:val="auto"/>
          <w:sz w:val="22"/>
          <w:szCs w:val="22"/>
        </w:rPr>
      </w:pPr>
      <w:r>
        <w:rPr>
          <w:rFonts w:ascii="Arial Narrow" w:eastAsia="Arial Narrow" w:hAnsi="Arial Narrow" w:cs="Arial Narrow"/>
          <w:color w:val="auto"/>
          <w:sz w:val="22"/>
          <w:szCs w:val="22"/>
        </w:rPr>
        <w:t>Que m</w:t>
      </w:r>
      <w:r w:rsidR="0063699D" w:rsidRPr="00EA7BE7">
        <w:rPr>
          <w:rFonts w:ascii="Arial Narrow" w:eastAsia="Arial Narrow" w:hAnsi="Arial Narrow" w:cs="Arial Narrow"/>
          <w:color w:val="auto"/>
          <w:sz w:val="22"/>
          <w:szCs w:val="22"/>
        </w:rPr>
        <w:t xml:space="preserve">ediante el Decreto de Junta Directiva 557 del 23 marzo de 2021 se aprobaron las tarifas para los servicios públicos domiciliarios de acueducto y alcantarillado que presta EPM en las APS del Sistema Interconectado (Medellín, Envigado, Sabaneta, La Estrella, </w:t>
      </w:r>
      <w:r w:rsidR="0063699D" w:rsidRPr="00E44F23">
        <w:rPr>
          <w:rFonts w:ascii="Arial Narrow" w:eastAsia="Arial Narrow" w:hAnsi="Arial Narrow" w:cs="Arial Narrow"/>
          <w:color w:val="auto"/>
          <w:sz w:val="22"/>
          <w:szCs w:val="22"/>
        </w:rPr>
        <w:t>Itagüí, Girardota, Copacabana y Bello), Caldas y Rionegro, las cuales</w:t>
      </w:r>
      <w:r w:rsidR="0063699D" w:rsidRPr="00EA7BE7">
        <w:rPr>
          <w:rFonts w:ascii="Arial Narrow" w:eastAsia="Arial Narrow" w:hAnsi="Arial Narrow" w:cs="Arial Narrow"/>
          <w:color w:val="auto"/>
          <w:sz w:val="22"/>
          <w:szCs w:val="22"/>
        </w:rPr>
        <w:t xml:space="preserve"> conforman el Mercado Regional, de acuerdo con lo dispuesto en Subtítulo 2 del Título 3 de la Parte 1 del Libro 2 de la Resolución CRA 943 de 2021.</w:t>
      </w:r>
    </w:p>
    <w:p w14:paraId="177C8E65" w14:textId="77777777" w:rsidR="003D46A7" w:rsidRPr="00EA7BE7" w:rsidRDefault="003D46A7" w:rsidP="00EA7BE7">
      <w:pPr>
        <w:pStyle w:val="Default"/>
        <w:ind w:left="360"/>
        <w:jc w:val="both"/>
        <w:rPr>
          <w:rFonts w:ascii="Arial Narrow" w:eastAsia="Arial Narrow" w:hAnsi="Arial Narrow" w:cs="Arial Narrow"/>
          <w:color w:val="auto"/>
          <w:sz w:val="22"/>
          <w:szCs w:val="22"/>
        </w:rPr>
      </w:pPr>
    </w:p>
    <w:p w14:paraId="31493F8B" w14:textId="628BA146" w:rsidR="003D46A7" w:rsidRPr="00F0291C" w:rsidRDefault="00BE2797" w:rsidP="00E518F1">
      <w:pPr>
        <w:pStyle w:val="Default"/>
        <w:numPr>
          <w:ilvl w:val="0"/>
          <w:numId w:val="7"/>
        </w:numPr>
        <w:ind w:left="360"/>
        <w:jc w:val="both"/>
        <w:rPr>
          <w:rFonts w:ascii="Arial Narrow" w:eastAsia="Arial Narrow" w:hAnsi="Arial Narrow" w:cs="Arial Narrow"/>
          <w:color w:val="auto"/>
          <w:sz w:val="22"/>
          <w:szCs w:val="22"/>
        </w:rPr>
      </w:pPr>
      <w:r>
        <w:rPr>
          <w:rFonts w:ascii="Arial Narrow" w:eastAsia="Arial Narrow" w:hAnsi="Arial Narrow" w:cs="Arial Narrow"/>
          <w:color w:val="auto"/>
          <w:sz w:val="22"/>
          <w:szCs w:val="22"/>
        </w:rPr>
        <w:t>Que d</w:t>
      </w:r>
      <w:r w:rsidR="003D46A7" w:rsidRPr="00F0291C">
        <w:rPr>
          <w:rFonts w:ascii="Arial Narrow" w:eastAsia="Arial Narrow" w:hAnsi="Arial Narrow" w:cs="Arial Narrow"/>
          <w:color w:val="auto"/>
          <w:sz w:val="22"/>
          <w:szCs w:val="22"/>
        </w:rPr>
        <w:t>e conformidad con el artículo 5 del Decreto 557</w:t>
      </w:r>
      <w:r w:rsidR="009514BA" w:rsidRPr="00F0291C">
        <w:rPr>
          <w:rFonts w:ascii="Arial Narrow" w:eastAsia="Arial Narrow" w:hAnsi="Arial Narrow" w:cs="Arial Narrow"/>
          <w:color w:val="auto"/>
          <w:sz w:val="22"/>
          <w:szCs w:val="22"/>
        </w:rPr>
        <w:t>,</w:t>
      </w:r>
      <w:r w:rsidR="003D46A7" w:rsidRPr="00F0291C">
        <w:rPr>
          <w:rFonts w:ascii="Arial Narrow" w:eastAsia="Arial Narrow" w:hAnsi="Arial Narrow" w:cs="Arial Narrow"/>
          <w:color w:val="auto"/>
          <w:sz w:val="22"/>
          <w:szCs w:val="22"/>
        </w:rPr>
        <w:t xml:space="preserve"> la Junta Directiva delegó en el Gerente General el cálculo y la aplicación de los valores obtenidos de los costos de prestación unificados regionales que pueden variar sin previa solicitud a la CRA</w:t>
      </w:r>
      <w:r w:rsidR="00BF43AD" w:rsidRPr="00F0291C">
        <w:rPr>
          <w:rFonts w:ascii="Arial Narrow" w:eastAsia="Arial Narrow" w:hAnsi="Arial Narrow" w:cs="Arial Narrow"/>
          <w:color w:val="auto"/>
          <w:sz w:val="22"/>
          <w:szCs w:val="22"/>
        </w:rPr>
        <w:t>, tales como</w:t>
      </w:r>
      <w:r w:rsidR="009C49D6">
        <w:rPr>
          <w:rFonts w:ascii="Arial Narrow" w:eastAsia="Arial Narrow" w:hAnsi="Arial Narrow" w:cs="Arial Narrow"/>
          <w:color w:val="auto"/>
          <w:sz w:val="22"/>
          <w:szCs w:val="22"/>
        </w:rPr>
        <w:t>:</w:t>
      </w:r>
      <w:r w:rsidR="00BF43AD" w:rsidRPr="00F0291C">
        <w:rPr>
          <w:rFonts w:ascii="Arial Narrow" w:eastAsia="Arial Narrow" w:hAnsi="Arial Narrow" w:cs="Arial Narrow"/>
          <w:color w:val="auto"/>
          <w:sz w:val="22"/>
          <w:szCs w:val="22"/>
        </w:rPr>
        <w:t xml:space="preserve"> </w:t>
      </w:r>
      <w:r w:rsidR="002825B4" w:rsidRPr="00F0291C">
        <w:rPr>
          <w:rFonts w:ascii="Arial Narrow" w:eastAsia="Arial Narrow" w:hAnsi="Arial Narrow" w:cs="Arial Narrow"/>
          <w:color w:val="auto"/>
          <w:sz w:val="22"/>
          <w:szCs w:val="22"/>
        </w:rPr>
        <w:t xml:space="preserve">tasas ambientales, costos de impuestos, contribuciones y tasas, costos particulares, </w:t>
      </w:r>
      <w:r w:rsidR="00DC10C8" w:rsidRPr="00F0291C">
        <w:rPr>
          <w:rFonts w:ascii="Arial Narrow" w:eastAsia="Arial Narrow" w:hAnsi="Arial Narrow" w:cs="Arial Narrow"/>
          <w:color w:val="auto"/>
          <w:sz w:val="22"/>
          <w:szCs w:val="22"/>
        </w:rPr>
        <w:t>inversiones ambientales y contratos de interconexión,</w:t>
      </w:r>
      <w:r w:rsidR="003D46A7" w:rsidRPr="00F0291C">
        <w:rPr>
          <w:rFonts w:ascii="Arial Narrow" w:eastAsia="Arial Narrow" w:hAnsi="Arial Narrow" w:cs="Arial Narrow"/>
          <w:color w:val="auto"/>
          <w:sz w:val="22"/>
          <w:szCs w:val="22"/>
        </w:rPr>
        <w:t xml:space="preserve"> en los términos establecidos en la Resoluci</w:t>
      </w:r>
      <w:r w:rsidR="003E51AF" w:rsidRPr="00F0291C">
        <w:rPr>
          <w:rFonts w:ascii="Arial Narrow" w:eastAsia="Arial Narrow" w:hAnsi="Arial Narrow" w:cs="Arial Narrow"/>
          <w:color w:val="auto"/>
          <w:sz w:val="22"/>
          <w:szCs w:val="22"/>
        </w:rPr>
        <w:t>ón</w:t>
      </w:r>
      <w:r w:rsidR="003D46A7" w:rsidRPr="00F0291C">
        <w:rPr>
          <w:rFonts w:ascii="Arial Narrow" w:eastAsia="Arial Narrow" w:hAnsi="Arial Narrow" w:cs="Arial Narrow"/>
          <w:color w:val="auto"/>
          <w:sz w:val="22"/>
          <w:szCs w:val="22"/>
        </w:rPr>
        <w:t xml:space="preserve"> CRA </w:t>
      </w:r>
      <w:r w:rsidR="003E51AF" w:rsidRPr="00F0291C">
        <w:rPr>
          <w:rFonts w:ascii="Arial Narrow" w:eastAsia="Arial Narrow" w:hAnsi="Arial Narrow" w:cs="Arial Narrow"/>
          <w:color w:val="auto"/>
          <w:sz w:val="22"/>
          <w:szCs w:val="22"/>
        </w:rPr>
        <w:t>943 de 2021</w:t>
      </w:r>
      <w:r w:rsidR="003D46A7" w:rsidRPr="00F0291C">
        <w:rPr>
          <w:rFonts w:ascii="Arial Narrow" w:eastAsia="Arial Narrow" w:hAnsi="Arial Narrow" w:cs="Arial Narrow"/>
          <w:color w:val="auto"/>
          <w:sz w:val="22"/>
          <w:szCs w:val="22"/>
        </w:rPr>
        <w:t>, o aquellas que las adicionen, modifiquen o sustituyan.</w:t>
      </w:r>
    </w:p>
    <w:p w14:paraId="46E51332" w14:textId="77777777" w:rsidR="0063699D" w:rsidRPr="00EA7BE7" w:rsidRDefault="0063699D" w:rsidP="00EA7BE7">
      <w:pPr>
        <w:pStyle w:val="Default"/>
        <w:ind w:left="360"/>
        <w:jc w:val="both"/>
        <w:rPr>
          <w:rFonts w:ascii="Arial Narrow" w:eastAsia="Arial Narrow" w:hAnsi="Arial Narrow" w:cs="Arial Narrow"/>
          <w:color w:val="auto"/>
          <w:sz w:val="22"/>
          <w:szCs w:val="22"/>
        </w:rPr>
      </w:pPr>
    </w:p>
    <w:p w14:paraId="5D1E44EC" w14:textId="540D46A1" w:rsidR="0063699D" w:rsidRPr="00EA7BE7" w:rsidRDefault="00BE2797" w:rsidP="00EA7BE7">
      <w:pPr>
        <w:pStyle w:val="Default"/>
        <w:numPr>
          <w:ilvl w:val="0"/>
          <w:numId w:val="7"/>
        </w:numPr>
        <w:ind w:left="360"/>
        <w:jc w:val="both"/>
        <w:rPr>
          <w:rFonts w:ascii="Arial Narrow" w:eastAsia="Arial Narrow" w:hAnsi="Arial Narrow" w:cs="Arial Narrow"/>
          <w:color w:val="auto"/>
          <w:sz w:val="22"/>
          <w:szCs w:val="22"/>
        </w:rPr>
      </w:pPr>
      <w:r>
        <w:rPr>
          <w:rFonts w:ascii="Arial Narrow" w:eastAsia="Arial Narrow" w:hAnsi="Arial Narrow" w:cs="Arial Narrow"/>
          <w:color w:val="auto"/>
          <w:sz w:val="22"/>
          <w:szCs w:val="22"/>
        </w:rPr>
        <w:t>Que m</w:t>
      </w:r>
      <w:r w:rsidR="0063699D" w:rsidRPr="00EA7BE7">
        <w:rPr>
          <w:rFonts w:ascii="Arial Narrow" w:eastAsia="Arial Narrow" w:hAnsi="Arial Narrow" w:cs="Arial Narrow"/>
          <w:color w:val="auto"/>
          <w:sz w:val="22"/>
          <w:szCs w:val="22"/>
        </w:rPr>
        <w:t>ediante el Decreto de Junta Directiva 581 de 29 de junio de 2021</w:t>
      </w:r>
      <w:r w:rsidR="003A317B" w:rsidRPr="00EA7BE7">
        <w:rPr>
          <w:rFonts w:ascii="Arial Narrow" w:eastAsia="Arial Narrow" w:hAnsi="Arial Narrow" w:cs="Arial Narrow"/>
          <w:color w:val="auto"/>
          <w:sz w:val="22"/>
          <w:szCs w:val="22"/>
        </w:rPr>
        <w:t xml:space="preserve"> </w:t>
      </w:r>
      <w:r w:rsidR="00E45992" w:rsidRPr="00EA7BE7">
        <w:rPr>
          <w:rFonts w:ascii="Arial Narrow" w:eastAsia="Arial Narrow" w:hAnsi="Arial Narrow" w:cs="Arial Narrow"/>
          <w:color w:val="auto"/>
          <w:sz w:val="22"/>
          <w:szCs w:val="22"/>
        </w:rPr>
        <w:t xml:space="preserve">se </w:t>
      </w:r>
      <w:r w:rsidR="003A317B" w:rsidRPr="00EA7BE7">
        <w:rPr>
          <w:rFonts w:ascii="Arial Narrow" w:eastAsia="Arial Narrow" w:hAnsi="Arial Narrow" w:cs="Arial Narrow"/>
          <w:color w:val="auto"/>
          <w:sz w:val="22"/>
          <w:szCs w:val="22"/>
        </w:rPr>
        <w:t xml:space="preserve">modificó </w:t>
      </w:r>
      <w:r w:rsidR="00B26F41" w:rsidRPr="00EA7BE7">
        <w:rPr>
          <w:rFonts w:ascii="Arial Narrow" w:eastAsia="Arial Narrow" w:hAnsi="Arial Narrow" w:cs="Arial Narrow"/>
          <w:color w:val="auto"/>
          <w:sz w:val="22"/>
          <w:szCs w:val="22"/>
        </w:rPr>
        <w:t xml:space="preserve">el Decreto 557 de 2021 respecto a </w:t>
      </w:r>
      <w:r w:rsidR="0063699D" w:rsidRPr="00EA7BE7">
        <w:rPr>
          <w:rFonts w:ascii="Arial Narrow" w:eastAsia="Arial Narrow" w:hAnsi="Arial Narrow" w:cs="Arial Narrow"/>
          <w:color w:val="auto"/>
          <w:sz w:val="22"/>
          <w:szCs w:val="22"/>
        </w:rPr>
        <w:t xml:space="preserve"> los costos de referencia</w:t>
      </w:r>
      <w:r w:rsidR="00E14D73">
        <w:rPr>
          <w:rFonts w:ascii="Arial Narrow" w:eastAsia="Arial Narrow" w:hAnsi="Arial Narrow" w:cs="Arial Narrow"/>
          <w:color w:val="auto"/>
          <w:sz w:val="22"/>
          <w:szCs w:val="22"/>
        </w:rPr>
        <w:t xml:space="preserve"> máximos para el componente del </w:t>
      </w:r>
      <w:r w:rsidR="009764CA">
        <w:rPr>
          <w:rFonts w:ascii="Arial Narrow" w:eastAsia="Arial Narrow" w:hAnsi="Arial Narrow" w:cs="Arial Narrow"/>
          <w:color w:val="auto"/>
          <w:sz w:val="22"/>
          <w:szCs w:val="22"/>
        </w:rPr>
        <w:t xml:space="preserve">Costo Medio de Inversión - </w:t>
      </w:r>
      <w:r w:rsidR="00E14D73">
        <w:rPr>
          <w:rFonts w:ascii="Arial Narrow" w:eastAsia="Arial Narrow" w:hAnsi="Arial Narrow" w:cs="Arial Narrow"/>
          <w:color w:val="auto"/>
          <w:sz w:val="22"/>
          <w:szCs w:val="22"/>
        </w:rPr>
        <w:t>CMI</w:t>
      </w:r>
      <w:r w:rsidR="0063699D" w:rsidRPr="00EA7BE7">
        <w:rPr>
          <w:rFonts w:ascii="Arial Narrow" w:eastAsia="Arial Narrow" w:hAnsi="Arial Narrow" w:cs="Arial Narrow"/>
          <w:color w:val="auto"/>
          <w:sz w:val="22"/>
          <w:szCs w:val="22"/>
        </w:rPr>
        <w:t xml:space="preserve"> para los servicios públicos domiciliarios de acueducto y alcantarillado que presta EPM en el Mercado Regional</w:t>
      </w:r>
      <w:r w:rsidR="00442876" w:rsidRPr="00EA7BE7">
        <w:rPr>
          <w:rFonts w:ascii="Arial Narrow" w:eastAsia="Arial Narrow" w:hAnsi="Arial Narrow" w:cs="Arial Narrow"/>
          <w:color w:val="auto"/>
          <w:sz w:val="22"/>
          <w:szCs w:val="22"/>
        </w:rPr>
        <w:t>,</w:t>
      </w:r>
      <w:r w:rsidR="0063699D" w:rsidRPr="00EA7BE7">
        <w:rPr>
          <w:rFonts w:ascii="Arial Narrow" w:eastAsia="Arial Narrow" w:hAnsi="Arial Narrow" w:cs="Arial Narrow"/>
          <w:color w:val="auto"/>
          <w:sz w:val="22"/>
          <w:szCs w:val="22"/>
        </w:rPr>
        <w:t xml:space="preserve"> debido a la modificación del Plan de Obras e Inversiones Regulado (POIR), por causas atribuibles a la emergencia sanitaria ocasionada por el COVID-19, de acuerdo con lo dispuesto en las Resoluciones CRA 821 de 2017, 908 de 2019 y 939 de 2021, todas ellas compiladas en la Resolución CRA 943 de 2021. </w:t>
      </w:r>
    </w:p>
    <w:p w14:paraId="6D46F0D1" w14:textId="7024E5B8" w:rsidR="0063699D" w:rsidRPr="00EA7BE7" w:rsidRDefault="0063699D" w:rsidP="00EA7BE7">
      <w:pPr>
        <w:pStyle w:val="Default"/>
        <w:ind w:left="360"/>
        <w:jc w:val="both"/>
        <w:rPr>
          <w:rFonts w:ascii="Arial Narrow" w:eastAsia="Arial Narrow" w:hAnsi="Arial Narrow" w:cs="Arial Narrow"/>
          <w:color w:val="auto"/>
          <w:sz w:val="22"/>
          <w:szCs w:val="22"/>
        </w:rPr>
      </w:pPr>
    </w:p>
    <w:p w14:paraId="1CC604F3" w14:textId="60678403" w:rsidR="003D46A7" w:rsidRPr="00EA7BE7" w:rsidRDefault="00BE2797" w:rsidP="00E518F1">
      <w:pPr>
        <w:pStyle w:val="Default"/>
        <w:numPr>
          <w:ilvl w:val="0"/>
          <w:numId w:val="7"/>
        </w:numPr>
        <w:ind w:left="360"/>
        <w:jc w:val="both"/>
        <w:rPr>
          <w:rFonts w:ascii="Arial Narrow" w:eastAsia="Arial Narrow" w:hAnsi="Arial Narrow" w:cs="Arial Narrow"/>
          <w:color w:val="auto"/>
          <w:sz w:val="22"/>
          <w:szCs w:val="22"/>
        </w:rPr>
      </w:pPr>
      <w:r>
        <w:rPr>
          <w:rFonts w:ascii="Arial Narrow" w:eastAsia="Arial Narrow" w:hAnsi="Arial Narrow" w:cs="Arial Narrow"/>
          <w:color w:val="auto"/>
          <w:sz w:val="22"/>
          <w:szCs w:val="22"/>
        </w:rPr>
        <w:t xml:space="preserve">Que </w:t>
      </w:r>
      <w:r w:rsidR="006C538F">
        <w:rPr>
          <w:rFonts w:ascii="Arial Narrow" w:eastAsia="Arial Narrow" w:hAnsi="Arial Narrow" w:cs="Arial Narrow"/>
          <w:color w:val="auto"/>
          <w:sz w:val="22"/>
          <w:szCs w:val="22"/>
        </w:rPr>
        <w:t>a su turno, a través d</w:t>
      </w:r>
      <w:r w:rsidR="003D46A7" w:rsidRPr="00F0291C">
        <w:rPr>
          <w:rFonts w:ascii="Arial Narrow" w:eastAsia="Arial Narrow" w:hAnsi="Arial Narrow" w:cs="Arial Narrow"/>
          <w:color w:val="auto"/>
          <w:sz w:val="22"/>
          <w:szCs w:val="22"/>
        </w:rPr>
        <w:t>el artículo 4 del Decreto 581</w:t>
      </w:r>
      <w:r w:rsidR="005B2060">
        <w:rPr>
          <w:rFonts w:ascii="Arial Narrow" w:eastAsia="Arial Narrow" w:hAnsi="Arial Narrow" w:cs="Arial Narrow"/>
          <w:color w:val="auto"/>
          <w:sz w:val="22"/>
          <w:szCs w:val="22"/>
        </w:rPr>
        <w:t xml:space="preserve"> </w:t>
      </w:r>
      <w:r w:rsidR="006C538F">
        <w:rPr>
          <w:rFonts w:ascii="Arial Narrow" w:eastAsia="Arial Narrow" w:hAnsi="Arial Narrow" w:cs="Arial Narrow"/>
          <w:color w:val="auto"/>
          <w:sz w:val="22"/>
          <w:szCs w:val="22"/>
        </w:rPr>
        <w:t>ibidem</w:t>
      </w:r>
      <w:r w:rsidR="00857C3A" w:rsidRPr="00F0291C">
        <w:rPr>
          <w:rFonts w:ascii="Arial Narrow" w:eastAsia="Arial Narrow" w:hAnsi="Arial Narrow" w:cs="Arial Narrow"/>
          <w:color w:val="auto"/>
          <w:sz w:val="22"/>
          <w:szCs w:val="22"/>
        </w:rPr>
        <w:t>,</w:t>
      </w:r>
      <w:r w:rsidR="003D46A7" w:rsidRPr="00F0291C">
        <w:rPr>
          <w:rFonts w:ascii="Arial Narrow" w:eastAsia="Arial Narrow" w:hAnsi="Arial Narrow" w:cs="Arial Narrow"/>
          <w:color w:val="auto"/>
          <w:sz w:val="22"/>
          <w:szCs w:val="22"/>
        </w:rPr>
        <w:t xml:space="preserve"> la Junta Directiva delegó en el Gerente General la aplicación de las variaciones en los costos de las APS que conforman el Mercado Regional que no requieren solicitud ante la CRA, relacionadas con contratos de suministro de </w:t>
      </w:r>
      <w:r w:rsidR="00F23A51" w:rsidRPr="00F0291C">
        <w:rPr>
          <w:rFonts w:ascii="Arial Narrow" w:eastAsia="Arial Narrow" w:hAnsi="Arial Narrow" w:cs="Arial Narrow"/>
          <w:color w:val="auto"/>
          <w:sz w:val="22"/>
          <w:szCs w:val="22"/>
        </w:rPr>
        <w:t>a</w:t>
      </w:r>
      <w:r w:rsidR="003D46A7" w:rsidRPr="00F0291C">
        <w:rPr>
          <w:rFonts w:ascii="Arial Narrow" w:eastAsia="Arial Narrow" w:hAnsi="Arial Narrow" w:cs="Arial Narrow"/>
          <w:color w:val="auto"/>
          <w:sz w:val="22"/>
          <w:szCs w:val="22"/>
        </w:rPr>
        <w:t xml:space="preserve">gua </w:t>
      </w:r>
      <w:r w:rsidR="00F23A51" w:rsidRPr="00F0291C">
        <w:rPr>
          <w:rFonts w:ascii="Arial Narrow" w:eastAsia="Arial Narrow" w:hAnsi="Arial Narrow" w:cs="Arial Narrow"/>
          <w:color w:val="auto"/>
          <w:sz w:val="22"/>
          <w:szCs w:val="22"/>
        </w:rPr>
        <w:t>p</w:t>
      </w:r>
      <w:r w:rsidR="003D46A7" w:rsidRPr="00F0291C">
        <w:rPr>
          <w:rFonts w:ascii="Arial Narrow" w:eastAsia="Arial Narrow" w:hAnsi="Arial Narrow" w:cs="Arial Narrow"/>
          <w:color w:val="auto"/>
          <w:sz w:val="22"/>
          <w:szCs w:val="22"/>
        </w:rPr>
        <w:t xml:space="preserve">otable y la modificación de los costos operativos particulares por la entrada en operación de un nuevo activo, en los </w:t>
      </w:r>
      <w:r w:rsidR="003D46A7" w:rsidRPr="00F0291C">
        <w:rPr>
          <w:rFonts w:ascii="Arial Narrow" w:eastAsia="Arial Narrow" w:hAnsi="Arial Narrow" w:cs="Arial Narrow"/>
          <w:color w:val="auto"/>
          <w:sz w:val="22"/>
          <w:szCs w:val="22"/>
        </w:rPr>
        <w:lastRenderedPageBreak/>
        <w:t>términos establecidos en la Resolución CRA 864 de 2018, compilada por la Resolución CRA 943 de 2021 o aquellas que las adicionen, modifiquen o sustituyan.</w:t>
      </w:r>
    </w:p>
    <w:p w14:paraId="7B913E53" w14:textId="77777777" w:rsidR="00E518F1" w:rsidRPr="004F560A" w:rsidRDefault="00E518F1" w:rsidP="00E518F1">
      <w:pPr>
        <w:pStyle w:val="Default"/>
        <w:jc w:val="both"/>
        <w:rPr>
          <w:rFonts w:ascii="Arial Narrow" w:hAnsi="Arial Narrow"/>
          <w:sz w:val="22"/>
          <w:szCs w:val="22"/>
        </w:rPr>
      </w:pPr>
    </w:p>
    <w:p w14:paraId="22FA5426" w14:textId="2559A23A" w:rsidR="009651F1" w:rsidRPr="002F49AD" w:rsidRDefault="00181A56">
      <w:pPr>
        <w:pStyle w:val="Default"/>
        <w:numPr>
          <w:ilvl w:val="0"/>
          <w:numId w:val="7"/>
        </w:numPr>
        <w:ind w:left="360"/>
        <w:jc w:val="both"/>
        <w:rPr>
          <w:rFonts w:ascii="Arial Narrow" w:eastAsia="Arial Narrow" w:hAnsi="Arial Narrow" w:cs="Arial Narrow"/>
          <w:color w:val="auto"/>
          <w:sz w:val="22"/>
          <w:szCs w:val="22"/>
        </w:rPr>
      </w:pPr>
      <w:r>
        <w:rPr>
          <w:rFonts w:ascii="Arial Narrow" w:eastAsia="Arial Narrow" w:hAnsi="Arial Narrow" w:cs="Arial Narrow"/>
          <w:color w:val="auto"/>
          <w:sz w:val="22"/>
          <w:szCs w:val="22"/>
        </w:rPr>
        <w:t>Que m</w:t>
      </w:r>
      <w:r w:rsidR="00762988" w:rsidRPr="00EA7BE7">
        <w:rPr>
          <w:rFonts w:ascii="Arial Narrow" w:eastAsia="Arial Narrow" w:hAnsi="Arial Narrow" w:cs="Arial Narrow"/>
          <w:color w:val="auto"/>
          <w:sz w:val="22"/>
          <w:szCs w:val="22"/>
        </w:rPr>
        <w:t xml:space="preserve">ediante el Decreto de Junta Directiva 794 de </w:t>
      </w:r>
      <w:r w:rsidR="00E6748A" w:rsidRPr="00EA7BE7">
        <w:rPr>
          <w:rFonts w:ascii="Arial Narrow" w:eastAsia="Arial Narrow" w:hAnsi="Arial Narrow" w:cs="Arial Narrow"/>
          <w:color w:val="auto"/>
          <w:sz w:val="22"/>
          <w:szCs w:val="22"/>
        </w:rPr>
        <w:t>9 de abril de 2024</w:t>
      </w:r>
      <w:r w:rsidR="00762988" w:rsidRPr="00EA7BE7">
        <w:rPr>
          <w:rFonts w:ascii="Arial Narrow" w:eastAsia="Arial Narrow" w:hAnsi="Arial Narrow" w:cs="Arial Narrow"/>
          <w:color w:val="auto"/>
          <w:sz w:val="22"/>
          <w:szCs w:val="22"/>
        </w:rPr>
        <w:t xml:space="preserve"> se</w:t>
      </w:r>
      <w:r w:rsidR="00312F55">
        <w:rPr>
          <w:rFonts w:ascii="Arial Narrow" w:eastAsia="Arial Narrow" w:hAnsi="Arial Narrow" w:cs="Arial Narrow"/>
          <w:color w:val="auto"/>
          <w:sz w:val="22"/>
          <w:szCs w:val="22"/>
        </w:rPr>
        <w:t xml:space="preserve"> adoptó </w:t>
      </w:r>
      <w:r w:rsidR="000A743C">
        <w:rPr>
          <w:rFonts w:ascii="Arial Narrow" w:eastAsia="Arial Narrow" w:hAnsi="Arial Narrow" w:cs="Arial Narrow"/>
          <w:color w:val="auto"/>
          <w:sz w:val="22"/>
          <w:szCs w:val="22"/>
        </w:rPr>
        <w:t xml:space="preserve">los costos de referencia en el componente del del Costo Medio de Inversión – CMI, modificando con ello </w:t>
      </w:r>
      <w:r w:rsidR="00970FE7">
        <w:rPr>
          <w:rFonts w:ascii="Arial Narrow" w:eastAsia="Arial Narrow" w:hAnsi="Arial Narrow" w:cs="Arial Narrow"/>
          <w:color w:val="auto"/>
          <w:sz w:val="22"/>
          <w:szCs w:val="22"/>
        </w:rPr>
        <w:t>el artículo segundo del Decreto 581 de 2021</w:t>
      </w:r>
      <w:r w:rsidR="00762988" w:rsidRPr="00EA7BE7">
        <w:rPr>
          <w:rFonts w:ascii="Arial Narrow" w:eastAsia="Arial Narrow" w:hAnsi="Arial Narrow" w:cs="Arial Narrow"/>
          <w:color w:val="auto"/>
          <w:sz w:val="22"/>
          <w:szCs w:val="22"/>
        </w:rPr>
        <w:t xml:space="preserve"> para los servicios públicos domiciliarios de acueducto y alcantarillado que presta EPM en el Mercado Regional, debido a la </w:t>
      </w:r>
      <w:r w:rsidR="00E6748A" w:rsidRPr="00EA7BE7">
        <w:rPr>
          <w:rFonts w:ascii="Arial Narrow" w:eastAsia="Arial Narrow" w:hAnsi="Arial Narrow" w:cs="Arial Narrow"/>
          <w:color w:val="auto"/>
          <w:sz w:val="22"/>
          <w:szCs w:val="22"/>
        </w:rPr>
        <w:t>actualización</w:t>
      </w:r>
      <w:r w:rsidR="00762988" w:rsidRPr="00EA7BE7">
        <w:rPr>
          <w:rFonts w:ascii="Arial Narrow" w:eastAsia="Arial Narrow" w:hAnsi="Arial Narrow" w:cs="Arial Narrow"/>
          <w:color w:val="auto"/>
          <w:sz w:val="22"/>
          <w:szCs w:val="22"/>
        </w:rPr>
        <w:t xml:space="preserve"> del Plan de Obras e Inversiones Regulado (POIR</w:t>
      </w:r>
      <w:r w:rsidR="00E6748A" w:rsidRPr="00EA7BE7">
        <w:rPr>
          <w:rFonts w:ascii="Arial Narrow" w:eastAsia="Arial Narrow" w:hAnsi="Arial Narrow" w:cs="Arial Narrow"/>
          <w:color w:val="auto"/>
          <w:sz w:val="22"/>
          <w:szCs w:val="22"/>
        </w:rPr>
        <w:t xml:space="preserve">) en aplicación </w:t>
      </w:r>
      <w:r w:rsidR="00BA203A" w:rsidRPr="00EA7BE7">
        <w:rPr>
          <w:rFonts w:ascii="Arial Narrow" w:eastAsia="Arial Narrow" w:hAnsi="Arial Narrow" w:cs="Arial Narrow"/>
          <w:color w:val="auto"/>
          <w:sz w:val="22"/>
          <w:szCs w:val="22"/>
        </w:rPr>
        <w:t xml:space="preserve">del artículo </w:t>
      </w:r>
      <w:r w:rsidR="009651F1" w:rsidRPr="00EA7BE7">
        <w:rPr>
          <w:rFonts w:ascii="Arial Narrow" w:eastAsia="Arial Narrow" w:hAnsi="Arial Narrow" w:cs="Arial Narrow"/>
          <w:color w:val="auto"/>
          <w:sz w:val="22"/>
          <w:szCs w:val="22"/>
        </w:rPr>
        <w:t>2.1.2.1.4.3.10 de la Resolución CRA 943 de 2021.</w:t>
      </w:r>
    </w:p>
    <w:p w14:paraId="284330D1" w14:textId="77777777" w:rsidR="002F49AD" w:rsidRPr="009651F1" w:rsidRDefault="002F49AD" w:rsidP="002F49AD">
      <w:pPr>
        <w:pStyle w:val="Default"/>
        <w:jc w:val="both"/>
        <w:rPr>
          <w:rFonts w:ascii="Arial Narrow" w:eastAsia="Arial Narrow" w:hAnsi="Arial Narrow" w:cs="Arial Narrow"/>
          <w:color w:val="auto"/>
          <w:sz w:val="22"/>
          <w:szCs w:val="22"/>
        </w:rPr>
      </w:pPr>
    </w:p>
    <w:p w14:paraId="7BD958EA" w14:textId="09087BB1" w:rsidR="00762988" w:rsidRDefault="00181A56" w:rsidP="009651F1">
      <w:pPr>
        <w:pStyle w:val="Default"/>
        <w:numPr>
          <w:ilvl w:val="0"/>
          <w:numId w:val="7"/>
        </w:numPr>
        <w:ind w:left="360"/>
        <w:jc w:val="both"/>
        <w:rPr>
          <w:rFonts w:ascii="Arial Narrow" w:eastAsia="Arial Narrow" w:hAnsi="Arial Narrow" w:cs="Arial Narrow"/>
          <w:color w:val="auto"/>
          <w:sz w:val="22"/>
          <w:szCs w:val="22"/>
        </w:rPr>
      </w:pPr>
      <w:r>
        <w:rPr>
          <w:rFonts w:ascii="Arial Narrow" w:eastAsia="Arial Narrow" w:hAnsi="Arial Narrow" w:cs="Arial Narrow"/>
          <w:color w:val="auto"/>
          <w:sz w:val="22"/>
          <w:szCs w:val="22"/>
        </w:rPr>
        <w:t>Que d</w:t>
      </w:r>
      <w:r w:rsidR="000E4CFA" w:rsidRPr="009651F1">
        <w:rPr>
          <w:rFonts w:ascii="Arial Narrow" w:eastAsia="Arial Narrow" w:hAnsi="Arial Narrow" w:cs="Arial Narrow"/>
          <w:color w:val="auto"/>
          <w:sz w:val="22"/>
          <w:szCs w:val="22"/>
        </w:rPr>
        <w:t xml:space="preserve">e acuerdo con las delegaciones </w:t>
      </w:r>
      <w:r w:rsidR="009C49D6" w:rsidRPr="009651F1">
        <w:rPr>
          <w:rFonts w:ascii="Arial Narrow" w:eastAsia="Arial Narrow" w:hAnsi="Arial Narrow" w:cs="Arial Narrow"/>
          <w:color w:val="auto"/>
          <w:sz w:val="22"/>
          <w:szCs w:val="22"/>
        </w:rPr>
        <w:t xml:space="preserve">otorgadas </w:t>
      </w:r>
      <w:r w:rsidR="000E4CFA" w:rsidRPr="009651F1">
        <w:rPr>
          <w:rFonts w:ascii="Arial Narrow" w:eastAsia="Arial Narrow" w:hAnsi="Arial Narrow" w:cs="Arial Narrow"/>
          <w:color w:val="auto"/>
          <w:sz w:val="22"/>
          <w:szCs w:val="22"/>
        </w:rPr>
        <w:t xml:space="preserve">al Gerente General </w:t>
      </w:r>
      <w:r w:rsidR="00F0291C" w:rsidRPr="009651F1">
        <w:rPr>
          <w:rFonts w:ascii="Arial Narrow" w:eastAsia="Arial Narrow" w:hAnsi="Arial Narrow" w:cs="Arial Narrow"/>
          <w:color w:val="auto"/>
          <w:sz w:val="22"/>
          <w:szCs w:val="22"/>
        </w:rPr>
        <w:t>a través de</w:t>
      </w:r>
      <w:r w:rsidR="000E4CFA" w:rsidRPr="009651F1">
        <w:rPr>
          <w:rFonts w:ascii="Arial Narrow" w:eastAsia="Arial Narrow" w:hAnsi="Arial Narrow" w:cs="Arial Narrow"/>
          <w:color w:val="auto"/>
          <w:sz w:val="22"/>
          <w:szCs w:val="22"/>
        </w:rPr>
        <w:t xml:space="preserve"> los Decretos de Junta Directiva 557 y 581 de 2021</w:t>
      </w:r>
      <w:r w:rsidR="005019AC">
        <w:rPr>
          <w:rFonts w:ascii="Arial Narrow" w:eastAsia="Arial Narrow" w:hAnsi="Arial Narrow" w:cs="Arial Narrow"/>
          <w:color w:val="auto"/>
          <w:sz w:val="22"/>
          <w:szCs w:val="22"/>
        </w:rPr>
        <w:t xml:space="preserve"> antes expuestos</w:t>
      </w:r>
      <w:r w:rsidR="000E4CFA" w:rsidRPr="009651F1">
        <w:rPr>
          <w:rFonts w:ascii="Arial Narrow" w:eastAsia="Arial Narrow" w:hAnsi="Arial Narrow" w:cs="Arial Narrow"/>
          <w:color w:val="auto"/>
          <w:sz w:val="22"/>
          <w:szCs w:val="22"/>
        </w:rPr>
        <w:t xml:space="preserve">, </w:t>
      </w:r>
      <w:r w:rsidR="00F0291C" w:rsidRPr="009651F1">
        <w:rPr>
          <w:rFonts w:ascii="Arial Narrow" w:eastAsia="Arial Narrow" w:hAnsi="Arial Narrow" w:cs="Arial Narrow"/>
          <w:color w:val="auto"/>
          <w:sz w:val="22"/>
          <w:szCs w:val="22"/>
        </w:rPr>
        <w:t>el Gerente General mediante el Decreto</w:t>
      </w:r>
      <w:r w:rsidR="00AE1CA6" w:rsidRPr="009651F1">
        <w:rPr>
          <w:rFonts w:ascii="Arial Narrow" w:eastAsia="Arial Narrow" w:hAnsi="Arial Narrow" w:cs="Arial Narrow"/>
          <w:color w:val="auto"/>
          <w:sz w:val="22"/>
          <w:szCs w:val="22"/>
        </w:rPr>
        <w:t xml:space="preserve"> </w:t>
      </w:r>
      <w:r w:rsidR="000E4CFA" w:rsidRPr="009651F1">
        <w:rPr>
          <w:rFonts w:ascii="Arial Narrow" w:eastAsia="Arial Narrow" w:hAnsi="Arial Narrow" w:cs="Arial Narrow"/>
          <w:color w:val="auto"/>
          <w:sz w:val="22"/>
          <w:szCs w:val="22"/>
        </w:rPr>
        <w:t>24</w:t>
      </w:r>
      <w:r w:rsidR="00325877" w:rsidRPr="009651F1">
        <w:rPr>
          <w:rFonts w:ascii="Arial Narrow" w:eastAsia="Arial Narrow" w:hAnsi="Arial Narrow" w:cs="Arial Narrow"/>
          <w:color w:val="auto"/>
          <w:sz w:val="22"/>
          <w:szCs w:val="22"/>
        </w:rPr>
        <w:t>62</w:t>
      </w:r>
      <w:r w:rsidR="000E4CFA" w:rsidRPr="009651F1">
        <w:rPr>
          <w:rFonts w:ascii="Arial Narrow" w:eastAsia="Arial Narrow" w:hAnsi="Arial Narrow" w:cs="Arial Narrow"/>
          <w:color w:val="auto"/>
          <w:sz w:val="22"/>
          <w:szCs w:val="22"/>
        </w:rPr>
        <w:t xml:space="preserve"> </w:t>
      </w:r>
      <w:r w:rsidR="00AE1CA6" w:rsidRPr="009651F1">
        <w:rPr>
          <w:rFonts w:ascii="Arial Narrow" w:eastAsia="Arial Narrow" w:hAnsi="Arial Narrow" w:cs="Arial Narrow"/>
          <w:color w:val="auto"/>
          <w:sz w:val="22"/>
          <w:szCs w:val="22"/>
        </w:rPr>
        <w:t xml:space="preserve">del </w:t>
      </w:r>
      <w:r w:rsidR="00ED0857" w:rsidRPr="009651F1">
        <w:rPr>
          <w:rFonts w:ascii="Arial Narrow" w:eastAsia="Arial Narrow" w:hAnsi="Arial Narrow" w:cs="Arial Narrow"/>
          <w:color w:val="auto"/>
          <w:sz w:val="22"/>
          <w:szCs w:val="22"/>
        </w:rPr>
        <w:t>09</w:t>
      </w:r>
      <w:r w:rsidR="00AE1CA6" w:rsidRPr="009651F1">
        <w:rPr>
          <w:rFonts w:ascii="Arial Narrow" w:eastAsia="Arial Narrow" w:hAnsi="Arial Narrow" w:cs="Arial Narrow"/>
          <w:color w:val="auto"/>
          <w:sz w:val="22"/>
          <w:szCs w:val="22"/>
        </w:rPr>
        <w:t xml:space="preserve"> de septiembre de 202</w:t>
      </w:r>
      <w:r w:rsidR="00ED0857" w:rsidRPr="009651F1">
        <w:rPr>
          <w:rFonts w:ascii="Arial Narrow" w:eastAsia="Arial Narrow" w:hAnsi="Arial Narrow" w:cs="Arial Narrow"/>
          <w:color w:val="auto"/>
          <w:sz w:val="22"/>
          <w:szCs w:val="22"/>
        </w:rPr>
        <w:t>4</w:t>
      </w:r>
      <w:r w:rsidR="00AE1CA6" w:rsidRPr="009651F1">
        <w:rPr>
          <w:rFonts w:ascii="Arial Narrow" w:eastAsia="Arial Narrow" w:hAnsi="Arial Narrow" w:cs="Arial Narrow"/>
          <w:color w:val="auto"/>
          <w:sz w:val="22"/>
          <w:szCs w:val="22"/>
        </w:rPr>
        <w:t xml:space="preserve"> </w:t>
      </w:r>
      <w:r w:rsidR="00F0291C" w:rsidRPr="009651F1">
        <w:rPr>
          <w:rFonts w:ascii="Arial Narrow" w:eastAsia="Arial Narrow" w:hAnsi="Arial Narrow" w:cs="Arial Narrow"/>
          <w:color w:val="auto"/>
          <w:sz w:val="22"/>
          <w:szCs w:val="22"/>
        </w:rPr>
        <w:t>actualizó</w:t>
      </w:r>
      <w:r w:rsidR="000E4CFA" w:rsidRPr="009651F1">
        <w:rPr>
          <w:rFonts w:ascii="Arial Narrow" w:eastAsia="Arial Narrow" w:hAnsi="Arial Narrow" w:cs="Arial Narrow"/>
          <w:color w:val="auto"/>
          <w:sz w:val="22"/>
          <w:szCs w:val="22"/>
        </w:rPr>
        <w:t xml:space="preserve"> los </w:t>
      </w:r>
      <w:r w:rsidR="002D5DE3" w:rsidRPr="009651F1">
        <w:rPr>
          <w:rFonts w:ascii="Arial Narrow" w:eastAsia="Arial Narrow" w:hAnsi="Arial Narrow" w:cs="Arial Narrow"/>
          <w:color w:val="auto"/>
          <w:sz w:val="22"/>
          <w:szCs w:val="22"/>
        </w:rPr>
        <w:t>C</w:t>
      </w:r>
      <w:r w:rsidR="000E4CFA" w:rsidRPr="009651F1">
        <w:rPr>
          <w:rFonts w:ascii="Arial Narrow" w:eastAsia="Arial Narrow" w:hAnsi="Arial Narrow" w:cs="Arial Narrow"/>
          <w:color w:val="auto"/>
          <w:sz w:val="22"/>
          <w:szCs w:val="22"/>
        </w:rPr>
        <w:t xml:space="preserve">ostos </w:t>
      </w:r>
      <w:r w:rsidR="002D5DE3" w:rsidRPr="009651F1">
        <w:rPr>
          <w:rFonts w:ascii="Arial Narrow" w:eastAsia="Arial Narrow" w:hAnsi="Arial Narrow" w:cs="Arial Narrow"/>
          <w:color w:val="auto"/>
          <w:sz w:val="22"/>
          <w:szCs w:val="22"/>
        </w:rPr>
        <w:t>M</w:t>
      </w:r>
      <w:r w:rsidR="000E4CFA" w:rsidRPr="009651F1">
        <w:rPr>
          <w:rFonts w:ascii="Arial Narrow" w:eastAsia="Arial Narrow" w:hAnsi="Arial Narrow" w:cs="Arial Narrow"/>
          <w:color w:val="auto"/>
          <w:sz w:val="22"/>
          <w:szCs w:val="22"/>
        </w:rPr>
        <w:t xml:space="preserve">edios </w:t>
      </w:r>
      <w:r w:rsidR="002D5DE3" w:rsidRPr="009651F1">
        <w:rPr>
          <w:rFonts w:ascii="Arial Narrow" w:eastAsia="Arial Narrow" w:hAnsi="Arial Narrow" w:cs="Arial Narrow"/>
          <w:color w:val="auto"/>
          <w:sz w:val="22"/>
          <w:szCs w:val="22"/>
        </w:rPr>
        <w:t>O</w:t>
      </w:r>
      <w:r w:rsidR="000E4CFA" w:rsidRPr="009651F1">
        <w:rPr>
          <w:rFonts w:ascii="Arial Narrow" w:eastAsia="Arial Narrow" w:hAnsi="Arial Narrow" w:cs="Arial Narrow"/>
          <w:color w:val="auto"/>
          <w:sz w:val="22"/>
          <w:szCs w:val="22"/>
        </w:rPr>
        <w:t>perativos</w:t>
      </w:r>
      <w:r w:rsidR="002D5DE3" w:rsidRPr="009651F1">
        <w:rPr>
          <w:rFonts w:ascii="Arial Narrow" w:eastAsia="Arial Narrow" w:hAnsi="Arial Narrow" w:cs="Arial Narrow"/>
          <w:color w:val="auto"/>
          <w:sz w:val="22"/>
          <w:szCs w:val="22"/>
        </w:rPr>
        <w:t xml:space="preserve"> (CMO)</w:t>
      </w:r>
      <w:r w:rsidR="000E4CFA" w:rsidRPr="009651F1">
        <w:rPr>
          <w:rFonts w:ascii="Arial Narrow" w:eastAsia="Arial Narrow" w:hAnsi="Arial Narrow" w:cs="Arial Narrow"/>
          <w:color w:val="auto"/>
          <w:sz w:val="22"/>
          <w:szCs w:val="22"/>
        </w:rPr>
        <w:t xml:space="preserve"> y los </w:t>
      </w:r>
      <w:r w:rsidR="002D5DE3" w:rsidRPr="009651F1">
        <w:rPr>
          <w:rFonts w:ascii="Arial Narrow" w:eastAsia="Arial Narrow" w:hAnsi="Arial Narrow" w:cs="Arial Narrow"/>
          <w:color w:val="auto"/>
          <w:sz w:val="22"/>
          <w:szCs w:val="22"/>
        </w:rPr>
        <w:t>C</w:t>
      </w:r>
      <w:r w:rsidR="000E4CFA" w:rsidRPr="009651F1">
        <w:rPr>
          <w:rFonts w:ascii="Arial Narrow" w:eastAsia="Arial Narrow" w:hAnsi="Arial Narrow" w:cs="Arial Narrow"/>
          <w:color w:val="auto"/>
          <w:sz w:val="22"/>
          <w:szCs w:val="22"/>
        </w:rPr>
        <w:t xml:space="preserve">ostos </w:t>
      </w:r>
      <w:r w:rsidR="002D5DE3" w:rsidRPr="009651F1">
        <w:rPr>
          <w:rFonts w:ascii="Arial Narrow" w:eastAsia="Arial Narrow" w:hAnsi="Arial Narrow" w:cs="Arial Narrow"/>
          <w:color w:val="auto"/>
          <w:sz w:val="22"/>
          <w:szCs w:val="22"/>
        </w:rPr>
        <w:t>M</w:t>
      </w:r>
      <w:r w:rsidR="000E4CFA" w:rsidRPr="009651F1">
        <w:rPr>
          <w:rFonts w:ascii="Arial Narrow" w:eastAsia="Arial Narrow" w:hAnsi="Arial Narrow" w:cs="Arial Narrow"/>
          <w:color w:val="auto"/>
          <w:sz w:val="22"/>
          <w:szCs w:val="22"/>
        </w:rPr>
        <w:t xml:space="preserve">edios de </w:t>
      </w:r>
      <w:r w:rsidR="002D5DE3" w:rsidRPr="009651F1">
        <w:rPr>
          <w:rFonts w:ascii="Arial Narrow" w:eastAsia="Arial Narrow" w:hAnsi="Arial Narrow" w:cs="Arial Narrow"/>
          <w:color w:val="auto"/>
          <w:sz w:val="22"/>
          <w:szCs w:val="22"/>
        </w:rPr>
        <w:t>I</w:t>
      </w:r>
      <w:r w:rsidR="000E4CFA" w:rsidRPr="009651F1">
        <w:rPr>
          <w:rFonts w:ascii="Arial Narrow" w:eastAsia="Arial Narrow" w:hAnsi="Arial Narrow" w:cs="Arial Narrow"/>
          <w:color w:val="auto"/>
          <w:sz w:val="22"/>
          <w:szCs w:val="22"/>
        </w:rPr>
        <w:t>nversión</w:t>
      </w:r>
      <w:r w:rsidR="002D5DE3" w:rsidRPr="009651F1">
        <w:rPr>
          <w:rFonts w:ascii="Arial Narrow" w:eastAsia="Arial Narrow" w:hAnsi="Arial Narrow" w:cs="Arial Narrow"/>
          <w:color w:val="auto"/>
          <w:sz w:val="22"/>
          <w:szCs w:val="22"/>
        </w:rPr>
        <w:t xml:space="preserve"> (CMI)</w:t>
      </w:r>
      <w:r w:rsidR="000E4CFA" w:rsidRPr="009651F1">
        <w:rPr>
          <w:rFonts w:ascii="Arial Narrow" w:eastAsia="Arial Narrow" w:hAnsi="Arial Narrow" w:cs="Arial Narrow"/>
          <w:color w:val="auto"/>
          <w:sz w:val="22"/>
          <w:szCs w:val="22"/>
        </w:rPr>
        <w:t xml:space="preserve"> de los servicios de acueducto y alcantarillado que presta EPM en las APS del Mercado Regional, como consecuencia de las variaciones en </w:t>
      </w:r>
      <w:r w:rsidR="000E4CFA" w:rsidRPr="00B9540B">
        <w:rPr>
          <w:rFonts w:ascii="Arial Narrow" w:eastAsia="Arial Narrow" w:hAnsi="Arial Narrow" w:cs="Arial Narrow"/>
          <w:color w:val="auto"/>
          <w:sz w:val="22"/>
          <w:szCs w:val="22"/>
        </w:rPr>
        <w:t>los costos operativos particulares</w:t>
      </w:r>
      <w:r w:rsidR="008F7AD3" w:rsidRPr="009651F1">
        <w:rPr>
          <w:rFonts w:ascii="Arial Narrow" w:eastAsia="Arial Narrow" w:hAnsi="Arial Narrow" w:cs="Arial Narrow"/>
          <w:color w:val="auto"/>
          <w:sz w:val="22"/>
          <w:szCs w:val="22"/>
        </w:rPr>
        <w:t xml:space="preserve"> </w:t>
      </w:r>
      <w:r w:rsidR="000E4CFA" w:rsidRPr="009651F1">
        <w:rPr>
          <w:rFonts w:ascii="Arial Narrow" w:eastAsia="Arial Narrow" w:hAnsi="Arial Narrow" w:cs="Arial Narrow"/>
          <w:color w:val="auto"/>
          <w:sz w:val="22"/>
          <w:szCs w:val="22"/>
        </w:rPr>
        <w:t>de conformidad con lo dispuesto en la Resolución CRA 943 de 2021.</w:t>
      </w:r>
    </w:p>
    <w:p w14:paraId="6902E446" w14:textId="77777777" w:rsidR="006A343B" w:rsidRDefault="006A343B" w:rsidP="006A343B">
      <w:pPr>
        <w:pStyle w:val="Default"/>
        <w:jc w:val="both"/>
        <w:rPr>
          <w:rFonts w:ascii="Arial Narrow" w:eastAsia="Arial Narrow" w:hAnsi="Arial Narrow" w:cs="Arial Narrow"/>
          <w:color w:val="auto"/>
          <w:sz w:val="22"/>
          <w:szCs w:val="22"/>
        </w:rPr>
      </w:pPr>
    </w:p>
    <w:p w14:paraId="10E07E1B" w14:textId="2C22571C" w:rsidR="00937604" w:rsidRPr="009651F1" w:rsidRDefault="009C33E5" w:rsidP="009651F1">
      <w:pPr>
        <w:pStyle w:val="Default"/>
        <w:numPr>
          <w:ilvl w:val="0"/>
          <w:numId w:val="7"/>
        </w:numPr>
        <w:ind w:left="360"/>
        <w:jc w:val="both"/>
        <w:rPr>
          <w:rFonts w:ascii="Arial Narrow" w:eastAsia="Arial Narrow" w:hAnsi="Arial Narrow" w:cs="Arial Narrow"/>
          <w:color w:val="auto"/>
          <w:sz w:val="22"/>
          <w:szCs w:val="22"/>
        </w:rPr>
      </w:pPr>
      <w:r>
        <w:rPr>
          <w:rFonts w:ascii="Arial Narrow" w:eastAsia="Arial Narrow" w:hAnsi="Arial Narrow" w:cs="Arial Narrow"/>
          <w:color w:val="auto"/>
          <w:sz w:val="22"/>
          <w:szCs w:val="22"/>
        </w:rPr>
        <w:t xml:space="preserve">Que en cumplimiento </w:t>
      </w:r>
      <w:r w:rsidR="0017322D">
        <w:rPr>
          <w:rFonts w:ascii="Arial Narrow" w:eastAsia="Arial Narrow" w:hAnsi="Arial Narrow" w:cs="Arial Narrow"/>
          <w:color w:val="auto"/>
          <w:sz w:val="22"/>
          <w:szCs w:val="22"/>
        </w:rPr>
        <w:t xml:space="preserve">de lo dispuesto en </w:t>
      </w:r>
      <w:r w:rsidR="0017322D" w:rsidRPr="0017322D">
        <w:rPr>
          <w:rFonts w:ascii="Arial Narrow" w:eastAsia="Arial Narrow" w:hAnsi="Arial Narrow" w:cs="Arial Narrow"/>
          <w:color w:val="auto"/>
          <w:sz w:val="22"/>
          <w:szCs w:val="22"/>
        </w:rPr>
        <w:t>los parágrafos de los artículos 2.1.2.1.4.1.1. y 2.1.2.1.4.2.1. de la Resolución CRA 943 de 2021</w:t>
      </w:r>
      <w:r w:rsidR="00EB6824">
        <w:rPr>
          <w:rFonts w:ascii="Arial Narrow" w:eastAsia="Arial Narrow" w:hAnsi="Arial Narrow" w:cs="Arial Narrow"/>
          <w:color w:val="auto"/>
          <w:sz w:val="22"/>
          <w:szCs w:val="22"/>
        </w:rPr>
        <w:t xml:space="preserve">, mediante el Decreto 873 de 2025 </w:t>
      </w:r>
      <w:r w:rsidR="008B39F6">
        <w:rPr>
          <w:rFonts w:ascii="Arial Narrow" w:eastAsia="Arial Narrow" w:hAnsi="Arial Narrow" w:cs="Arial Narrow"/>
          <w:color w:val="auto"/>
          <w:sz w:val="22"/>
          <w:szCs w:val="22"/>
        </w:rPr>
        <w:t>se a</w:t>
      </w:r>
      <w:r w:rsidR="008B39F6" w:rsidRPr="008B39F6">
        <w:rPr>
          <w:rFonts w:ascii="Arial Narrow" w:eastAsia="Arial Narrow" w:hAnsi="Arial Narrow" w:cs="Arial Narrow"/>
          <w:color w:val="auto"/>
          <w:sz w:val="22"/>
          <w:szCs w:val="22"/>
        </w:rPr>
        <w:t>doptar</w:t>
      </w:r>
      <w:r w:rsidR="008B39F6">
        <w:rPr>
          <w:rFonts w:ascii="Arial Narrow" w:eastAsia="Arial Narrow" w:hAnsi="Arial Narrow" w:cs="Arial Narrow"/>
          <w:color w:val="auto"/>
          <w:sz w:val="22"/>
          <w:szCs w:val="22"/>
        </w:rPr>
        <w:t>on</w:t>
      </w:r>
      <w:r w:rsidR="008B39F6" w:rsidRPr="008B39F6">
        <w:rPr>
          <w:rFonts w:ascii="Arial Narrow" w:eastAsia="Arial Narrow" w:hAnsi="Arial Narrow" w:cs="Arial Narrow"/>
          <w:color w:val="auto"/>
          <w:sz w:val="22"/>
          <w:szCs w:val="22"/>
        </w:rPr>
        <w:t xml:space="preserve"> </w:t>
      </w:r>
      <w:r w:rsidR="00832F08">
        <w:rPr>
          <w:rFonts w:ascii="Arial Narrow" w:eastAsia="Arial Narrow" w:hAnsi="Arial Narrow" w:cs="Arial Narrow"/>
          <w:color w:val="auto"/>
          <w:sz w:val="22"/>
          <w:szCs w:val="22"/>
        </w:rPr>
        <w:t>los</w:t>
      </w:r>
      <w:r w:rsidR="008B39F6" w:rsidRPr="008B39F6">
        <w:rPr>
          <w:rFonts w:ascii="Arial Narrow" w:eastAsia="Arial Narrow" w:hAnsi="Arial Narrow" w:cs="Arial Narrow"/>
          <w:color w:val="auto"/>
          <w:sz w:val="22"/>
          <w:szCs w:val="22"/>
        </w:rPr>
        <w:t xml:space="preserve"> costos de referencia máximos en los componentes de Costo Medio de Administración (CMA) y Costo Medio de Operación (CMO) de los servicios de acueducto y alcantarillado, que presta EMPRESAS PÚBLICAS DE MEDELLÍN E.S.P. en las Áreas de Prestación del Servicio </w:t>
      </w:r>
      <w:r w:rsidR="006C7EDA" w:rsidRPr="006C7EDA">
        <w:rPr>
          <w:rFonts w:ascii="Arial Narrow" w:eastAsia="Arial Narrow" w:hAnsi="Arial Narrow" w:cs="Arial Narrow"/>
          <w:color w:val="auto"/>
          <w:sz w:val="22"/>
          <w:szCs w:val="22"/>
        </w:rPr>
        <w:t xml:space="preserve">(APS) que conforman el Mercado Regional, </w:t>
      </w:r>
      <w:r w:rsidR="006C7EDA">
        <w:rPr>
          <w:rFonts w:ascii="Arial Narrow" w:eastAsia="Arial Narrow" w:hAnsi="Arial Narrow" w:cs="Arial Narrow"/>
          <w:color w:val="auto"/>
          <w:sz w:val="22"/>
          <w:szCs w:val="22"/>
        </w:rPr>
        <w:t>a partir de los consumos del 1 de julio de 2025.</w:t>
      </w:r>
    </w:p>
    <w:p w14:paraId="0963B1D9" w14:textId="77777777" w:rsidR="000E4CFA" w:rsidRPr="004F560A" w:rsidRDefault="000E4CFA" w:rsidP="00E518F1">
      <w:pPr>
        <w:pStyle w:val="Default"/>
        <w:jc w:val="both"/>
        <w:rPr>
          <w:rFonts w:ascii="Arial Narrow" w:hAnsi="Arial Narrow"/>
          <w:sz w:val="22"/>
          <w:szCs w:val="22"/>
        </w:rPr>
      </w:pPr>
    </w:p>
    <w:p w14:paraId="475CFEA3" w14:textId="58D2B7DC" w:rsidR="0063699D" w:rsidRDefault="00181A56" w:rsidP="00E518F1">
      <w:pPr>
        <w:pStyle w:val="Default"/>
        <w:numPr>
          <w:ilvl w:val="0"/>
          <w:numId w:val="7"/>
        </w:numPr>
        <w:ind w:left="360"/>
        <w:jc w:val="both"/>
        <w:rPr>
          <w:rFonts w:ascii="Arial Narrow" w:hAnsi="Arial Narrow"/>
          <w:color w:val="auto"/>
          <w:sz w:val="22"/>
          <w:szCs w:val="22"/>
        </w:rPr>
      </w:pPr>
      <w:r>
        <w:rPr>
          <w:rFonts w:ascii="Arial Narrow" w:hAnsi="Arial Narrow"/>
          <w:color w:val="auto"/>
          <w:sz w:val="22"/>
          <w:szCs w:val="22"/>
        </w:rPr>
        <w:t>Que d</w:t>
      </w:r>
      <w:r w:rsidR="0063699D" w:rsidRPr="004F560A">
        <w:rPr>
          <w:rFonts w:ascii="Arial Narrow" w:hAnsi="Arial Narrow"/>
          <w:color w:val="auto"/>
          <w:sz w:val="22"/>
          <w:szCs w:val="22"/>
        </w:rPr>
        <w:t xml:space="preserve">e conformidad con el inciso séptimo del artículo 2.1.2.1.4.3.10. de la Resolución CRA 943 de 2021, </w:t>
      </w:r>
      <w:r w:rsidR="0063699D" w:rsidRPr="004F560A">
        <w:rPr>
          <w:rFonts w:ascii="Arial Narrow" w:hAnsi="Arial Narrow"/>
          <w:i/>
          <w:iCs/>
          <w:color w:val="auto"/>
          <w:sz w:val="22"/>
          <w:szCs w:val="22"/>
        </w:rPr>
        <w:t>“(…) Se permitirá a la persona prestadora realizar cambios al POIR, sin modificar el valor presente del plan de inversiones del estudio tarifario, teniendo en cuenta que los proyectos a modificar cumplan las mismas metas que aquellos inicialmente definidos. En todo caso, la persona prestadora deberá soportar adecuadamente con base en análisis técnicos y financieros los cambios realizados frente a los proyectos incluidos en el POIR. Los análisis deben estar documentados y deberán ser reportados al SUI, así como el POIR inicial, en la forma y plazos que se defina por parte de la Superintendencia de Servicios Públicos Domiciliarios y la Comisión de Regulación de Agua Potable y Saneamiento Básico”</w:t>
      </w:r>
      <w:r w:rsidR="0063699D" w:rsidRPr="004F560A">
        <w:rPr>
          <w:rFonts w:ascii="Arial Narrow" w:hAnsi="Arial Narrow"/>
          <w:color w:val="auto"/>
          <w:sz w:val="22"/>
          <w:szCs w:val="22"/>
        </w:rPr>
        <w:t xml:space="preserve">. </w:t>
      </w:r>
    </w:p>
    <w:p w14:paraId="23F9AD61" w14:textId="77777777" w:rsidR="00E518F1" w:rsidRPr="00E518F1" w:rsidRDefault="00E518F1" w:rsidP="00E518F1">
      <w:pPr>
        <w:pStyle w:val="Default"/>
        <w:jc w:val="both"/>
        <w:rPr>
          <w:rFonts w:ascii="Arial Narrow" w:hAnsi="Arial Narrow"/>
          <w:color w:val="auto"/>
          <w:sz w:val="22"/>
          <w:szCs w:val="22"/>
        </w:rPr>
      </w:pPr>
    </w:p>
    <w:p w14:paraId="55A19BAA" w14:textId="0E76A178" w:rsidR="0063699D" w:rsidRPr="004F560A" w:rsidRDefault="00181A56" w:rsidP="00E518F1">
      <w:pPr>
        <w:pStyle w:val="Default"/>
        <w:numPr>
          <w:ilvl w:val="0"/>
          <w:numId w:val="7"/>
        </w:numPr>
        <w:ind w:left="360"/>
        <w:jc w:val="both"/>
        <w:rPr>
          <w:rFonts w:ascii="Arial Narrow" w:hAnsi="Arial Narrow"/>
          <w:sz w:val="22"/>
          <w:szCs w:val="22"/>
        </w:rPr>
      </w:pPr>
      <w:r>
        <w:rPr>
          <w:rFonts w:ascii="Arial Narrow" w:hAnsi="Arial Narrow"/>
          <w:color w:val="auto"/>
          <w:sz w:val="22"/>
          <w:szCs w:val="22"/>
        </w:rPr>
        <w:t>Que l</w:t>
      </w:r>
      <w:r w:rsidR="0063699D" w:rsidRPr="004F560A">
        <w:rPr>
          <w:rFonts w:ascii="Arial Narrow" w:hAnsi="Arial Narrow"/>
          <w:color w:val="auto"/>
          <w:sz w:val="22"/>
          <w:szCs w:val="22"/>
        </w:rPr>
        <w:t xml:space="preserve">a CRA, mediante radicado 20220120024521 de abril 8 de 2022, respondió una consulta realizada por EPM sobre la aplicación del artículo 2.1.2.1.4.3.10 de la Resolución CRA 943 de 2021 y la posibilidad de modificar el Costo Medio de Inversión (CMI), así </w:t>
      </w:r>
      <w:r w:rsidR="0063699D" w:rsidRPr="004F560A">
        <w:rPr>
          <w:rFonts w:ascii="Arial Narrow" w:hAnsi="Arial Narrow"/>
          <w:i/>
          <w:iCs/>
          <w:color w:val="auto"/>
          <w:sz w:val="22"/>
          <w:szCs w:val="22"/>
        </w:rPr>
        <w:t>“(…) es posible modificar el Costo Medio de Inversión sin adelantar una actuación administrativa particular ante esta Comisión de Regulación, cuando los prestadores realicen cambios al POIR sin modificar su valor presente, teniendo en cuenta que los proyectos a modificar cumplan las mismas metas de aquellos inicialmente definidos. En todo caso, la persona prestadora deberá soportar adecuadamente con base en análisis técnicos y financieros los cambios realizados frente a los proyectos incluidos en el POIR. Los análisis deben estar documentados y deberán ser reportados al SUI, así como el POIR inicial, en la forma y plazos que se defina por parte de la Superintendencia de Servicios Públicos Domiciliarios y la Comisión de Regulación de Agua Potable y Saneamiento Básico”</w:t>
      </w:r>
      <w:r w:rsidR="0063699D" w:rsidRPr="004F560A">
        <w:rPr>
          <w:rFonts w:ascii="Arial Narrow" w:hAnsi="Arial Narrow"/>
          <w:color w:val="auto"/>
          <w:sz w:val="22"/>
          <w:szCs w:val="22"/>
        </w:rPr>
        <w:t xml:space="preserve">. </w:t>
      </w:r>
    </w:p>
    <w:p w14:paraId="33DDAA8A" w14:textId="77777777" w:rsidR="0063699D" w:rsidRPr="00F0291C" w:rsidRDefault="0063699D" w:rsidP="00E518F1">
      <w:pPr>
        <w:pStyle w:val="Prrafodelista"/>
        <w:spacing w:after="0" w:line="240" w:lineRule="auto"/>
        <w:rPr>
          <w:rFonts w:ascii="Arial Narrow" w:hAnsi="Arial Narrow"/>
        </w:rPr>
      </w:pPr>
    </w:p>
    <w:p w14:paraId="59E44B8B" w14:textId="309C7FB7" w:rsidR="0063699D" w:rsidRDefault="00181A56" w:rsidP="00E518F1">
      <w:pPr>
        <w:pStyle w:val="Default"/>
        <w:numPr>
          <w:ilvl w:val="0"/>
          <w:numId w:val="7"/>
        </w:numPr>
        <w:ind w:left="360"/>
        <w:jc w:val="both"/>
        <w:rPr>
          <w:rFonts w:ascii="Arial Narrow" w:hAnsi="Arial Narrow"/>
          <w:color w:val="auto"/>
          <w:sz w:val="22"/>
          <w:szCs w:val="22"/>
        </w:rPr>
      </w:pPr>
      <w:r>
        <w:rPr>
          <w:rFonts w:ascii="Arial Narrow" w:hAnsi="Arial Narrow"/>
          <w:color w:val="auto"/>
          <w:sz w:val="22"/>
          <w:szCs w:val="22"/>
        </w:rPr>
        <w:t>Que d</w:t>
      </w:r>
      <w:r w:rsidR="0063699D" w:rsidRPr="004F560A">
        <w:rPr>
          <w:rFonts w:ascii="Arial Narrow" w:hAnsi="Arial Narrow"/>
          <w:color w:val="auto"/>
          <w:sz w:val="22"/>
          <w:szCs w:val="22"/>
        </w:rPr>
        <w:t xml:space="preserve">erivado de la aplicación del artículo 2.1.2.1.4.3.10. de la Resolución CRA 943 de 2021, se </w:t>
      </w:r>
      <w:r w:rsidR="00EB5EE2" w:rsidRPr="004F560A">
        <w:rPr>
          <w:rFonts w:ascii="Arial Narrow" w:hAnsi="Arial Narrow"/>
          <w:color w:val="auto"/>
          <w:sz w:val="22"/>
          <w:szCs w:val="22"/>
        </w:rPr>
        <w:t xml:space="preserve">requiere </w:t>
      </w:r>
      <w:r w:rsidR="0063699D" w:rsidRPr="004F560A">
        <w:rPr>
          <w:rFonts w:ascii="Arial Narrow" w:hAnsi="Arial Narrow"/>
          <w:color w:val="auto"/>
          <w:sz w:val="22"/>
          <w:szCs w:val="22"/>
        </w:rPr>
        <w:t>modifica</w:t>
      </w:r>
      <w:r w:rsidR="00EB5EE2" w:rsidRPr="004F560A">
        <w:rPr>
          <w:rFonts w:ascii="Arial Narrow" w:hAnsi="Arial Narrow"/>
          <w:color w:val="auto"/>
          <w:sz w:val="22"/>
          <w:szCs w:val="22"/>
        </w:rPr>
        <w:t>r</w:t>
      </w:r>
      <w:r w:rsidR="0063699D" w:rsidRPr="004F560A">
        <w:rPr>
          <w:rFonts w:ascii="Arial Narrow" w:hAnsi="Arial Narrow"/>
          <w:color w:val="auto"/>
          <w:sz w:val="22"/>
          <w:szCs w:val="22"/>
        </w:rPr>
        <w:t xml:space="preserve"> el POIR de los servicios de acueducto y alcantarillado que presta EPM en el APS del Mercado Regional, manteniendo su valor presente, como se evidencia a continuación: </w:t>
      </w:r>
    </w:p>
    <w:p w14:paraId="0EAFC02D" w14:textId="77777777" w:rsidR="006A343B" w:rsidRDefault="006A343B" w:rsidP="006A343B">
      <w:pPr>
        <w:pStyle w:val="Prrafodelista"/>
        <w:rPr>
          <w:rFonts w:ascii="Arial Narrow" w:hAnsi="Arial Narrow"/>
        </w:rPr>
      </w:pPr>
    </w:p>
    <w:p w14:paraId="14655663" w14:textId="77777777" w:rsidR="006A343B" w:rsidRPr="004F560A" w:rsidRDefault="006A343B" w:rsidP="006A343B">
      <w:pPr>
        <w:pStyle w:val="Default"/>
        <w:ind w:left="360"/>
        <w:jc w:val="both"/>
        <w:rPr>
          <w:rFonts w:ascii="Arial Narrow" w:hAnsi="Arial Narrow"/>
          <w:color w:val="auto"/>
          <w:sz w:val="22"/>
          <w:szCs w:val="22"/>
        </w:rPr>
      </w:pPr>
    </w:p>
    <w:p w14:paraId="624954E1" w14:textId="77777777" w:rsidR="0063699D" w:rsidRPr="004F560A" w:rsidRDefault="0063699D" w:rsidP="00E518F1">
      <w:pPr>
        <w:pStyle w:val="Default"/>
        <w:rPr>
          <w:sz w:val="22"/>
          <w:szCs w:val="22"/>
        </w:rPr>
      </w:pPr>
    </w:p>
    <w:tbl>
      <w:tblPr>
        <w:tblStyle w:val="Tablaconcuadrcula"/>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688"/>
        <w:gridCol w:w="3070"/>
        <w:gridCol w:w="3070"/>
      </w:tblGrid>
      <w:tr w:rsidR="0063699D" w:rsidRPr="00F0291C" w14:paraId="162C2177" w14:textId="77777777" w:rsidTr="006A343B">
        <w:trPr>
          <w:trHeight w:val="62"/>
          <w:jc w:val="center"/>
        </w:trPr>
        <w:tc>
          <w:tcPr>
            <w:tcW w:w="1522" w:type="pct"/>
            <w:shd w:val="clear" w:color="auto" w:fill="BFBFBF" w:themeFill="background1" w:themeFillShade="BF"/>
          </w:tcPr>
          <w:p w14:paraId="324A2517" w14:textId="77777777" w:rsidR="0063699D" w:rsidRPr="004F560A" w:rsidRDefault="0063699D" w:rsidP="00E518F1">
            <w:pPr>
              <w:pStyle w:val="Default"/>
              <w:jc w:val="center"/>
              <w:rPr>
                <w:rFonts w:ascii="Arial Narrow" w:hAnsi="Arial Narrow"/>
                <w:sz w:val="22"/>
                <w:szCs w:val="22"/>
              </w:rPr>
            </w:pPr>
            <w:r w:rsidRPr="004F560A">
              <w:rPr>
                <w:rFonts w:ascii="Arial Narrow" w:hAnsi="Arial Narrow"/>
                <w:b/>
                <w:sz w:val="22"/>
                <w:szCs w:val="22"/>
              </w:rPr>
              <w:t>POIR Acueducto</w:t>
            </w:r>
          </w:p>
        </w:tc>
        <w:tc>
          <w:tcPr>
            <w:tcW w:w="1739" w:type="pct"/>
            <w:shd w:val="clear" w:color="auto" w:fill="BFBFBF" w:themeFill="background1" w:themeFillShade="BF"/>
          </w:tcPr>
          <w:p w14:paraId="617DA5AA" w14:textId="77777777" w:rsidR="0063699D" w:rsidRPr="004F560A" w:rsidRDefault="0063699D" w:rsidP="00E518F1">
            <w:pPr>
              <w:pStyle w:val="Default"/>
              <w:jc w:val="center"/>
              <w:rPr>
                <w:rFonts w:ascii="Arial Narrow" w:hAnsi="Arial Narrow"/>
                <w:sz w:val="22"/>
                <w:szCs w:val="22"/>
              </w:rPr>
            </w:pPr>
            <w:r w:rsidRPr="004F560A">
              <w:rPr>
                <w:rFonts w:ascii="Arial Narrow" w:hAnsi="Arial Narrow"/>
                <w:b/>
                <w:sz w:val="22"/>
                <w:szCs w:val="22"/>
              </w:rPr>
              <w:t>POIR Original</w:t>
            </w:r>
          </w:p>
        </w:tc>
        <w:tc>
          <w:tcPr>
            <w:tcW w:w="1739" w:type="pct"/>
            <w:shd w:val="clear" w:color="auto" w:fill="BFBFBF" w:themeFill="background1" w:themeFillShade="BF"/>
          </w:tcPr>
          <w:p w14:paraId="2C496172" w14:textId="77777777" w:rsidR="0063699D" w:rsidRPr="004F560A" w:rsidRDefault="0063699D" w:rsidP="00E518F1">
            <w:pPr>
              <w:pStyle w:val="Default"/>
              <w:jc w:val="center"/>
              <w:rPr>
                <w:rFonts w:ascii="Arial Narrow" w:hAnsi="Arial Narrow"/>
                <w:sz w:val="22"/>
                <w:szCs w:val="22"/>
              </w:rPr>
            </w:pPr>
            <w:r w:rsidRPr="004F560A">
              <w:rPr>
                <w:rFonts w:ascii="Arial Narrow" w:hAnsi="Arial Narrow"/>
                <w:b/>
                <w:sz w:val="22"/>
                <w:szCs w:val="22"/>
              </w:rPr>
              <w:t>POIR Actualizado</w:t>
            </w:r>
          </w:p>
        </w:tc>
      </w:tr>
      <w:tr w:rsidR="008305CF" w:rsidRPr="00F0291C" w14:paraId="065971A2" w14:textId="77777777" w:rsidTr="006A343B">
        <w:trPr>
          <w:trHeight w:val="19"/>
          <w:jc w:val="center"/>
        </w:trPr>
        <w:tc>
          <w:tcPr>
            <w:tcW w:w="1522" w:type="pct"/>
          </w:tcPr>
          <w:p w14:paraId="360C9DE9" w14:textId="77777777" w:rsidR="008305CF" w:rsidRPr="004F560A" w:rsidRDefault="0033185E" w:rsidP="008305CF">
            <w:pPr>
              <w:pStyle w:val="Default"/>
              <w:rPr>
                <w:rFonts w:ascii="Arial Narrow" w:hAnsi="Arial Narrow" w:cs="Cambria Math"/>
                <w:sz w:val="22"/>
                <w:szCs w:val="22"/>
              </w:rPr>
            </w:pPr>
            <m:oMath>
              <m:nary>
                <m:naryPr>
                  <m:chr m:val="∑"/>
                  <m:limLoc m:val="subSup"/>
                  <m:ctrlPr>
                    <w:rPr>
                      <w:rFonts w:ascii="Cambria Math" w:hAnsi="Cambria Math" w:cs="Times New Roman"/>
                      <w:i/>
                      <w:sz w:val="22"/>
                      <w:szCs w:val="22"/>
                    </w:rPr>
                  </m:ctrlPr>
                </m:naryPr>
                <m:sub>
                  <m:r>
                    <w:rPr>
                      <w:rFonts w:ascii="Cambria Math" w:hAnsi="Cambria Math" w:cs="Times New Roman"/>
                      <w:sz w:val="22"/>
                      <w:szCs w:val="22"/>
                    </w:rPr>
                    <m:t>i=1</m:t>
                  </m:r>
                </m:sub>
                <m:sup>
                  <m:r>
                    <w:rPr>
                      <w:rFonts w:ascii="Cambria Math" w:hAnsi="Cambria Math" w:cs="Times New Roman"/>
                      <w:sz w:val="22"/>
                      <w:szCs w:val="22"/>
                    </w:rPr>
                    <m:t>10</m:t>
                  </m:r>
                </m:sup>
                <m:e>
                  <m:r>
                    <w:rPr>
                      <w:rFonts w:ascii="Cambria Math" w:hAnsi="Cambria Math" w:cs="Times New Roman"/>
                      <w:sz w:val="22"/>
                      <w:szCs w:val="22"/>
                    </w:rPr>
                    <m:t>POIR</m:t>
                  </m:r>
                </m:e>
              </m:nary>
            </m:oMath>
            <w:r w:rsidR="008305CF" w:rsidRPr="004F560A">
              <w:rPr>
                <w:rFonts w:ascii="Arial Narrow" w:hAnsi="Arial Narrow"/>
                <w:sz w:val="22"/>
                <w:szCs w:val="22"/>
              </w:rPr>
              <w:t xml:space="preserve"> </w:t>
            </w:r>
          </w:p>
        </w:tc>
        <w:tc>
          <w:tcPr>
            <w:tcW w:w="1739" w:type="pct"/>
          </w:tcPr>
          <w:p w14:paraId="1D12B8A8" w14:textId="214C055E" w:rsidR="008305CF" w:rsidRPr="00CB3E6F" w:rsidRDefault="008305CF" w:rsidP="008305CF">
            <w:pPr>
              <w:pStyle w:val="Default"/>
              <w:jc w:val="center"/>
              <w:rPr>
                <w:rFonts w:ascii="Arial Narrow" w:hAnsi="Arial Narrow"/>
                <w:sz w:val="22"/>
                <w:szCs w:val="22"/>
              </w:rPr>
            </w:pPr>
            <w:r w:rsidRPr="00CB3E6F">
              <w:rPr>
                <w:rFonts w:ascii="Arial Narrow" w:hAnsi="Arial Narrow"/>
                <w:sz w:val="22"/>
                <w:szCs w:val="22"/>
              </w:rPr>
              <w:t xml:space="preserve"> $ 3,912,358,535,532.30 </w:t>
            </w:r>
          </w:p>
        </w:tc>
        <w:tc>
          <w:tcPr>
            <w:tcW w:w="1739" w:type="pct"/>
          </w:tcPr>
          <w:p w14:paraId="7242C3AB" w14:textId="6F6F82C4" w:rsidR="008305CF" w:rsidRPr="00CB3E6F" w:rsidRDefault="008305CF" w:rsidP="008305CF">
            <w:pPr>
              <w:pStyle w:val="Default"/>
              <w:jc w:val="center"/>
              <w:rPr>
                <w:rFonts w:ascii="Arial Narrow" w:hAnsi="Arial Narrow"/>
                <w:sz w:val="22"/>
                <w:szCs w:val="22"/>
              </w:rPr>
            </w:pPr>
            <w:r w:rsidRPr="00CB3E6F">
              <w:rPr>
                <w:rFonts w:ascii="Arial Narrow" w:hAnsi="Arial Narrow"/>
                <w:sz w:val="22"/>
                <w:szCs w:val="22"/>
              </w:rPr>
              <w:t xml:space="preserve"> $ 3,964,418,098,179.29 </w:t>
            </w:r>
          </w:p>
        </w:tc>
      </w:tr>
      <w:tr w:rsidR="0063699D" w:rsidRPr="00F0291C" w14:paraId="35CD7E9F" w14:textId="77777777" w:rsidTr="006A343B">
        <w:trPr>
          <w:trHeight w:val="19"/>
          <w:jc w:val="center"/>
        </w:trPr>
        <w:tc>
          <w:tcPr>
            <w:tcW w:w="1522" w:type="pct"/>
          </w:tcPr>
          <w:p w14:paraId="306906BB" w14:textId="77777777" w:rsidR="0063699D" w:rsidRPr="004F560A" w:rsidRDefault="0063699D" w:rsidP="00E518F1">
            <w:pPr>
              <w:pStyle w:val="Default"/>
              <w:rPr>
                <w:rFonts w:ascii="Arial Narrow" w:hAnsi="Arial Narrow"/>
                <w:sz w:val="22"/>
                <w:szCs w:val="22"/>
              </w:rPr>
            </w:pPr>
            <w:r w:rsidRPr="004F560A">
              <w:rPr>
                <w:rFonts w:ascii="Arial Narrow" w:hAnsi="Arial Narrow"/>
                <w:sz w:val="22"/>
                <w:szCs w:val="22"/>
              </w:rPr>
              <w:t>VP (POIR)</w:t>
            </w:r>
          </w:p>
        </w:tc>
        <w:tc>
          <w:tcPr>
            <w:tcW w:w="1739" w:type="pct"/>
            <w:vAlign w:val="center"/>
          </w:tcPr>
          <w:p w14:paraId="4833F439" w14:textId="77777777" w:rsidR="0063699D" w:rsidRPr="004F560A" w:rsidRDefault="0063699D" w:rsidP="00E518F1">
            <w:pPr>
              <w:pStyle w:val="Default"/>
              <w:jc w:val="center"/>
              <w:rPr>
                <w:rFonts w:ascii="Arial Narrow" w:hAnsi="Arial Narrow"/>
                <w:sz w:val="22"/>
                <w:szCs w:val="22"/>
              </w:rPr>
            </w:pPr>
            <w:r w:rsidRPr="004F560A">
              <w:rPr>
                <w:rFonts w:ascii="Arial Narrow" w:hAnsi="Arial Narrow"/>
                <w:sz w:val="22"/>
                <w:szCs w:val="22"/>
              </w:rPr>
              <w:t>$ 2.248.636.482.035,27</w:t>
            </w:r>
          </w:p>
        </w:tc>
        <w:tc>
          <w:tcPr>
            <w:tcW w:w="1739" w:type="pct"/>
            <w:vAlign w:val="center"/>
          </w:tcPr>
          <w:p w14:paraId="0C2D02B5" w14:textId="77777777" w:rsidR="0063699D" w:rsidRPr="004F560A" w:rsidRDefault="0063699D" w:rsidP="00E518F1">
            <w:pPr>
              <w:pStyle w:val="Default"/>
              <w:jc w:val="center"/>
              <w:rPr>
                <w:rFonts w:ascii="Arial Narrow" w:hAnsi="Arial Narrow"/>
                <w:sz w:val="22"/>
                <w:szCs w:val="22"/>
              </w:rPr>
            </w:pPr>
            <w:r w:rsidRPr="004F560A">
              <w:rPr>
                <w:rFonts w:ascii="Arial Narrow" w:hAnsi="Arial Narrow"/>
                <w:sz w:val="22"/>
                <w:szCs w:val="22"/>
              </w:rPr>
              <w:t>$ 2.248.636.482.035,27</w:t>
            </w:r>
          </w:p>
        </w:tc>
      </w:tr>
      <w:tr w:rsidR="0063699D" w:rsidRPr="00F0291C" w14:paraId="01534BEA" w14:textId="77777777" w:rsidTr="006A34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
          <w:jc w:val="center"/>
        </w:trPr>
        <w:tc>
          <w:tcPr>
            <w:tcW w:w="1522" w:type="pct"/>
            <w:shd w:val="clear" w:color="auto" w:fill="BFBFBF" w:themeFill="background1" w:themeFillShade="BF"/>
          </w:tcPr>
          <w:p w14:paraId="277F5B53" w14:textId="77777777" w:rsidR="0063699D" w:rsidRPr="004F560A" w:rsidRDefault="0063699D" w:rsidP="00E518F1">
            <w:pPr>
              <w:pStyle w:val="Default"/>
              <w:rPr>
                <w:rFonts w:ascii="Arial Narrow" w:hAnsi="Arial Narrow"/>
                <w:b/>
                <w:bCs/>
                <w:sz w:val="22"/>
                <w:szCs w:val="22"/>
              </w:rPr>
            </w:pPr>
            <w:r w:rsidRPr="004F560A">
              <w:rPr>
                <w:rFonts w:ascii="Arial Narrow" w:hAnsi="Arial Narrow"/>
                <w:b/>
                <w:bCs/>
                <w:sz w:val="22"/>
                <w:szCs w:val="22"/>
              </w:rPr>
              <w:t>POIR Alcantarillado</w:t>
            </w:r>
          </w:p>
        </w:tc>
        <w:tc>
          <w:tcPr>
            <w:tcW w:w="1739" w:type="pct"/>
            <w:shd w:val="clear" w:color="auto" w:fill="BFBFBF" w:themeFill="background1" w:themeFillShade="BF"/>
          </w:tcPr>
          <w:p w14:paraId="5BDF5684" w14:textId="77777777" w:rsidR="0063699D" w:rsidRPr="004F560A" w:rsidRDefault="0063699D" w:rsidP="00E518F1">
            <w:pPr>
              <w:pStyle w:val="Default"/>
              <w:jc w:val="center"/>
              <w:rPr>
                <w:rFonts w:ascii="Arial Narrow" w:hAnsi="Arial Narrow"/>
                <w:sz w:val="22"/>
                <w:szCs w:val="22"/>
              </w:rPr>
            </w:pPr>
            <w:r w:rsidRPr="004F560A">
              <w:rPr>
                <w:rFonts w:ascii="Arial Narrow" w:hAnsi="Arial Narrow"/>
                <w:b/>
                <w:bCs/>
                <w:sz w:val="22"/>
                <w:szCs w:val="22"/>
              </w:rPr>
              <w:t>POIR Original</w:t>
            </w:r>
          </w:p>
        </w:tc>
        <w:tc>
          <w:tcPr>
            <w:tcW w:w="1739" w:type="pct"/>
            <w:shd w:val="clear" w:color="auto" w:fill="BFBFBF" w:themeFill="background1" w:themeFillShade="BF"/>
          </w:tcPr>
          <w:p w14:paraId="2206FE37" w14:textId="77777777" w:rsidR="0063699D" w:rsidRPr="004F560A" w:rsidRDefault="0063699D" w:rsidP="00E518F1">
            <w:pPr>
              <w:pStyle w:val="Default"/>
              <w:jc w:val="center"/>
              <w:rPr>
                <w:rFonts w:ascii="Arial Narrow" w:hAnsi="Arial Narrow"/>
                <w:sz w:val="22"/>
                <w:szCs w:val="22"/>
              </w:rPr>
            </w:pPr>
            <w:r w:rsidRPr="004F560A">
              <w:rPr>
                <w:rFonts w:ascii="Arial Narrow" w:hAnsi="Arial Narrow"/>
                <w:b/>
                <w:bCs/>
                <w:sz w:val="22"/>
                <w:szCs w:val="22"/>
              </w:rPr>
              <w:t>POIR Actualizado</w:t>
            </w:r>
          </w:p>
        </w:tc>
      </w:tr>
      <w:tr w:rsidR="003F21A0" w:rsidRPr="00F0291C" w14:paraId="64F50009" w14:textId="77777777" w:rsidTr="006A34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
          <w:jc w:val="center"/>
        </w:trPr>
        <w:tc>
          <w:tcPr>
            <w:tcW w:w="1522" w:type="pct"/>
          </w:tcPr>
          <w:p w14:paraId="739411DE" w14:textId="77777777" w:rsidR="003F21A0" w:rsidRPr="004F560A" w:rsidRDefault="0033185E" w:rsidP="003F21A0">
            <w:pPr>
              <w:pStyle w:val="Default"/>
              <w:rPr>
                <w:rFonts w:ascii="Arial Narrow" w:hAnsi="Arial Narrow"/>
                <w:sz w:val="22"/>
                <w:szCs w:val="22"/>
              </w:rPr>
            </w:pPr>
            <m:oMath>
              <m:nary>
                <m:naryPr>
                  <m:chr m:val="∑"/>
                  <m:limLoc m:val="subSup"/>
                  <m:ctrlPr>
                    <w:rPr>
                      <w:rFonts w:ascii="Cambria Math" w:hAnsi="Cambria Math" w:cs="Times New Roman"/>
                      <w:i/>
                      <w:sz w:val="22"/>
                      <w:szCs w:val="22"/>
                    </w:rPr>
                  </m:ctrlPr>
                </m:naryPr>
                <m:sub>
                  <m:r>
                    <w:rPr>
                      <w:rFonts w:ascii="Cambria Math" w:hAnsi="Cambria Math" w:cs="Times New Roman"/>
                      <w:sz w:val="22"/>
                      <w:szCs w:val="22"/>
                    </w:rPr>
                    <m:t>i=1</m:t>
                  </m:r>
                </m:sub>
                <m:sup>
                  <m:r>
                    <w:rPr>
                      <w:rFonts w:ascii="Cambria Math" w:hAnsi="Cambria Math" w:cs="Times New Roman"/>
                      <w:sz w:val="22"/>
                      <w:szCs w:val="22"/>
                    </w:rPr>
                    <m:t>10</m:t>
                  </m:r>
                </m:sup>
                <m:e>
                  <m:r>
                    <w:rPr>
                      <w:rFonts w:ascii="Cambria Math" w:hAnsi="Cambria Math" w:cs="Times New Roman"/>
                      <w:sz w:val="22"/>
                      <w:szCs w:val="22"/>
                    </w:rPr>
                    <m:t>POIR</m:t>
                  </m:r>
                </m:e>
              </m:nary>
            </m:oMath>
            <w:r w:rsidR="003F21A0" w:rsidRPr="004F560A">
              <w:rPr>
                <w:rFonts w:ascii="Arial Narrow" w:hAnsi="Arial Narrow"/>
                <w:sz w:val="22"/>
                <w:szCs w:val="22"/>
              </w:rPr>
              <w:t xml:space="preserve"> </w:t>
            </w:r>
          </w:p>
        </w:tc>
        <w:tc>
          <w:tcPr>
            <w:tcW w:w="1739" w:type="pct"/>
            <w:vAlign w:val="bottom"/>
          </w:tcPr>
          <w:p w14:paraId="127E64E4" w14:textId="5F716507" w:rsidR="003F21A0" w:rsidRPr="00CB3E6F" w:rsidRDefault="003F21A0" w:rsidP="003F21A0">
            <w:pPr>
              <w:pStyle w:val="Default"/>
              <w:jc w:val="center"/>
              <w:rPr>
                <w:rFonts w:ascii="Arial Narrow" w:hAnsi="Arial Narrow"/>
                <w:sz w:val="22"/>
                <w:szCs w:val="22"/>
              </w:rPr>
            </w:pPr>
            <w:r w:rsidRPr="00CB3E6F">
              <w:rPr>
                <w:rFonts w:ascii="Arial Narrow" w:hAnsi="Arial Narrow"/>
                <w:sz w:val="22"/>
                <w:szCs w:val="22"/>
              </w:rPr>
              <w:t xml:space="preserve"> $ 2,486,641,361,740.28 </w:t>
            </w:r>
          </w:p>
        </w:tc>
        <w:tc>
          <w:tcPr>
            <w:tcW w:w="1739" w:type="pct"/>
            <w:vAlign w:val="bottom"/>
          </w:tcPr>
          <w:p w14:paraId="15F14BC8" w14:textId="1C3DA8FE" w:rsidR="003F21A0" w:rsidRPr="00CB3E6F" w:rsidRDefault="003F21A0" w:rsidP="003F21A0">
            <w:pPr>
              <w:pStyle w:val="Default"/>
              <w:jc w:val="center"/>
              <w:rPr>
                <w:rFonts w:ascii="Arial Narrow" w:hAnsi="Arial Narrow"/>
                <w:sz w:val="22"/>
                <w:szCs w:val="22"/>
              </w:rPr>
            </w:pPr>
            <w:r w:rsidRPr="00CB3E6F">
              <w:rPr>
                <w:rFonts w:ascii="Arial Narrow" w:hAnsi="Arial Narrow"/>
                <w:sz w:val="22"/>
                <w:szCs w:val="22"/>
              </w:rPr>
              <w:t xml:space="preserve"> $ 2,598,189,498,777.55 </w:t>
            </w:r>
          </w:p>
        </w:tc>
      </w:tr>
      <w:tr w:rsidR="0063699D" w:rsidRPr="00F0291C" w14:paraId="756DAB67" w14:textId="77777777" w:rsidTr="006A34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
          <w:jc w:val="center"/>
        </w:trPr>
        <w:tc>
          <w:tcPr>
            <w:tcW w:w="1522" w:type="pct"/>
          </w:tcPr>
          <w:p w14:paraId="260F44F2" w14:textId="77777777" w:rsidR="0063699D" w:rsidRPr="004F560A" w:rsidRDefault="0063699D" w:rsidP="00E518F1">
            <w:pPr>
              <w:pStyle w:val="Default"/>
              <w:rPr>
                <w:rFonts w:ascii="Arial Narrow" w:hAnsi="Arial Narrow"/>
                <w:sz w:val="22"/>
                <w:szCs w:val="22"/>
              </w:rPr>
            </w:pPr>
            <w:r w:rsidRPr="004F560A">
              <w:rPr>
                <w:rFonts w:ascii="Arial Narrow" w:hAnsi="Arial Narrow"/>
                <w:sz w:val="22"/>
                <w:szCs w:val="22"/>
              </w:rPr>
              <w:t>VP (POIR)</w:t>
            </w:r>
          </w:p>
        </w:tc>
        <w:tc>
          <w:tcPr>
            <w:tcW w:w="1739" w:type="pct"/>
          </w:tcPr>
          <w:p w14:paraId="32D4AC11" w14:textId="77777777" w:rsidR="0063699D" w:rsidRPr="004F560A" w:rsidRDefault="0063699D" w:rsidP="00E518F1">
            <w:pPr>
              <w:pStyle w:val="Default"/>
              <w:jc w:val="center"/>
              <w:rPr>
                <w:rFonts w:ascii="Arial Narrow" w:hAnsi="Arial Narrow"/>
                <w:sz w:val="22"/>
                <w:szCs w:val="22"/>
              </w:rPr>
            </w:pPr>
            <w:r w:rsidRPr="004F560A">
              <w:rPr>
                <w:rFonts w:ascii="Arial Narrow" w:hAnsi="Arial Narrow"/>
                <w:sz w:val="22"/>
                <w:szCs w:val="22"/>
              </w:rPr>
              <w:t>$ 1.285.404.165.266,25</w:t>
            </w:r>
          </w:p>
        </w:tc>
        <w:tc>
          <w:tcPr>
            <w:tcW w:w="1739" w:type="pct"/>
          </w:tcPr>
          <w:p w14:paraId="23D9CBD7" w14:textId="77777777" w:rsidR="0063699D" w:rsidRPr="004F560A" w:rsidRDefault="0063699D" w:rsidP="00E518F1">
            <w:pPr>
              <w:pStyle w:val="Default"/>
              <w:jc w:val="center"/>
              <w:rPr>
                <w:rFonts w:ascii="Arial Narrow" w:hAnsi="Arial Narrow"/>
                <w:sz w:val="22"/>
                <w:szCs w:val="22"/>
              </w:rPr>
            </w:pPr>
            <w:r w:rsidRPr="004F560A">
              <w:rPr>
                <w:rFonts w:ascii="Arial Narrow" w:hAnsi="Arial Narrow"/>
                <w:sz w:val="22"/>
                <w:szCs w:val="22"/>
              </w:rPr>
              <w:t>$ 1.285.404.165.266,25</w:t>
            </w:r>
          </w:p>
        </w:tc>
      </w:tr>
    </w:tbl>
    <w:p w14:paraId="0B558662" w14:textId="77777777" w:rsidR="0063699D" w:rsidRPr="004F560A" w:rsidRDefault="0063699D" w:rsidP="00E518F1">
      <w:pPr>
        <w:widowControl w:val="0"/>
        <w:tabs>
          <w:tab w:val="left" w:pos="2129"/>
        </w:tabs>
        <w:autoSpaceDE w:val="0"/>
        <w:autoSpaceDN w:val="0"/>
        <w:spacing w:after="0" w:line="240" w:lineRule="auto"/>
        <w:ind w:right="49"/>
        <w:jc w:val="both"/>
        <w:rPr>
          <w:rFonts w:ascii="Arial Narrow" w:hAnsi="Arial Narrow" w:cs="Arial"/>
        </w:rPr>
      </w:pPr>
    </w:p>
    <w:p w14:paraId="07AF4A9D" w14:textId="49D43D8F" w:rsidR="0063699D" w:rsidRDefault="00181A56" w:rsidP="00E518F1">
      <w:pPr>
        <w:pStyle w:val="Prrafodelista"/>
        <w:widowControl w:val="0"/>
        <w:numPr>
          <w:ilvl w:val="0"/>
          <w:numId w:val="7"/>
        </w:numPr>
        <w:tabs>
          <w:tab w:val="left" w:pos="2129"/>
        </w:tabs>
        <w:autoSpaceDE w:val="0"/>
        <w:autoSpaceDN w:val="0"/>
        <w:spacing w:after="0" w:line="240" w:lineRule="auto"/>
        <w:ind w:left="360" w:right="49"/>
        <w:contextualSpacing w:val="0"/>
        <w:jc w:val="both"/>
        <w:rPr>
          <w:rFonts w:ascii="Arial Narrow" w:hAnsi="Arial Narrow" w:cs="Arial"/>
        </w:rPr>
      </w:pPr>
      <w:r>
        <w:rPr>
          <w:rFonts w:ascii="Arial Narrow" w:hAnsi="Arial Narrow" w:cs="Arial"/>
        </w:rPr>
        <w:t>Que e</w:t>
      </w:r>
      <w:r w:rsidR="0063699D" w:rsidRPr="00F0291C">
        <w:rPr>
          <w:rFonts w:ascii="Arial Narrow" w:hAnsi="Arial Narrow" w:cs="Arial"/>
        </w:rPr>
        <w:t>l artículo 2.1.2.1.10.4. de la Resolución CRA 943 de 2021 establece que el resultado de la aplicación de la metodología tarifaria será un valor máximo.</w:t>
      </w:r>
    </w:p>
    <w:p w14:paraId="3441D81B" w14:textId="77777777" w:rsidR="00C840A3" w:rsidRDefault="00C840A3" w:rsidP="006A343B">
      <w:pPr>
        <w:pStyle w:val="Prrafodelista"/>
        <w:widowControl w:val="0"/>
        <w:tabs>
          <w:tab w:val="left" w:pos="2129"/>
        </w:tabs>
        <w:autoSpaceDE w:val="0"/>
        <w:autoSpaceDN w:val="0"/>
        <w:spacing w:after="0" w:line="240" w:lineRule="auto"/>
        <w:ind w:left="360" w:right="49"/>
        <w:contextualSpacing w:val="0"/>
        <w:jc w:val="both"/>
        <w:rPr>
          <w:rFonts w:ascii="Arial Narrow" w:hAnsi="Arial Narrow" w:cs="Arial"/>
        </w:rPr>
      </w:pPr>
    </w:p>
    <w:p w14:paraId="7E34173B" w14:textId="74CB324C" w:rsidR="00C840A3" w:rsidRPr="00F0291C" w:rsidRDefault="00C840A3" w:rsidP="00E518F1">
      <w:pPr>
        <w:pStyle w:val="Prrafodelista"/>
        <w:widowControl w:val="0"/>
        <w:numPr>
          <w:ilvl w:val="0"/>
          <w:numId w:val="7"/>
        </w:numPr>
        <w:tabs>
          <w:tab w:val="left" w:pos="2129"/>
        </w:tabs>
        <w:autoSpaceDE w:val="0"/>
        <w:autoSpaceDN w:val="0"/>
        <w:spacing w:after="0" w:line="240" w:lineRule="auto"/>
        <w:ind w:left="360" w:right="49"/>
        <w:contextualSpacing w:val="0"/>
        <w:jc w:val="both"/>
        <w:rPr>
          <w:rFonts w:ascii="Arial Narrow" w:hAnsi="Arial Narrow" w:cs="Arial"/>
        </w:rPr>
      </w:pPr>
      <w:r>
        <w:rPr>
          <w:rFonts w:ascii="Arial Narrow" w:hAnsi="Arial Narrow" w:cs="Arial"/>
        </w:rPr>
        <w:t>Que en razón a la ex</w:t>
      </w:r>
      <w:r w:rsidR="00C42CFB">
        <w:rPr>
          <w:rFonts w:ascii="Arial Narrow" w:hAnsi="Arial Narrow" w:cs="Arial"/>
        </w:rPr>
        <w:t>pedición de diferentes decretos que han modificado los costos máximos de referencia</w:t>
      </w:r>
      <w:r w:rsidR="00361CE5">
        <w:rPr>
          <w:rFonts w:ascii="Arial Narrow" w:hAnsi="Arial Narrow" w:cs="Arial"/>
        </w:rPr>
        <w:t>,</w:t>
      </w:r>
      <w:r w:rsidR="002D0E9F">
        <w:rPr>
          <w:rFonts w:ascii="Arial Narrow" w:hAnsi="Arial Narrow" w:cs="Arial"/>
        </w:rPr>
        <w:t xml:space="preserve"> en especial el </w:t>
      </w:r>
      <w:r w:rsidR="002D0E9F">
        <w:rPr>
          <w:rFonts w:ascii="Arial Narrow" w:eastAsia="Arial Narrow" w:hAnsi="Arial Narrow" w:cs="Arial Narrow"/>
        </w:rPr>
        <w:t xml:space="preserve">Decreto 873 de 2025 </w:t>
      </w:r>
      <w:r w:rsidR="00E816FB">
        <w:rPr>
          <w:rFonts w:ascii="Arial Narrow" w:eastAsia="Arial Narrow" w:hAnsi="Arial Narrow" w:cs="Arial Narrow"/>
        </w:rPr>
        <w:t>citado en el considerando 1</w:t>
      </w:r>
      <w:r w:rsidR="006A343B">
        <w:rPr>
          <w:rFonts w:ascii="Arial Narrow" w:eastAsia="Arial Narrow" w:hAnsi="Arial Narrow" w:cs="Arial Narrow"/>
        </w:rPr>
        <w:t>8</w:t>
      </w:r>
      <w:r w:rsidR="00C70DF4">
        <w:rPr>
          <w:rFonts w:ascii="Arial Narrow" w:eastAsia="Arial Narrow" w:hAnsi="Arial Narrow" w:cs="Arial Narrow"/>
        </w:rPr>
        <w:t xml:space="preserve"> del presente,</w:t>
      </w:r>
      <w:r w:rsidR="00361CE5">
        <w:rPr>
          <w:rFonts w:ascii="Arial Narrow" w:hAnsi="Arial Narrow" w:cs="Arial"/>
        </w:rPr>
        <w:t xml:space="preserve"> se hace necesario compilar los costos que aplicarían </w:t>
      </w:r>
      <w:r w:rsidR="00C70DF4">
        <w:rPr>
          <w:rFonts w:ascii="Arial Narrow" w:hAnsi="Arial Narrow" w:cs="Arial"/>
        </w:rPr>
        <w:t>en los diferentes periodos de consumos</w:t>
      </w:r>
      <w:r w:rsidR="002E6F26">
        <w:rPr>
          <w:rFonts w:ascii="Arial Narrow" w:hAnsi="Arial Narrow" w:cs="Arial"/>
        </w:rPr>
        <w:t>, a fin de otorgar mayor claridad</w:t>
      </w:r>
      <w:r w:rsidR="00C70DF4">
        <w:rPr>
          <w:rFonts w:ascii="Arial Narrow" w:hAnsi="Arial Narrow" w:cs="Arial"/>
        </w:rPr>
        <w:t>.</w:t>
      </w:r>
    </w:p>
    <w:p w14:paraId="6ACE304A" w14:textId="77777777" w:rsidR="0063699D" w:rsidRPr="00F0291C" w:rsidRDefault="0063699D" w:rsidP="00E518F1">
      <w:pPr>
        <w:widowControl w:val="0"/>
        <w:tabs>
          <w:tab w:val="left" w:pos="2129"/>
        </w:tabs>
        <w:autoSpaceDE w:val="0"/>
        <w:autoSpaceDN w:val="0"/>
        <w:spacing w:after="0" w:line="240" w:lineRule="auto"/>
        <w:ind w:right="49"/>
        <w:jc w:val="both"/>
        <w:rPr>
          <w:rFonts w:ascii="Arial Narrow" w:hAnsi="Arial Narrow" w:cs="Arial"/>
        </w:rPr>
      </w:pPr>
    </w:p>
    <w:p w14:paraId="031F7D20" w14:textId="0711F760" w:rsidR="0063699D" w:rsidRPr="00F0291C" w:rsidRDefault="00886E52" w:rsidP="00E518F1">
      <w:pPr>
        <w:autoSpaceDE w:val="0"/>
        <w:autoSpaceDN w:val="0"/>
        <w:adjustRightInd w:val="0"/>
        <w:spacing w:after="0" w:line="240" w:lineRule="auto"/>
        <w:ind w:left="284" w:hanging="284"/>
        <w:jc w:val="both"/>
        <w:rPr>
          <w:rFonts w:ascii="Arial Narrow" w:hAnsi="Arial Narrow" w:cs="Arial"/>
          <w:highlight w:val="yellow"/>
        </w:rPr>
      </w:pPr>
      <w:r w:rsidRPr="00F0291C">
        <w:rPr>
          <w:rFonts w:ascii="Arial Narrow" w:hAnsi="Arial Narrow" w:cs="Arial"/>
        </w:rPr>
        <w:t xml:space="preserve">21. </w:t>
      </w:r>
      <w:r w:rsidR="00181A56">
        <w:rPr>
          <w:rFonts w:ascii="Arial Narrow" w:hAnsi="Arial Narrow" w:cs="Arial"/>
        </w:rPr>
        <w:t>Que e</w:t>
      </w:r>
      <w:r w:rsidR="0063699D" w:rsidRPr="00F0291C">
        <w:rPr>
          <w:rFonts w:ascii="Arial Narrow" w:hAnsi="Arial Narrow" w:cs="Arial"/>
        </w:rPr>
        <w:t xml:space="preserve">n cumplimiento de lo previsto en la Ley 1712 de 2014 y como parte del proceso de implementación de la Estrategia de Gobierno Digital en EPM, particularmente, en lo que concierne al componente de «participación ciudadana», el texto del presente decreto fue publicado en la página web </w:t>
      </w:r>
      <w:hyperlink r:id="rId10">
        <w:r w:rsidR="0063699D" w:rsidRPr="00F0291C">
          <w:rPr>
            <w:rStyle w:val="Hipervnculo"/>
            <w:rFonts w:ascii="Arial Narrow" w:hAnsi="Arial Narrow" w:cs="Arial"/>
          </w:rPr>
          <w:t>www.epm.com.co</w:t>
        </w:r>
      </w:hyperlink>
      <w:r w:rsidR="0063699D" w:rsidRPr="00F0291C">
        <w:rPr>
          <w:rFonts w:ascii="Arial Narrow" w:hAnsi="Arial Narrow" w:cs="Arial"/>
        </w:rPr>
        <w:t xml:space="preserve">,  entre el </w:t>
      </w:r>
      <w:r w:rsidR="00657035" w:rsidRPr="00657035">
        <w:rPr>
          <w:rFonts w:ascii="Arial Narrow" w:hAnsi="Arial Narrow" w:cs="Arial"/>
          <w:highlight w:val="yellow"/>
        </w:rPr>
        <w:t>X</w:t>
      </w:r>
      <w:r w:rsidR="0063699D" w:rsidRPr="00657035">
        <w:rPr>
          <w:rFonts w:ascii="Arial Narrow" w:hAnsi="Arial Narrow" w:cs="Arial"/>
          <w:highlight w:val="yellow"/>
        </w:rPr>
        <w:t xml:space="preserve"> y el </w:t>
      </w:r>
      <w:r w:rsidR="00657035" w:rsidRPr="00657035">
        <w:rPr>
          <w:rFonts w:ascii="Arial Narrow" w:hAnsi="Arial Narrow" w:cs="Arial"/>
          <w:highlight w:val="yellow"/>
        </w:rPr>
        <w:t>X</w:t>
      </w:r>
      <w:r w:rsidR="0046612D" w:rsidRPr="00657035">
        <w:rPr>
          <w:rFonts w:ascii="Arial Narrow" w:hAnsi="Arial Narrow" w:cs="Arial"/>
          <w:highlight w:val="yellow"/>
        </w:rPr>
        <w:t xml:space="preserve"> </w:t>
      </w:r>
      <w:r w:rsidR="0063699D" w:rsidRPr="00657035">
        <w:rPr>
          <w:rFonts w:ascii="Arial Narrow" w:hAnsi="Arial Narrow" w:cs="Arial"/>
          <w:highlight w:val="yellow"/>
        </w:rPr>
        <w:t xml:space="preserve">de </w:t>
      </w:r>
      <w:r w:rsidR="00657035" w:rsidRPr="00657035">
        <w:rPr>
          <w:rFonts w:ascii="Arial Narrow" w:hAnsi="Arial Narrow" w:cs="Arial"/>
          <w:highlight w:val="yellow"/>
        </w:rPr>
        <w:t>mayo</w:t>
      </w:r>
      <w:r w:rsidR="0063699D" w:rsidRPr="00657035">
        <w:rPr>
          <w:rFonts w:ascii="Arial Narrow" w:hAnsi="Arial Narrow" w:cs="Arial"/>
          <w:highlight w:val="yellow"/>
        </w:rPr>
        <w:t xml:space="preserve"> de 202</w:t>
      </w:r>
      <w:r w:rsidR="00657035" w:rsidRPr="00657035">
        <w:rPr>
          <w:rFonts w:ascii="Arial Narrow" w:hAnsi="Arial Narrow" w:cs="Arial"/>
          <w:highlight w:val="yellow"/>
        </w:rPr>
        <w:t>5</w:t>
      </w:r>
      <w:r w:rsidR="0063699D" w:rsidRPr="00F0291C">
        <w:rPr>
          <w:rFonts w:ascii="Arial Narrow" w:hAnsi="Arial Narrow" w:cs="Arial"/>
        </w:rPr>
        <w:t xml:space="preserve">, para que los ciudadanos hicieran comentarios y observaciones, si lo consideraban pertinente. </w:t>
      </w:r>
    </w:p>
    <w:p w14:paraId="3D5E2BA4" w14:textId="77777777" w:rsidR="007544B0" w:rsidRPr="00F0291C" w:rsidRDefault="007544B0" w:rsidP="00E518F1">
      <w:pPr>
        <w:pStyle w:val="Prrafodelista"/>
        <w:spacing w:after="0" w:line="240" w:lineRule="auto"/>
        <w:rPr>
          <w:rFonts w:ascii="Arial Narrow" w:hAnsi="Arial Narrow" w:cs="Arial"/>
        </w:rPr>
      </w:pPr>
    </w:p>
    <w:p w14:paraId="2276A9D6" w14:textId="7FAD16BB" w:rsidR="007544B0" w:rsidRDefault="004841D2" w:rsidP="00E518F1">
      <w:pPr>
        <w:autoSpaceDE w:val="0"/>
        <w:autoSpaceDN w:val="0"/>
        <w:adjustRightInd w:val="0"/>
        <w:spacing w:after="0" w:line="240" w:lineRule="auto"/>
        <w:jc w:val="both"/>
        <w:rPr>
          <w:rFonts w:ascii="Arial Narrow" w:hAnsi="Arial Narrow" w:cs="Arial"/>
        </w:rPr>
      </w:pPr>
      <w:r w:rsidRPr="00F0291C">
        <w:rPr>
          <w:rFonts w:ascii="Arial Narrow" w:hAnsi="Arial Narrow" w:cs="Arial"/>
        </w:rPr>
        <w:t>Por lo anteriormente expuesto,</w:t>
      </w:r>
    </w:p>
    <w:p w14:paraId="7B803E06" w14:textId="77777777" w:rsidR="00773CF6" w:rsidRDefault="00773CF6" w:rsidP="00E518F1">
      <w:pPr>
        <w:autoSpaceDE w:val="0"/>
        <w:autoSpaceDN w:val="0"/>
        <w:adjustRightInd w:val="0"/>
        <w:spacing w:after="0" w:line="240" w:lineRule="auto"/>
        <w:jc w:val="both"/>
        <w:rPr>
          <w:rFonts w:ascii="Arial Narrow" w:hAnsi="Arial Narrow" w:cs="Arial"/>
        </w:rPr>
      </w:pPr>
    </w:p>
    <w:p w14:paraId="6A0FDA03" w14:textId="24E54D2E" w:rsidR="0063699D" w:rsidRPr="00F0291C" w:rsidRDefault="0063699D" w:rsidP="00E518F1">
      <w:pPr>
        <w:autoSpaceDE w:val="0"/>
        <w:autoSpaceDN w:val="0"/>
        <w:adjustRightInd w:val="0"/>
        <w:spacing w:after="0" w:line="240" w:lineRule="auto"/>
        <w:rPr>
          <w:rFonts w:ascii="Arial Narrow" w:hAnsi="Arial Narrow" w:cs="Arial-BoldMT"/>
          <w:b/>
          <w:bCs/>
        </w:rPr>
      </w:pPr>
    </w:p>
    <w:p w14:paraId="7D2B976E" w14:textId="77777777" w:rsidR="0063699D" w:rsidRPr="00F0291C" w:rsidRDefault="0063699D" w:rsidP="00E518F1">
      <w:pPr>
        <w:autoSpaceDE w:val="0"/>
        <w:autoSpaceDN w:val="0"/>
        <w:adjustRightInd w:val="0"/>
        <w:spacing w:after="0" w:line="240" w:lineRule="auto"/>
        <w:jc w:val="center"/>
        <w:rPr>
          <w:rFonts w:ascii="Arial Narrow" w:hAnsi="Arial Narrow" w:cs="Arial-BoldMT"/>
          <w:b/>
          <w:bCs/>
        </w:rPr>
      </w:pPr>
      <w:r w:rsidRPr="00F0291C">
        <w:rPr>
          <w:rFonts w:ascii="Arial Narrow" w:hAnsi="Arial Narrow" w:cs="Arial-BoldMT"/>
          <w:b/>
          <w:bCs/>
        </w:rPr>
        <w:t>DECRETA</w:t>
      </w:r>
    </w:p>
    <w:p w14:paraId="4D073C69" w14:textId="77777777" w:rsidR="005B1812" w:rsidRPr="00F0291C" w:rsidRDefault="005B1812" w:rsidP="00E518F1">
      <w:pPr>
        <w:autoSpaceDE w:val="0"/>
        <w:autoSpaceDN w:val="0"/>
        <w:adjustRightInd w:val="0"/>
        <w:spacing w:after="0" w:line="240" w:lineRule="auto"/>
        <w:jc w:val="center"/>
        <w:rPr>
          <w:rFonts w:ascii="Arial Narrow" w:hAnsi="Arial Narrow" w:cs="Arial-BoldMT"/>
          <w:b/>
          <w:bCs/>
        </w:rPr>
      </w:pPr>
    </w:p>
    <w:p w14:paraId="5B55784A" w14:textId="09155D73" w:rsidR="00113FD3" w:rsidRPr="004F560A" w:rsidRDefault="004841D2" w:rsidP="00E518F1">
      <w:pPr>
        <w:autoSpaceDE w:val="0"/>
        <w:autoSpaceDN w:val="0"/>
        <w:adjustRightInd w:val="0"/>
        <w:spacing w:after="0" w:line="240" w:lineRule="auto"/>
        <w:jc w:val="both"/>
      </w:pPr>
      <w:r w:rsidRPr="00F0291C">
        <w:rPr>
          <w:rFonts w:ascii="Arial Narrow" w:hAnsi="Arial Narrow" w:cs="Arial-BoldMT"/>
          <w:b/>
          <w:bCs/>
        </w:rPr>
        <w:t xml:space="preserve">Artículo 1. </w:t>
      </w:r>
      <w:r w:rsidR="0063699D" w:rsidRPr="00F0291C">
        <w:rPr>
          <w:rFonts w:ascii="Arial Narrow" w:hAnsi="Arial Narrow" w:cs="Arial-BoldMT"/>
          <w:b/>
          <w:bCs/>
        </w:rPr>
        <w:t xml:space="preserve"> </w:t>
      </w:r>
      <w:r w:rsidR="00074451" w:rsidRPr="00F0291C">
        <w:rPr>
          <w:rFonts w:ascii="Arial Narrow" w:hAnsi="Arial Narrow" w:cs="ArialMT"/>
        </w:rPr>
        <w:t xml:space="preserve">Adoptar los siguientes costos de referencia </w:t>
      </w:r>
      <w:r w:rsidR="0063699D" w:rsidRPr="00F0291C">
        <w:rPr>
          <w:rFonts w:ascii="Arial Narrow" w:hAnsi="Arial Narrow" w:cs="ArialMT"/>
        </w:rPr>
        <w:t>en el componente de Costo Medio de Inversión (CMI) de los servicios de acueducto y alcantarillado, que presta EMPRESAS PÚBLICAS DE MEDELLÍN E.S.P. en las Áreas de Prestación del Servicio del Mercado Regional, a pesos de diciembre de 2018, como consecuencia de la actualización del Plan de Obras e Inversiones Regulado (POIR)</w:t>
      </w:r>
      <w:r w:rsidR="00613062" w:rsidRPr="00F0291C">
        <w:rPr>
          <w:rFonts w:ascii="Arial Narrow" w:hAnsi="Arial Narrow"/>
        </w:rPr>
        <w:t>, de acuerdo con el artículo 2.1.2.1.4.3.10. de la Resolución CRA 943 de 2021</w:t>
      </w:r>
      <w:r w:rsidR="00A82DAC" w:rsidRPr="00F0291C">
        <w:rPr>
          <w:rFonts w:ascii="Arial Narrow" w:hAnsi="Arial Narrow" w:cs="ArialMT"/>
        </w:rPr>
        <w:t>:</w:t>
      </w:r>
    </w:p>
    <w:p w14:paraId="565DE6E3" w14:textId="77777777" w:rsidR="00B20C28" w:rsidRPr="004F560A" w:rsidRDefault="00B20C28" w:rsidP="00E518F1">
      <w:pPr>
        <w:autoSpaceDE w:val="0"/>
        <w:autoSpaceDN w:val="0"/>
        <w:adjustRightInd w:val="0"/>
        <w:spacing w:after="0" w:line="240" w:lineRule="auto"/>
        <w:jc w:val="both"/>
      </w:pPr>
    </w:p>
    <w:tbl>
      <w:tblPr>
        <w:tblStyle w:val="Tablaconcuadrcula"/>
        <w:tblW w:w="0" w:type="auto"/>
        <w:jc w:val="center"/>
        <w:tblLook w:val="04A0" w:firstRow="1" w:lastRow="0" w:firstColumn="1" w:lastColumn="0" w:noHBand="0" w:noVBand="1"/>
      </w:tblPr>
      <w:tblGrid>
        <w:gridCol w:w="1696"/>
        <w:gridCol w:w="1064"/>
        <w:gridCol w:w="1346"/>
      </w:tblGrid>
      <w:tr w:rsidR="00F56E38" w:rsidRPr="00F0291C" w14:paraId="7D55515C" w14:textId="77777777" w:rsidTr="000A04D7">
        <w:trPr>
          <w:jc w:val="center"/>
        </w:trPr>
        <w:tc>
          <w:tcPr>
            <w:tcW w:w="1696" w:type="dxa"/>
            <w:tcBorders>
              <w:top w:val="nil"/>
              <w:left w:val="nil"/>
              <w:bottom w:val="single" w:sz="4" w:space="0" w:color="808080" w:themeColor="background1" w:themeShade="80"/>
              <w:right w:val="single" w:sz="4" w:space="0" w:color="808080" w:themeColor="background1" w:themeShade="80"/>
            </w:tcBorders>
          </w:tcPr>
          <w:p w14:paraId="77589FDC" w14:textId="77777777" w:rsidR="00F56E38" w:rsidRPr="004F560A" w:rsidRDefault="00F56E38" w:rsidP="00E518F1">
            <w:pPr>
              <w:autoSpaceDE w:val="0"/>
              <w:autoSpaceDN w:val="0"/>
              <w:adjustRightInd w:val="0"/>
              <w:jc w:val="both"/>
              <w:rPr>
                <w:rFonts w:ascii="Arial Narrow" w:hAnsi="Arial Narrow" w:cs="Arial-BoldMT"/>
                <w:b/>
                <w:bCs/>
                <w:sz w:val="22"/>
                <w:szCs w:val="22"/>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DF9AA58" w14:textId="5B8D6F5D" w:rsidR="00F56E38" w:rsidRPr="004F560A" w:rsidRDefault="00F56E38" w:rsidP="00E518F1">
            <w:pPr>
              <w:autoSpaceDE w:val="0"/>
              <w:autoSpaceDN w:val="0"/>
              <w:adjustRightInd w:val="0"/>
              <w:jc w:val="both"/>
              <w:rPr>
                <w:rFonts w:ascii="Arial Narrow" w:hAnsi="Arial Narrow" w:cs="Arial-BoldMT"/>
                <w:b/>
                <w:bCs/>
                <w:sz w:val="22"/>
                <w:szCs w:val="22"/>
              </w:rPr>
            </w:pPr>
            <w:r w:rsidRPr="00F0291C">
              <w:rPr>
                <w:rFonts w:ascii="Arial Narrow" w:hAnsi="Arial Narrow" w:cs="Arial-BoldMT"/>
                <w:b/>
                <w:bCs/>
              </w:rPr>
              <w:t>Acueducto</w:t>
            </w:r>
          </w:p>
        </w:tc>
        <w:tc>
          <w:tcPr>
            <w:tcW w:w="13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E08A958" w14:textId="6E5C0128" w:rsidR="00F56E38" w:rsidRPr="004F560A" w:rsidRDefault="00F56E38" w:rsidP="00E518F1">
            <w:pPr>
              <w:autoSpaceDE w:val="0"/>
              <w:autoSpaceDN w:val="0"/>
              <w:adjustRightInd w:val="0"/>
              <w:jc w:val="both"/>
              <w:rPr>
                <w:rFonts w:ascii="Arial Narrow" w:hAnsi="Arial Narrow" w:cs="Arial-BoldMT"/>
                <w:b/>
                <w:bCs/>
                <w:sz w:val="22"/>
                <w:szCs w:val="22"/>
              </w:rPr>
            </w:pPr>
            <w:r w:rsidRPr="00F0291C">
              <w:rPr>
                <w:rFonts w:ascii="Arial Narrow" w:hAnsi="Arial Narrow" w:cs="Arial-BoldMT"/>
                <w:b/>
                <w:bCs/>
              </w:rPr>
              <w:t>Alcantarillado</w:t>
            </w:r>
          </w:p>
        </w:tc>
      </w:tr>
      <w:tr w:rsidR="00F56E38" w:rsidRPr="00F0291C" w14:paraId="3D64D892" w14:textId="77777777" w:rsidTr="000A04D7">
        <w:trPr>
          <w:jc w:val="center"/>
        </w:trPr>
        <w:tc>
          <w:tcPr>
            <w:tcW w:w="16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35EE10C" w14:textId="77777777" w:rsidR="00F56E38" w:rsidRPr="004F560A" w:rsidRDefault="00F56E38" w:rsidP="00E518F1">
            <w:pPr>
              <w:autoSpaceDE w:val="0"/>
              <w:autoSpaceDN w:val="0"/>
              <w:adjustRightInd w:val="0"/>
              <w:jc w:val="center"/>
              <w:rPr>
                <w:rFonts w:ascii="Arial Narrow" w:hAnsi="Arial Narrow" w:cs="Arial-BoldMT"/>
                <w:b/>
                <w:bCs/>
                <w:sz w:val="22"/>
                <w:szCs w:val="22"/>
              </w:rPr>
            </w:pPr>
            <w:r w:rsidRPr="00F0291C">
              <w:rPr>
                <w:rFonts w:ascii="Arial Narrow" w:hAnsi="Arial Narrow" w:cs="Arial-BoldMT"/>
                <w:b/>
                <w:bCs/>
              </w:rPr>
              <w:t>Cargo Tarifario</w:t>
            </w:r>
          </w:p>
          <w:p w14:paraId="4D1F1FB2" w14:textId="5EEB4043" w:rsidR="000A04D7" w:rsidRPr="004F560A" w:rsidRDefault="000A04D7" w:rsidP="00E518F1">
            <w:pPr>
              <w:autoSpaceDE w:val="0"/>
              <w:autoSpaceDN w:val="0"/>
              <w:adjustRightInd w:val="0"/>
              <w:jc w:val="center"/>
              <w:rPr>
                <w:rFonts w:ascii="Arial Narrow" w:hAnsi="Arial Narrow" w:cs="Arial-BoldMT"/>
                <w:b/>
                <w:bCs/>
                <w:sz w:val="22"/>
                <w:szCs w:val="22"/>
              </w:rPr>
            </w:pPr>
            <w:r w:rsidRPr="00F0291C">
              <w:rPr>
                <w:rFonts w:ascii="Arial Narrow" w:hAnsi="Arial Narrow" w:cs="Arial-BoldMT"/>
                <w:b/>
                <w:bCs/>
              </w:rPr>
              <w:t>$ Dic 2018</w:t>
            </w: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A3B33F9" w14:textId="77777777" w:rsidR="00F56E38" w:rsidRPr="004F560A" w:rsidRDefault="000A04D7" w:rsidP="00E518F1">
            <w:pPr>
              <w:autoSpaceDE w:val="0"/>
              <w:autoSpaceDN w:val="0"/>
              <w:adjustRightInd w:val="0"/>
              <w:jc w:val="center"/>
              <w:rPr>
                <w:rFonts w:ascii="Arial Narrow" w:hAnsi="Arial Narrow" w:cs="Arial-BoldMT"/>
                <w:sz w:val="22"/>
                <w:szCs w:val="22"/>
              </w:rPr>
            </w:pPr>
            <w:r w:rsidRPr="00F0291C">
              <w:rPr>
                <w:rFonts w:ascii="Arial Narrow" w:hAnsi="Arial Narrow" w:cs="Arial-BoldMT"/>
              </w:rPr>
              <w:t>CMI</w:t>
            </w:r>
          </w:p>
          <w:p w14:paraId="3E0FD172" w14:textId="64609AD5" w:rsidR="000A04D7" w:rsidRPr="004F560A" w:rsidRDefault="000A04D7" w:rsidP="00E518F1">
            <w:pPr>
              <w:autoSpaceDE w:val="0"/>
              <w:autoSpaceDN w:val="0"/>
              <w:adjustRightInd w:val="0"/>
              <w:jc w:val="center"/>
              <w:rPr>
                <w:rFonts w:ascii="Arial Narrow" w:hAnsi="Arial Narrow" w:cs="Arial-BoldMT"/>
                <w:sz w:val="22"/>
                <w:szCs w:val="22"/>
              </w:rPr>
            </w:pPr>
            <w:r w:rsidRPr="00F0291C">
              <w:rPr>
                <w:rFonts w:ascii="Arial Narrow" w:hAnsi="Arial Narrow" w:cs="Arial-BoldMT"/>
              </w:rPr>
              <w:t>$/m</w:t>
            </w:r>
            <w:r w:rsidRPr="00F0291C">
              <w:rPr>
                <w:rFonts w:ascii="Arial Narrow" w:hAnsi="Arial Narrow" w:cs="Arial-BoldMT"/>
                <w:vertAlign w:val="superscript"/>
              </w:rPr>
              <w:t>3</w:t>
            </w:r>
          </w:p>
        </w:tc>
        <w:tc>
          <w:tcPr>
            <w:tcW w:w="13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2BAA329" w14:textId="77777777" w:rsidR="000A04D7" w:rsidRPr="004F560A" w:rsidRDefault="000A04D7" w:rsidP="00E518F1">
            <w:pPr>
              <w:autoSpaceDE w:val="0"/>
              <w:autoSpaceDN w:val="0"/>
              <w:adjustRightInd w:val="0"/>
              <w:jc w:val="center"/>
              <w:rPr>
                <w:rFonts w:ascii="Arial Narrow" w:hAnsi="Arial Narrow" w:cs="Arial-BoldMT"/>
                <w:sz w:val="22"/>
                <w:szCs w:val="22"/>
              </w:rPr>
            </w:pPr>
            <w:r w:rsidRPr="00F0291C">
              <w:rPr>
                <w:rFonts w:ascii="Arial Narrow" w:hAnsi="Arial Narrow" w:cs="Arial-BoldMT"/>
              </w:rPr>
              <w:t>CMI</w:t>
            </w:r>
          </w:p>
          <w:p w14:paraId="7FE2DDD3" w14:textId="5D122ED7" w:rsidR="00F56E38" w:rsidRPr="004F560A" w:rsidRDefault="000A04D7" w:rsidP="00E518F1">
            <w:pPr>
              <w:autoSpaceDE w:val="0"/>
              <w:autoSpaceDN w:val="0"/>
              <w:adjustRightInd w:val="0"/>
              <w:jc w:val="center"/>
              <w:rPr>
                <w:rFonts w:ascii="Arial Narrow" w:hAnsi="Arial Narrow" w:cs="Arial-BoldMT"/>
                <w:sz w:val="22"/>
                <w:szCs w:val="22"/>
              </w:rPr>
            </w:pPr>
            <w:r w:rsidRPr="00F0291C">
              <w:rPr>
                <w:rFonts w:ascii="Arial Narrow" w:hAnsi="Arial Narrow" w:cs="Arial-BoldMT"/>
              </w:rPr>
              <w:t>$/m</w:t>
            </w:r>
            <w:r w:rsidRPr="00F0291C">
              <w:rPr>
                <w:rFonts w:ascii="Arial Narrow" w:hAnsi="Arial Narrow" w:cs="Arial-BoldMT"/>
                <w:vertAlign w:val="superscript"/>
              </w:rPr>
              <w:t>3</w:t>
            </w:r>
          </w:p>
        </w:tc>
      </w:tr>
      <w:tr w:rsidR="00F56E38" w:rsidRPr="00F0291C" w14:paraId="04FF667F" w14:textId="77777777" w:rsidTr="000A04D7">
        <w:trPr>
          <w:jc w:val="center"/>
        </w:trPr>
        <w:tc>
          <w:tcPr>
            <w:tcW w:w="16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D528B0" w14:textId="62E4403C" w:rsidR="00F56E38" w:rsidRPr="004F560A" w:rsidRDefault="000A04D7" w:rsidP="00E518F1">
            <w:pPr>
              <w:autoSpaceDE w:val="0"/>
              <w:autoSpaceDN w:val="0"/>
              <w:adjustRightInd w:val="0"/>
              <w:jc w:val="center"/>
              <w:rPr>
                <w:rFonts w:ascii="Arial Narrow" w:hAnsi="Arial Narrow" w:cs="Arial-BoldMT"/>
                <w:b/>
                <w:bCs/>
                <w:sz w:val="22"/>
                <w:szCs w:val="22"/>
              </w:rPr>
            </w:pPr>
            <w:r w:rsidRPr="00F0291C">
              <w:rPr>
                <w:rFonts w:ascii="Arial Narrow" w:hAnsi="Arial Narrow" w:cs="Arial-BoldMT"/>
              </w:rPr>
              <w:t>Mercado</w:t>
            </w:r>
            <w:r w:rsidRPr="00F0291C">
              <w:rPr>
                <w:rFonts w:ascii="Arial Narrow" w:hAnsi="Arial Narrow" w:cs="Arial-BoldMT"/>
                <w:b/>
                <w:bCs/>
              </w:rPr>
              <w:t xml:space="preserve"> </w:t>
            </w:r>
            <w:r w:rsidRPr="00F0291C">
              <w:rPr>
                <w:rFonts w:ascii="Arial Narrow" w:hAnsi="Arial Narrow" w:cs="Arial-BoldMT"/>
              </w:rPr>
              <w:t>Regional</w:t>
            </w: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86C4FF" w14:textId="5EF21CCB" w:rsidR="00F56E38" w:rsidRPr="008C3EA5" w:rsidRDefault="00F1161E" w:rsidP="00E518F1">
            <w:pPr>
              <w:autoSpaceDE w:val="0"/>
              <w:autoSpaceDN w:val="0"/>
              <w:adjustRightInd w:val="0"/>
              <w:jc w:val="center"/>
              <w:rPr>
                <w:rFonts w:ascii="Arial Narrow" w:hAnsi="Arial Narrow" w:cs="Arial-BoldMT"/>
                <w:sz w:val="22"/>
                <w:szCs w:val="22"/>
              </w:rPr>
            </w:pPr>
            <w:r w:rsidRPr="008C3EA5">
              <w:rPr>
                <w:rFonts w:ascii="Arial Narrow" w:hAnsi="Arial Narrow" w:cs="Arial-BoldMT"/>
              </w:rPr>
              <w:t>2,024.35</w:t>
            </w:r>
          </w:p>
        </w:tc>
        <w:tc>
          <w:tcPr>
            <w:tcW w:w="13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405B68" w14:textId="7846B670" w:rsidR="00F56E38" w:rsidRPr="008C3EA5" w:rsidRDefault="00F1161E" w:rsidP="00E518F1">
            <w:pPr>
              <w:autoSpaceDE w:val="0"/>
              <w:autoSpaceDN w:val="0"/>
              <w:adjustRightInd w:val="0"/>
              <w:jc w:val="center"/>
              <w:rPr>
                <w:rFonts w:ascii="Arial Narrow" w:hAnsi="Arial Narrow" w:cs="Arial-BoldMT"/>
                <w:sz w:val="22"/>
                <w:szCs w:val="22"/>
              </w:rPr>
            </w:pPr>
            <w:r w:rsidRPr="008C3EA5">
              <w:rPr>
                <w:rFonts w:ascii="Arial Narrow" w:hAnsi="Arial Narrow" w:cs="Arial-BoldMT"/>
              </w:rPr>
              <w:t>1,853.44</w:t>
            </w:r>
          </w:p>
        </w:tc>
      </w:tr>
    </w:tbl>
    <w:p w14:paraId="0D8C03A7" w14:textId="77777777" w:rsidR="00F56E38" w:rsidRDefault="00F56E38" w:rsidP="00E518F1">
      <w:pPr>
        <w:autoSpaceDE w:val="0"/>
        <w:autoSpaceDN w:val="0"/>
        <w:adjustRightInd w:val="0"/>
        <w:spacing w:after="0" w:line="240" w:lineRule="auto"/>
        <w:jc w:val="both"/>
        <w:rPr>
          <w:rFonts w:ascii="Arial Narrow" w:hAnsi="Arial Narrow" w:cs="Arial-BoldMT"/>
          <w:b/>
          <w:bCs/>
        </w:rPr>
      </w:pPr>
    </w:p>
    <w:p w14:paraId="422190A6" w14:textId="7A387DBE" w:rsidR="00773CF6" w:rsidRDefault="00C31A8B" w:rsidP="00E518F1">
      <w:pPr>
        <w:autoSpaceDE w:val="0"/>
        <w:autoSpaceDN w:val="0"/>
        <w:adjustRightInd w:val="0"/>
        <w:spacing w:after="0" w:line="240" w:lineRule="auto"/>
        <w:jc w:val="both"/>
        <w:rPr>
          <w:rFonts w:ascii="Arial Narrow" w:hAnsi="Arial Narrow" w:cs="ArialMT"/>
        </w:rPr>
      </w:pPr>
      <w:r w:rsidRPr="00F0291C">
        <w:rPr>
          <w:rFonts w:ascii="Arial Narrow" w:hAnsi="Arial Narrow" w:cs="Arial-BoldMT"/>
          <w:b/>
          <w:bCs/>
        </w:rPr>
        <w:t>Artículo 2.</w:t>
      </w:r>
      <w:r>
        <w:rPr>
          <w:rFonts w:ascii="Arial Narrow" w:hAnsi="Arial Narrow" w:cs="Arial-BoldMT"/>
          <w:b/>
          <w:bCs/>
        </w:rPr>
        <w:t xml:space="preserve"> </w:t>
      </w:r>
      <w:r w:rsidR="00C840A3" w:rsidRPr="00626BD0">
        <w:rPr>
          <w:rFonts w:ascii="Arial Narrow" w:hAnsi="Arial Narrow" w:cs="Arial-BoldMT"/>
        </w:rPr>
        <w:t>C</w:t>
      </w:r>
      <w:r w:rsidRPr="00626BD0">
        <w:rPr>
          <w:rFonts w:ascii="Arial Narrow" w:hAnsi="Arial Narrow" w:cs="Arial-BoldMT"/>
        </w:rPr>
        <w:t xml:space="preserve">ompilar </w:t>
      </w:r>
      <w:r w:rsidR="00E06F5C" w:rsidRPr="00626BD0">
        <w:rPr>
          <w:rFonts w:ascii="Arial Narrow" w:hAnsi="Arial Narrow" w:cs="Arial-BoldMT"/>
        </w:rPr>
        <w:t xml:space="preserve">los costos de referencia máximos </w:t>
      </w:r>
      <w:r w:rsidR="00E06F5C" w:rsidRPr="006A343B">
        <w:rPr>
          <w:rFonts w:ascii="Arial Narrow" w:hAnsi="Arial Narrow" w:cs="ArialMT"/>
        </w:rPr>
        <w:t>en los componentes de Costo Medio de Administración – CMA, Costo Medio de Operación – CMO y Costo Medio de Inversión – CMI de los servicios de acueducto y alcantarillado que presta EMPRESAS PÚBLICAS DE MEDELLÍN E.S.P.</w:t>
      </w:r>
      <w:r w:rsidR="00626BD0" w:rsidRPr="006A343B">
        <w:rPr>
          <w:rFonts w:ascii="Arial Narrow" w:hAnsi="Arial Narrow" w:cs="ArialMT"/>
        </w:rPr>
        <w:t xml:space="preserve"> a pesos de diciembre de 2018, los cuales se indexarán conforme a lo establecido por la Comisión de Regulación de Agua Potable y Saneamiento Básico – CRA y el Artículo 125 de la Ley 142 de 1994, en las Áreas de Prestación del Servicio – APS- del Sistema Interconectado (Medellín, Envigado, Sabaneta, La Estrella, Itagüí, Girardota, Copacabana y Bello), Caldas y Rionegro como consecuencia del mercado regional declarado en aplicación de las Resoluciones CRA 821 de 2017, 908 de 2019 y 934 de 2020</w:t>
      </w:r>
      <w:r w:rsidR="00626BD0" w:rsidRPr="00626BD0">
        <w:rPr>
          <w:rFonts w:ascii="Arial Narrow" w:hAnsi="Arial Narrow" w:cs="ArialMT"/>
        </w:rPr>
        <w:t xml:space="preserve">, </w:t>
      </w:r>
      <w:r w:rsidR="00626BD0" w:rsidRPr="006A343B">
        <w:rPr>
          <w:rFonts w:ascii="Arial Narrow" w:hAnsi="Arial Narrow" w:cs="ArialMT"/>
        </w:rPr>
        <w:t xml:space="preserve">compiladas en el </w:t>
      </w:r>
      <w:r w:rsidR="00626BD0" w:rsidRPr="006A343B">
        <w:rPr>
          <w:rFonts w:ascii="Arial Narrow" w:eastAsia="Arial Narrow" w:hAnsi="Arial Narrow" w:cs="Arial Narrow"/>
        </w:rPr>
        <w:t xml:space="preserve">Subtítulo 2 del Título 3 de la Parte 1 del Libro 2 </w:t>
      </w:r>
      <w:r w:rsidR="00626BD0" w:rsidRPr="006A343B">
        <w:rPr>
          <w:rFonts w:ascii="Arial Narrow" w:hAnsi="Arial Narrow" w:cs="ArialMT"/>
        </w:rPr>
        <w:t xml:space="preserve">la Resolución CRA 943 de 2021, </w:t>
      </w:r>
      <w:r w:rsidR="00626BD0" w:rsidRPr="00626BD0">
        <w:rPr>
          <w:rFonts w:ascii="Arial Narrow" w:hAnsi="Arial Narrow" w:cs="Arial-BoldMT"/>
        </w:rPr>
        <w:t xml:space="preserve">que se aplicarán a los consumos </w:t>
      </w:r>
      <w:r w:rsidR="00626BD0" w:rsidRPr="006A343B">
        <w:rPr>
          <w:rFonts w:ascii="Arial Narrow" w:hAnsi="Arial Narrow" w:cs="Arial-BoldMT"/>
          <w:b/>
          <w:bCs/>
        </w:rPr>
        <w:t xml:space="preserve">desde </w:t>
      </w:r>
      <w:r w:rsidR="006F22BF" w:rsidRPr="006A343B">
        <w:rPr>
          <w:rFonts w:ascii="Arial Narrow" w:hAnsi="Arial Narrow" w:cs="Arial-BoldMT"/>
          <w:b/>
          <w:bCs/>
        </w:rPr>
        <w:t>el 27 de junio de 2025</w:t>
      </w:r>
      <w:r w:rsidR="00626BD0" w:rsidRPr="006A343B">
        <w:rPr>
          <w:rFonts w:ascii="Arial Narrow" w:hAnsi="Arial Narrow" w:cs="Arial-BoldMT"/>
          <w:b/>
          <w:bCs/>
        </w:rPr>
        <w:t xml:space="preserve"> hasta el 30 de junio de 2025</w:t>
      </w:r>
      <w:r w:rsidR="00626BD0" w:rsidRPr="00626BD0">
        <w:rPr>
          <w:rFonts w:ascii="Arial Narrow" w:hAnsi="Arial Narrow" w:cs="Arial-BoldMT"/>
        </w:rPr>
        <w:t>:</w:t>
      </w:r>
    </w:p>
    <w:p w14:paraId="2D4692BA" w14:textId="77777777" w:rsidR="0077304A" w:rsidRPr="0077304A" w:rsidRDefault="0077304A" w:rsidP="00E518F1">
      <w:pPr>
        <w:autoSpaceDE w:val="0"/>
        <w:autoSpaceDN w:val="0"/>
        <w:adjustRightInd w:val="0"/>
        <w:spacing w:after="0" w:line="240" w:lineRule="auto"/>
        <w:jc w:val="both"/>
        <w:rPr>
          <w:rFonts w:ascii="Arial Narrow" w:hAnsi="Arial Narrow" w:cs="ArialMT"/>
        </w:rPr>
      </w:pPr>
    </w:p>
    <w:tbl>
      <w:tblPr>
        <w:tblStyle w:val="Tablaconcuadrcula"/>
        <w:tblW w:w="0" w:type="auto"/>
        <w:jc w:val="center"/>
        <w:tblLook w:val="04A0" w:firstRow="1" w:lastRow="0" w:firstColumn="1" w:lastColumn="0" w:noHBand="0" w:noVBand="1"/>
      </w:tblPr>
      <w:tblGrid>
        <w:gridCol w:w="2122"/>
        <w:gridCol w:w="1134"/>
        <w:gridCol w:w="1301"/>
      </w:tblGrid>
      <w:tr w:rsidR="0077304A" w:rsidRPr="00F0291C" w14:paraId="5D7D3F74" w14:textId="77777777" w:rsidTr="005764DE">
        <w:trPr>
          <w:jc w:val="center"/>
        </w:trPr>
        <w:tc>
          <w:tcPr>
            <w:tcW w:w="2122" w:type="dxa"/>
            <w:shd w:val="clear" w:color="auto" w:fill="BFBFBF" w:themeFill="background1" w:themeFillShade="BF"/>
          </w:tcPr>
          <w:p w14:paraId="36C2FBF3" w14:textId="77777777" w:rsidR="0077304A" w:rsidRPr="004F560A" w:rsidRDefault="0077304A" w:rsidP="005764DE">
            <w:pPr>
              <w:jc w:val="center"/>
              <w:rPr>
                <w:rFonts w:ascii="Arial Narrow" w:hAnsi="Arial Narrow" w:cs="Arial-BoldMT"/>
                <w:b/>
                <w:bCs/>
                <w:sz w:val="22"/>
                <w:szCs w:val="22"/>
              </w:rPr>
            </w:pPr>
            <w:r w:rsidRPr="00F0291C">
              <w:rPr>
                <w:rFonts w:ascii="Arial Narrow" w:hAnsi="Arial Narrow" w:cs="Arial-BoldMT"/>
                <w:b/>
                <w:bCs/>
              </w:rPr>
              <w:t>Costo de referencia</w:t>
            </w:r>
          </w:p>
        </w:tc>
        <w:tc>
          <w:tcPr>
            <w:tcW w:w="1134" w:type="dxa"/>
            <w:shd w:val="clear" w:color="auto" w:fill="BFBFBF" w:themeFill="background1" w:themeFillShade="BF"/>
          </w:tcPr>
          <w:p w14:paraId="7148774F" w14:textId="77777777" w:rsidR="0077304A" w:rsidRPr="004F560A" w:rsidRDefault="0077304A" w:rsidP="005764DE">
            <w:pPr>
              <w:jc w:val="center"/>
              <w:rPr>
                <w:rFonts w:ascii="Arial Narrow" w:hAnsi="Arial Narrow" w:cs="Arial-BoldMT"/>
                <w:b/>
                <w:bCs/>
                <w:sz w:val="22"/>
                <w:szCs w:val="22"/>
              </w:rPr>
            </w:pPr>
            <w:r w:rsidRPr="00F0291C">
              <w:rPr>
                <w:rFonts w:ascii="Arial Narrow" w:hAnsi="Arial Narrow" w:cs="Arial-BoldMT"/>
                <w:b/>
                <w:bCs/>
              </w:rPr>
              <w:t>Acueducto</w:t>
            </w:r>
          </w:p>
        </w:tc>
        <w:tc>
          <w:tcPr>
            <w:tcW w:w="1301" w:type="dxa"/>
            <w:shd w:val="clear" w:color="auto" w:fill="BFBFBF" w:themeFill="background1" w:themeFillShade="BF"/>
          </w:tcPr>
          <w:p w14:paraId="04161055" w14:textId="77777777" w:rsidR="0077304A" w:rsidRPr="004F560A" w:rsidRDefault="0077304A" w:rsidP="005764DE">
            <w:pPr>
              <w:jc w:val="center"/>
              <w:rPr>
                <w:rFonts w:ascii="Arial Narrow" w:hAnsi="Arial Narrow" w:cs="Arial-BoldMT"/>
                <w:b/>
                <w:bCs/>
                <w:sz w:val="22"/>
                <w:szCs w:val="22"/>
              </w:rPr>
            </w:pPr>
            <w:r w:rsidRPr="00F0291C">
              <w:rPr>
                <w:rFonts w:ascii="Arial Narrow" w:hAnsi="Arial Narrow" w:cs="Arial-BoldMT"/>
                <w:b/>
                <w:bCs/>
              </w:rPr>
              <w:t>Alcantarillado</w:t>
            </w:r>
          </w:p>
        </w:tc>
      </w:tr>
      <w:tr w:rsidR="0077304A" w:rsidRPr="00F0291C" w14:paraId="49D05D90" w14:textId="77777777" w:rsidTr="005764DE">
        <w:trPr>
          <w:jc w:val="center"/>
        </w:trPr>
        <w:tc>
          <w:tcPr>
            <w:tcW w:w="2122" w:type="dxa"/>
            <w:shd w:val="clear" w:color="auto" w:fill="F2F2F2" w:themeFill="background1" w:themeFillShade="F2"/>
          </w:tcPr>
          <w:p w14:paraId="28F83649" w14:textId="77777777" w:rsidR="0077304A" w:rsidRPr="004F560A" w:rsidRDefault="0077304A" w:rsidP="005764DE">
            <w:pPr>
              <w:jc w:val="both"/>
              <w:rPr>
                <w:rFonts w:ascii="Arial Narrow" w:hAnsi="Arial Narrow" w:cs="Arial-BoldMT"/>
                <w:i/>
                <w:iCs/>
                <w:sz w:val="22"/>
                <w:szCs w:val="22"/>
              </w:rPr>
            </w:pPr>
            <w:r w:rsidRPr="00F0291C">
              <w:rPr>
                <w:rFonts w:ascii="Arial Narrow" w:hAnsi="Arial Narrow" w:cs="Arial-BoldMT"/>
                <w:i/>
                <w:iCs/>
              </w:rPr>
              <w:t>CMA ($/suscriptor/mes)</w:t>
            </w:r>
          </w:p>
        </w:tc>
        <w:tc>
          <w:tcPr>
            <w:tcW w:w="1134" w:type="dxa"/>
          </w:tcPr>
          <w:p w14:paraId="55474CA2" w14:textId="77777777" w:rsidR="0077304A" w:rsidRPr="005764DE" w:rsidRDefault="0077304A" w:rsidP="005764DE">
            <w:pPr>
              <w:jc w:val="center"/>
              <w:rPr>
                <w:rFonts w:ascii="Arial Narrow" w:hAnsi="Arial Narrow" w:cs="Arial-BoldMT"/>
              </w:rPr>
            </w:pPr>
            <w:r w:rsidRPr="005764DE">
              <w:rPr>
                <w:rFonts w:ascii="Arial Narrow" w:hAnsi="Arial Narrow" w:cs="Arial-BoldMT"/>
              </w:rPr>
              <w:t xml:space="preserve">6,539.70 </w:t>
            </w:r>
          </w:p>
        </w:tc>
        <w:tc>
          <w:tcPr>
            <w:tcW w:w="1301" w:type="dxa"/>
          </w:tcPr>
          <w:p w14:paraId="2B53D2F2" w14:textId="77777777" w:rsidR="0077304A" w:rsidRPr="005764DE" w:rsidRDefault="0077304A" w:rsidP="005764DE">
            <w:pPr>
              <w:jc w:val="center"/>
              <w:rPr>
                <w:rFonts w:ascii="Arial Narrow" w:hAnsi="Arial Narrow" w:cs="Arial-BoldMT"/>
              </w:rPr>
            </w:pPr>
            <w:r w:rsidRPr="005764DE">
              <w:rPr>
                <w:rFonts w:ascii="Arial Narrow" w:hAnsi="Arial Narrow" w:cs="Arial-BoldMT"/>
              </w:rPr>
              <w:t xml:space="preserve">3,761.18 </w:t>
            </w:r>
          </w:p>
        </w:tc>
      </w:tr>
      <w:tr w:rsidR="0077304A" w:rsidRPr="00F0291C" w14:paraId="28654015" w14:textId="77777777" w:rsidTr="005764DE">
        <w:trPr>
          <w:jc w:val="center"/>
        </w:trPr>
        <w:tc>
          <w:tcPr>
            <w:tcW w:w="2122" w:type="dxa"/>
            <w:shd w:val="clear" w:color="auto" w:fill="F2F2F2" w:themeFill="background1" w:themeFillShade="F2"/>
          </w:tcPr>
          <w:p w14:paraId="59A23A5F" w14:textId="77777777" w:rsidR="0077304A" w:rsidRPr="004F560A" w:rsidRDefault="0077304A" w:rsidP="005764DE">
            <w:pPr>
              <w:jc w:val="both"/>
              <w:rPr>
                <w:rFonts w:ascii="Arial Narrow" w:hAnsi="Arial Narrow" w:cs="Arial-BoldMT"/>
                <w:i/>
                <w:iCs/>
                <w:sz w:val="22"/>
                <w:szCs w:val="22"/>
              </w:rPr>
            </w:pPr>
            <w:r w:rsidRPr="00F0291C">
              <w:rPr>
                <w:rFonts w:ascii="Arial Narrow" w:hAnsi="Arial Narrow" w:cs="Arial-BoldMT"/>
                <w:i/>
                <w:iCs/>
              </w:rPr>
              <w:t>CMO ($/m</w:t>
            </w:r>
            <w:r w:rsidRPr="00F0291C">
              <w:rPr>
                <w:rFonts w:ascii="Arial Narrow" w:hAnsi="Arial Narrow" w:cs="Arial-BoldMT"/>
                <w:i/>
                <w:iCs/>
                <w:vertAlign w:val="superscript"/>
              </w:rPr>
              <w:t>3</w:t>
            </w:r>
            <w:r w:rsidRPr="00F0291C">
              <w:rPr>
                <w:rFonts w:ascii="Arial Narrow" w:hAnsi="Arial Narrow" w:cs="Arial-BoldMT"/>
                <w:i/>
                <w:iCs/>
              </w:rPr>
              <w:t>)</w:t>
            </w:r>
          </w:p>
        </w:tc>
        <w:tc>
          <w:tcPr>
            <w:tcW w:w="1134" w:type="dxa"/>
          </w:tcPr>
          <w:p w14:paraId="3FA63F47" w14:textId="77777777" w:rsidR="0077304A" w:rsidRPr="005764DE" w:rsidRDefault="0077304A" w:rsidP="005764DE">
            <w:pPr>
              <w:jc w:val="center"/>
              <w:rPr>
                <w:rFonts w:ascii="Arial Narrow" w:hAnsi="Arial Narrow" w:cs="Arial-BoldMT"/>
              </w:rPr>
            </w:pPr>
            <w:r w:rsidRPr="005764DE">
              <w:rPr>
                <w:rFonts w:ascii="Arial Narrow" w:hAnsi="Arial Narrow" w:cs="Arial-BoldMT"/>
              </w:rPr>
              <w:t xml:space="preserve">1,252.68 </w:t>
            </w:r>
          </w:p>
        </w:tc>
        <w:tc>
          <w:tcPr>
            <w:tcW w:w="1301" w:type="dxa"/>
          </w:tcPr>
          <w:p w14:paraId="67D66ECB" w14:textId="77777777" w:rsidR="0077304A" w:rsidRPr="005764DE" w:rsidRDefault="0077304A" w:rsidP="005764DE">
            <w:pPr>
              <w:jc w:val="center"/>
              <w:rPr>
                <w:rFonts w:ascii="Arial Narrow" w:hAnsi="Arial Narrow" w:cs="Arial-BoldMT"/>
              </w:rPr>
            </w:pPr>
            <w:r w:rsidRPr="005764DE">
              <w:rPr>
                <w:rFonts w:ascii="Arial Narrow" w:hAnsi="Arial Narrow" w:cs="Arial-BoldMT"/>
              </w:rPr>
              <w:t xml:space="preserve">640,21 </w:t>
            </w:r>
          </w:p>
        </w:tc>
      </w:tr>
      <w:tr w:rsidR="0077304A" w:rsidRPr="00F0291C" w14:paraId="3165C84D" w14:textId="77777777" w:rsidTr="005764DE">
        <w:trPr>
          <w:jc w:val="center"/>
        </w:trPr>
        <w:tc>
          <w:tcPr>
            <w:tcW w:w="2122" w:type="dxa"/>
            <w:shd w:val="clear" w:color="auto" w:fill="F2F2F2" w:themeFill="background1" w:themeFillShade="F2"/>
          </w:tcPr>
          <w:p w14:paraId="4F583367" w14:textId="77777777" w:rsidR="0077304A" w:rsidRPr="004F560A" w:rsidRDefault="0077304A" w:rsidP="005764DE">
            <w:pPr>
              <w:jc w:val="both"/>
              <w:rPr>
                <w:rFonts w:ascii="Arial Narrow" w:hAnsi="Arial Narrow" w:cs="Arial-BoldMT"/>
                <w:i/>
                <w:iCs/>
                <w:sz w:val="22"/>
                <w:szCs w:val="22"/>
              </w:rPr>
            </w:pPr>
            <w:r w:rsidRPr="00F0291C">
              <w:rPr>
                <w:rFonts w:ascii="Arial Narrow" w:hAnsi="Arial Narrow" w:cs="Arial-BoldMT"/>
                <w:i/>
                <w:iCs/>
              </w:rPr>
              <w:t>CMI ($/m</w:t>
            </w:r>
            <w:r w:rsidRPr="00F0291C">
              <w:rPr>
                <w:rFonts w:ascii="Arial Narrow" w:hAnsi="Arial Narrow" w:cs="Arial-BoldMT"/>
                <w:i/>
                <w:iCs/>
                <w:vertAlign w:val="superscript"/>
              </w:rPr>
              <w:t>3</w:t>
            </w:r>
            <w:r w:rsidRPr="00F0291C">
              <w:rPr>
                <w:rFonts w:ascii="Arial Narrow" w:hAnsi="Arial Narrow" w:cs="Arial-BoldMT"/>
                <w:i/>
                <w:iCs/>
              </w:rPr>
              <w:t>)</w:t>
            </w:r>
          </w:p>
        </w:tc>
        <w:tc>
          <w:tcPr>
            <w:tcW w:w="1134" w:type="dxa"/>
          </w:tcPr>
          <w:p w14:paraId="05B8E517" w14:textId="77777777" w:rsidR="0077304A" w:rsidRPr="004F560A" w:rsidRDefault="0077304A" w:rsidP="005764DE">
            <w:pPr>
              <w:jc w:val="center"/>
              <w:rPr>
                <w:rFonts w:ascii="Arial Narrow" w:hAnsi="Arial Narrow" w:cs="Arial-BoldMT"/>
                <w:sz w:val="22"/>
                <w:szCs w:val="22"/>
              </w:rPr>
            </w:pPr>
            <w:r>
              <w:rPr>
                <w:rFonts w:ascii="Arial Narrow" w:hAnsi="Arial Narrow" w:cs="Arial-BoldMT"/>
              </w:rPr>
              <w:t>2,024.35</w:t>
            </w:r>
          </w:p>
        </w:tc>
        <w:tc>
          <w:tcPr>
            <w:tcW w:w="1301" w:type="dxa"/>
          </w:tcPr>
          <w:p w14:paraId="213961B3" w14:textId="77777777" w:rsidR="0077304A" w:rsidRPr="004F560A" w:rsidRDefault="0077304A" w:rsidP="005764DE">
            <w:pPr>
              <w:jc w:val="center"/>
              <w:rPr>
                <w:rFonts w:ascii="Arial Narrow" w:hAnsi="Arial Narrow" w:cs="Arial-BoldMT"/>
                <w:sz w:val="22"/>
                <w:szCs w:val="22"/>
              </w:rPr>
            </w:pPr>
            <w:r>
              <w:rPr>
                <w:rFonts w:ascii="Arial Narrow" w:hAnsi="Arial Narrow" w:cs="Arial-BoldMT"/>
              </w:rPr>
              <w:t>1,853.44</w:t>
            </w:r>
          </w:p>
        </w:tc>
      </w:tr>
    </w:tbl>
    <w:p w14:paraId="408ADB1D" w14:textId="77777777" w:rsidR="0077304A" w:rsidRPr="0077304A" w:rsidRDefault="0077304A" w:rsidP="00E518F1">
      <w:pPr>
        <w:autoSpaceDE w:val="0"/>
        <w:autoSpaceDN w:val="0"/>
        <w:adjustRightInd w:val="0"/>
        <w:spacing w:after="0" w:line="240" w:lineRule="auto"/>
        <w:jc w:val="both"/>
        <w:rPr>
          <w:rFonts w:ascii="Arial Narrow" w:hAnsi="Arial Narrow" w:cs="ArialMT"/>
        </w:rPr>
      </w:pPr>
    </w:p>
    <w:p w14:paraId="2ECBE42E" w14:textId="77777777" w:rsidR="00452932" w:rsidRDefault="00452932" w:rsidP="00E518F1">
      <w:pPr>
        <w:autoSpaceDE w:val="0"/>
        <w:autoSpaceDN w:val="0"/>
        <w:adjustRightInd w:val="0"/>
        <w:spacing w:after="0" w:line="240" w:lineRule="auto"/>
        <w:jc w:val="both"/>
        <w:rPr>
          <w:rFonts w:ascii="Arial Narrow" w:hAnsi="Arial Narrow" w:cs="ArialMT"/>
        </w:rPr>
      </w:pPr>
    </w:p>
    <w:p w14:paraId="4C11E293" w14:textId="30A902B2" w:rsidR="00E77A2C" w:rsidRPr="00FE6E3C" w:rsidRDefault="00452932" w:rsidP="00E77A2C">
      <w:pPr>
        <w:autoSpaceDE w:val="0"/>
        <w:autoSpaceDN w:val="0"/>
        <w:adjustRightInd w:val="0"/>
        <w:spacing w:after="0" w:line="240" w:lineRule="auto"/>
        <w:jc w:val="both"/>
        <w:rPr>
          <w:rFonts w:ascii="Arial Narrow" w:hAnsi="Arial Narrow" w:cs="ArialMT"/>
        </w:rPr>
      </w:pPr>
      <w:r w:rsidRPr="00F0291C">
        <w:rPr>
          <w:rFonts w:ascii="Arial Narrow" w:hAnsi="Arial Narrow" w:cs="Arial-BoldMT"/>
          <w:b/>
          <w:bCs/>
        </w:rPr>
        <w:t xml:space="preserve">Artículo </w:t>
      </w:r>
      <w:r>
        <w:rPr>
          <w:rFonts w:ascii="Arial Narrow" w:hAnsi="Arial Narrow" w:cs="Arial-BoldMT"/>
          <w:b/>
          <w:bCs/>
        </w:rPr>
        <w:t>3.</w:t>
      </w:r>
      <w:r w:rsidR="00E77A2C">
        <w:rPr>
          <w:rFonts w:ascii="Arial Narrow" w:hAnsi="Arial Narrow" w:cs="Arial-BoldMT"/>
        </w:rPr>
        <w:t xml:space="preserve"> Compilar los costos de referencia máximos </w:t>
      </w:r>
      <w:r w:rsidR="00E77A2C" w:rsidRPr="006A343B">
        <w:rPr>
          <w:rFonts w:ascii="Arial Narrow" w:hAnsi="Arial Narrow" w:cs="ArialMT"/>
        </w:rPr>
        <w:t>en los componentes de Costo Medio de Administración – CMA, Costo Medio de Operación – CMO y Costo Medio de Inversión – CMI de los servicios de acueducto y alcantarillado que presta EMPRESAS PÚBLICAS DE MEDELLÍN E.S.P.</w:t>
      </w:r>
      <w:r w:rsidR="00626BD0">
        <w:rPr>
          <w:rFonts w:ascii="Arial Narrow" w:hAnsi="Arial Narrow" w:cs="ArialMT"/>
        </w:rPr>
        <w:t xml:space="preserve"> </w:t>
      </w:r>
      <w:r w:rsidR="00FE6E3C" w:rsidRPr="006A343B">
        <w:rPr>
          <w:rFonts w:ascii="Arial Narrow" w:hAnsi="Arial Narrow" w:cs="ArialMT"/>
        </w:rPr>
        <w:t>a pesos de diciembre de 2018, los cuales se indexarán conforme a lo establecido por la Comisión de Regulación de Agua Potable y Saneamiento Básico – CRA y el Artículo 125 de la Ley 142 de 1994, en las Áreas de Prestación del Servicio – APS- del Sistema Interconectado (Medellín, Envigado, Sabaneta, La Estrella, Itagüí, Girardota, Copacabana y Bello), Caldas y Rionegro como consecuencia del mercado regional declarado en aplicación de las Resoluciones CRA 821 de 2017, 908 de 2019 y 934 de 2020</w:t>
      </w:r>
      <w:r w:rsidR="00FE6E3C" w:rsidRPr="00FE6E3C">
        <w:rPr>
          <w:rFonts w:ascii="Arial Narrow" w:hAnsi="Arial Narrow" w:cs="ArialMT"/>
        </w:rPr>
        <w:t xml:space="preserve">, </w:t>
      </w:r>
      <w:r w:rsidR="00FE6E3C" w:rsidRPr="006A343B">
        <w:rPr>
          <w:rFonts w:ascii="Arial Narrow" w:hAnsi="Arial Narrow" w:cs="ArialMT"/>
        </w:rPr>
        <w:t>compiladas en el Subtítulo 2 del Título 3 de la Parte 1 del Libro 2 la Resolución CRA 943 de 2021</w:t>
      </w:r>
      <w:r w:rsidR="00C85DDE" w:rsidRPr="00FE6E3C">
        <w:rPr>
          <w:rFonts w:ascii="Arial Narrow" w:hAnsi="Arial Narrow" w:cs="ArialMT"/>
        </w:rPr>
        <w:t xml:space="preserve">, </w:t>
      </w:r>
      <w:r w:rsidR="00C85DDE" w:rsidRPr="00FE6E3C">
        <w:rPr>
          <w:rFonts w:ascii="Arial Narrow" w:hAnsi="Arial Narrow" w:cs="Arial-BoldMT"/>
        </w:rPr>
        <w:t xml:space="preserve">que se aplicarán a los consumos </w:t>
      </w:r>
      <w:r w:rsidR="001B518C" w:rsidRPr="006A343B">
        <w:rPr>
          <w:rFonts w:ascii="Arial Narrow" w:hAnsi="Arial Narrow" w:cs="Arial-BoldMT"/>
          <w:b/>
          <w:bCs/>
        </w:rPr>
        <w:t>a partir d</w:t>
      </w:r>
      <w:r w:rsidR="00C85DDE" w:rsidRPr="006A343B">
        <w:rPr>
          <w:rFonts w:ascii="Arial Narrow" w:hAnsi="Arial Narrow" w:cs="Arial-BoldMT"/>
          <w:b/>
          <w:bCs/>
        </w:rPr>
        <w:t>el 1 de julio de 2025</w:t>
      </w:r>
      <w:r w:rsidR="0077304A" w:rsidRPr="00FE6E3C">
        <w:rPr>
          <w:rFonts w:ascii="Arial Narrow" w:hAnsi="Arial Narrow" w:cs="ArialMT"/>
        </w:rPr>
        <w:t>:</w:t>
      </w:r>
    </w:p>
    <w:p w14:paraId="399E8119" w14:textId="652DF3E5" w:rsidR="00452932" w:rsidRDefault="00452932" w:rsidP="00E518F1">
      <w:pPr>
        <w:autoSpaceDE w:val="0"/>
        <w:autoSpaceDN w:val="0"/>
        <w:adjustRightInd w:val="0"/>
        <w:spacing w:after="0" w:line="240" w:lineRule="auto"/>
        <w:jc w:val="both"/>
        <w:rPr>
          <w:rFonts w:ascii="Arial Narrow" w:hAnsi="Arial Narrow" w:cs="Arial-BoldMT"/>
        </w:rPr>
      </w:pPr>
    </w:p>
    <w:tbl>
      <w:tblPr>
        <w:tblStyle w:val="Tablaconcuadrcula"/>
        <w:tblW w:w="0" w:type="auto"/>
        <w:jc w:val="center"/>
        <w:tblLook w:val="04A0" w:firstRow="1" w:lastRow="0" w:firstColumn="1" w:lastColumn="0" w:noHBand="0" w:noVBand="1"/>
      </w:tblPr>
      <w:tblGrid>
        <w:gridCol w:w="2122"/>
        <w:gridCol w:w="1134"/>
        <w:gridCol w:w="1301"/>
      </w:tblGrid>
      <w:tr w:rsidR="00C840A3" w:rsidRPr="00F0291C" w14:paraId="5B3ACC85" w14:textId="77777777" w:rsidTr="005764DE">
        <w:trPr>
          <w:jc w:val="center"/>
        </w:trPr>
        <w:tc>
          <w:tcPr>
            <w:tcW w:w="2122" w:type="dxa"/>
            <w:shd w:val="clear" w:color="auto" w:fill="BFBFBF" w:themeFill="background1" w:themeFillShade="BF"/>
          </w:tcPr>
          <w:p w14:paraId="16BB4668" w14:textId="77777777" w:rsidR="00C840A3" w:rsidRPr="004F560A" w:rsidRDefault="00C840A3" w:rsidP="005764DE">
            <w:pPr>
              <w:jc w:val="center"/>
              <w:rPr>
                <w:rFonts w:ascii="Arial Narrow" w:hAnsi="Arial Narrow" w:cs="Arial-BoldMT"/>
                <w:b/>
                <w:bCs/>
                <w:sz w:val="22"/>
                <w:szCs w:val="22"/>
              </w:rPr>
            </w:pPr>
            <w:r w:rsidRPr="00F0291C">
              <w:rPr>
                <w:rFonts w:ascii="Arial Narrow" w:hAnsi="Arial Narrow" w:cs="Arial-BoldMT"/>
                <w:b/>
                <w:bCs/>
              </w:rPr>
              <w:t>Costo de referencia</w:t>
            </w:r>
          </w:p>
        </w:tc>
        <w:tc>
          <w:tcPr>
            <w:tcW w:w="1134" w:type="dxa"/>
            <w:shd w:val="clear" w:color="auto" w:fill="BFBFBF" w:themeFill="background1" w:themeFillShade="BF"/>
          </w:tcPr>
          <w:p w14:paraId="2988D0BC" w14:textId="77777777" w:rsidR="00C840A3" w:rsidRPr="004F560A" w:rsidRDefault="00C840A3" w:rsidP="005764DE">
            <w:pPr>
              <w:jc w:val="center"/>
              <w:rPr>
                <w:rFonts w:ascii="Arial Narrow" w:hAnsi="Arial Narrow" w:cs="Arial-BoldMT"/>
                <w:b/>
                <w:bCs/>
                <w:sz w:val="22"/>
                <w:szCs w:val="22"/>
              </w:rPr>
            </w:pPr>
            <w:r w:rsidRPr="00F0291C">
              <w:rPr>
                <w:rFonts w:ascii="Arial Narrow" w:hAnsi="Arial Narrow" w:cs="Arial-BoldMT"/>
                <w:b/>
                <w:bCs/>
              </w:rPr>
              <w:t>Acueducto</w:t>
            </w:r>
          </w:p>
        </w:tc>
        <w:tc>
          <w:tcPr>
            <w:tcW w:w="1301" w:type="dxa"/>
            <w:shd w:val="clear" w:color="auto" w:fill="BFBFBF" w:themeFill="background1" w:themeFillShade="BF"/>
          </w:tcPr>
          <w:p w14:paraId="00BC84AF" w14:textId="77777777" w:rsidR="00C840A3" w:rsidRPr="004F560A" w:rsidRDefault="00C840A3" w:rsidP="005764DE">
            <w:pPr>
              <w:jc w:val="center"/>
              <w:rPr>
                <w:rFonts w:ascii="Arial Narrow" w:hAnsi="Arial Narrow" w:cs="Arial-BoldMT"/>
                <w:b/>
                <w:bCs/>
                <w:sz w:val="22"/>
                <w:szCs w:val="22"/>
              </w:rPr>
            </w:pPr>
            <w:r w:rsidRPr="00F0291C">
              <w:rPr>
                <w:rFonts w:ascii="Arial Narrow" w:hAnsi="Arial Narrow" w:cs="Arial-BoldMT"/>
                <w:b/>
                <w:bCs/>
              </w:rPr>
              <w:t>Alcantarillado</w:t>
            </w:r>
          </w:p>
        </w:tc>
      </w:tr>
      <w:tr w:rsidR="00C840A3" w:rsidRPr="00F0291C" w14:paraId="7C010B79" w14:textId="77777777" w:rsidTr="005764DE">
        <w:trPr>
          <w:jc w:val="center"/>
        </w:trPr>
        <w:tc>
          <w:tcPr>
            <w:tcW w:w="2122" w:type="dxa"/>
            <w:shd w:val="clear" w:color="auto" w:fill="F2F2F2" w:themeFill="background1" w:themeFillShade="F2"/>
          </w:tcPr>
          <w:p w14:paraId="79C4E4D4" w14:textId="77777777" w:rsidR="00C840A3" w:rsidRPr="004F560A" w:rsidRDefault="00C840A3" w:rsidP="005764DE">
            <w:pPr>
              <w:jc w:val="both"/>
              <w:rPr>
                <w:rFonts w:ascii="Arial Narrow" w:hAnsi="Arial Narrow" w:cs="Arial-BoldMT"/>
                <w:i/>
                <w:iCs/>
                <w:sz w:val="22"/>
                <w:szCs w:val="22"/>
              </w:rPr>
            </w:pPr>
            <w:r w:rsidRPr="00F0291C">
              <w:rPr>
                <w:rFonts w:ascii="Arial Narrow" w:hAnsi="Arial Narrow" w:cs="Arial-BoldMT"/>
                <w:i/>
                <w:iCs/>
              </w:rPr>
              <w:t>CMA ($/suscriptor/mes)</w:t>
            </w:r>
          </w:p>
        </w:tc>
        <w:tc>
          <w:tcPr>
            <w:tcW w:w="1134" w:type="dxa"/>
          </w:tcPr>
          <w:p w14:paraId="118B8E82" w14:textId="77777777" w:rsidR="00C840A3" w:rsidRPr="002F27E5" w:rsidRDefault="00C840A3" w:rsidP="005764DE">
            <w:pPr>
              <w:jc w:val="center"/>
              <w:rPr>
                <w:rFonts w:ascii="Arial Narrow" w:hAnsi="Arial Narrow" w:cs="Arial-BoldMT"/>
                <w:sz w:val="22"/>
                <w:szCs w:val="22"/>
                <w:highlight w:val="yellow"/>
              </w:rPr>
            </w:pPr>
            <w:r w:rsidRPr="00657634">
              <w:rPr>
                <w:rFonts w:ascii="Arial Narrow" w:hAnsi="Arial Narrow" w:cs="Arial-BoldMT"/>
              </w:rPr>
              <w:t>6,536.99</w:t>
            </w:r>
          </w:p>
        </w:tc>
        <w:tc>
          <w:tcPr>
            <w:tcW w:w="1301" w:type="dxa"/>
          </w:tcPr>
          <w:p w14:paraId="31E6BD83" w14:textId="77777777" w:rsidR="00C840A3" w:rsidRPr="002F27E5" w:rsidRDefault="00C840A3" w:rsidP="005764DE">
            <w:pPr>
              <w:jc w:val="center"/>
              <w:rPr>
                <w:rFonts w:ascii="Arial Narrow" w:hAnsi="Arial Narrow" w:cs="Arial-BoldMT"/>
                <w:sz w:val="22"/>
                <w:szCs w:val="22"/>
                <w:highlight w:val="yellow"/>
              </w:rPr>
            </w:pPr>
            <w:r w:rsidRPr="00657634">
              <w:rPr>
                <w:rFonts w:ascii="Arial Narrow" w:hAnsi="Arial Narrow" w:cs="Arial-BoldMT"/>
              </w:rPr>
              <w:t>3,761.49</w:t>
            </w:r>
          </w:p>
        </w:tc>
      </w:tr>
      <w:tr w:rsidR="00C840A3" w:rsidRPr="00F0291C" w14:paraId="36B99285" w14:textId="77777777" w:rsidTr="005764DE">
        <w:trPr>
          <w:jc w:val="center"/>
        </w:trPr>
        <w:tc>
          <w:tcPr>
            <w:tcW w:w="2122" w:type="dxa"/>
            <w:shd w:val="clear" w:color="auto" w:fill="F2F2F2" w:themeFill="background1" w:themeFillShade="F2"/>
          </w:tcPr>
          <w:p w14:paraId="4F222CB3" w14:textId="77777777" w:rsidR="00C840A3" w:rsidRPr="004F560A" w:rsidRDefault="00C840A3" w:rsidP="005764DE">
            <w:pPr>
              <w:jc w:val="both"/>
              <w:rPr>
                <w:rFonts w:ascii="Arial Narrow" w:hAnsi="Arial Narrow" w:cs="Arial-BoldMT"/>
                <w:i/>
                <w:iCs/>
                <w:sz w:val="22"/>
                <w:szCs w:val="22"/>
              </w:rPr>
            </w:pPr>
            <w:r w:rsidRPr="00F0291C">
              <w:rPr>
                <w:rFonts w:ascii="Arial Narrow" w:hAnsi="Arial Narrow" w:cs="Arial-BoldMT"/>
                <w:i/>
                <w:iCs/>
              </w:rPr>
              <w:t>CMO ($/m</w:t>
            </w:r>
            <w:r w:rsidRPr="00F0291C">
              <w:rPr>
                <w:rFonts w:ascii="Arial Narrow" w:hAnsi="Arial Narrow" w:cs="Arial-BoldMT"/>
                <w:i/>
                <w:iCs/>
                <w:vertAlign w:val="superscript"/>
              </w:rPr>
              <w:t>3</w:t>
            </w:r>
            <w:r w:rsidRPr="00F0291C">
              <w:rPr>
                <w:rFonts w:ascii="Arial Narrow" w:hAnsi="Arial Narrow" w:cs="Arial-BoldMT"/>
                <w:i/>
                <w:iCs/>
              </w:rPr>
              <w:t>)</w:t>
            </w:r>
          </w:p>
        </w:tc>
        <w:tc>
          <w:tcPr>
            <w:tcW w:w="1134" w:type="dxa"/>
          </w:tcPr>
          <w:p w14:paraId="6D199FB9" w14:textId="77777777" w:rsidR="00C840A3" w:rsidRPr="002F27E5" w:rsidRDefault="00C840A3" w:rsidP="005764DE">
            <w:pPr>
              <w:jc w:val="center"/>
              <w:rPr>
                <w:rFonts w:ascii="Arial Narrow" w:hAnsi="Arial Narrow" w:cs="Arial-BoldMT"/>
                <w:sz w:val="22"/>
                <w:szCs w:val="22"/>
                <w:highlight w:val="yellow"/>
              </w:rPr>
            </w:pPr>
            <w:r w:rsidRPr="00657634">
              <w:rPr>
                <w:rFonts w:ascii="Arial Narrow" w:hAnsi="Arial Narrow" w:cs="Arial-BoldMT"/>
              </w:rPr>
              <w:t>1,262.45</w:t>
            </w:r>
          </w:p>
        </w:tc>
        <w:tc>
          <w:tcPr>
            <w:tcW w:w="1301" w:type="dxa"/>
          </w:tcPr>
          <w:p w14:paraId="0B116E1A" w14:textId="77777777" w:rsidR="00C840A3" w:rsidRPr="002F27E5" w:rsidRDefault="00C840A3" w:rsidP="005764DE">
            <w:pPr>
              <w:jc w:val="center"/>
              <w:rPr>
                <w:rFonts w:ascii="Arial Narrow" w:hAnsi="Arial Narrow" w:cs="Arial-BoldMT"/>
                <w:sz w:val="22"/>
                <w:szCs w:val="22"/>
                <w:highlight w:val="yellow"/>
              </w:rPr>
            </w:pPr>
            <w:r w:rsidRPr="00657634">
              <w:rPr>
                <w:rFonts w:ascii="Arial Narrow" w:hAnsi="Arial Narrow" w:cs="Arial-BoldMT"/>
              </w:rPr>
              <w:t>643.18</w:t>
            </w:r>
          </w:p>
        </w:tc>
      </w:tr>
      <w:tr w:rsidR="00C840A3" w:rsidRPr="00F0291C" w14:paraId="27FB5315" w14:textId="77777777" w:rsidTr="005764DE">
        <w:trPr>
          <w:jc w:val="center"/>
        </w:trPr>
        <w:tc>
          <w:tcPr>
            <w:tcW w:w="2122" w:type="dxa"/>
            <w:shd w:val="clear" w:color="auto" w:fill="F2F2F2" w:themeFill="background1" w:themeFillShade="F2"/>
          </w:tcPr>
          <w:p w14:paraId="0836BF34" w14:textId="77777777" w:rsidR="00C840A3" w:rsidRPr="004F560A" w:rsidRDefault="00C840A3" w:rsidP="005764DE">
            <w:pPr>
              <w:jc w:val="both"/>
              <w:rPr>
                <w:rFonts w:ascii="Arial Narrow" w:hAnsi="Arial Narrow" w:cs="Arial-BoldMT"/>
                <w:i/>
                <w:iCs/>
                <w:sz w:val="22"/>
                <w:szCs w:val="22"/>
              </w:rPr>
            </w:pPr>
            <w:r w:rsidRPr="00F0291C">
              <w:rPr>
                <w:rFonts w:ascii="Arial Narrow" w:hAnsi="Arial Narrow" w:cs="Arial-BoldMT"/>
                <w:i/>
                <w:iCs/>
              </w:rPr>
              <w:t>CMI ($/m</w:t>
            </w:r>
            <w:r w:rsidRPr="00F0291C">
              <w:rPr>
                <w:rFonts w:ascii="Arial Narrow" w:hAnsi="Arial Narrow" w:cs="Arial-BoldMT"/>
                <w:i/>
                <w:iCs/>
                <w:vertAlign w:val="superscript"/>
              </w:rPr>
              <w:t>3</w:t>
            </w:r>
            <w:r w:rsidRPr="00F0291C">
              <w:rPr>
                <w:rFonts w:ascii="Arial Narrow" w:hAnsi="Arial Narrow" w:cs="Arial-BoldMT"/>
                <w:i/>
                <w:iCs/>
              </w:rPr>
              <w:t>)</w:t>
            </w:r>
          </w:p>
        </w:tc>
        <w:tc>
          <w:tcPr>
            <w:tcW w:w="1134" w:type="dxa"/>
          </w:tcPr>
          <w:p w14:paraId="3751DAEC" w14:textId="77777777" w:rsidR="00C840A3" w:rsidRPr="004F560A" w:rsidRDefault="00C840A3" w:rsidP="005764DE">
            <w:pPr>
              <w:jc w:val="center"/>
              <w:rPr>
                <w:rFonts w:ascii="Arial Narrow" w:hAnsi="Arial Narrow" w:cs="Arial-BoldMT"/>
                <w:sz w:val="22"/>
                <w:szCs w:val="22"/>
              </w:rPr>
            </w:pPr>
            <w:r>
              <w:rPr>
                <w:rFonts w:ascii="Arial Narrow" w:hAnsi="Arial Narrow" w:cs="Arial-BoldMT"/>
              </w:rPr>
              <w:t>2,024.35</w:t>
            </w:r>
          </w:p>
        </w:tc>
        <w:tc>
          <w:tcPr>
            <w:tcW w:w="1301" w:type="dxa"/>
          </w:tcPr>
          <w:p w14:paraId="5A486FF1" w14:textId="77777777" w:rsidR="00C840A3" w:rsidRPr="004F560A" w:rsidRDefault="00C840A3" w:rsidP="005764DE">
            <w:pPr>
              <w:jc w:val="center"/>
              <w:rPr>
                <w:rFonts w:ascii="Arial Narrow" w:hAnsi="Arial Narrow" w:cs="Arial-BoldMT"/>
                <w:sz w:val="22"/>
                <w:szCs w:val="22"/>
              </w:rPr>
            </w:pPr>
            <w:r>
              <w:rPr>
                <w:rFonts w:ascii="Arial Narrow" w:hAnsi="Arial Narrow" w:cs="Arial-BoldMT"/>
              </w:rPr>
              <w:t>1,853.44</w:t>
            </w:r>
          </w:p>
        </w:tc>
      </w:tr>
    </w:tbl>
    <w:p w14:paraId="299BE740" w14:textId="77777777" w:rsidR="00C840A3" w:rsidRPr="00E77A2C" w:rsidRDefault="00C840A3" w:rsidP="00E518F1">
      <w:pPr>
        <w:autoSpaceDE w:val="0"/>
        <w:autoSpaceDN w:val="0"/>
        <w:adjustRightInd w:val="0"/>
        <w:spacing w:after="0" w:line="240" w:lineRule="auto"/>
        <w:jc w:val="both"/>
        <w:rPr>
          <w:rFonts w:ascii="Arial Narrow" w:hAnsi="Arial Narrow" w:cs="Arial-BoldMT"/>
        </w:rPr>
      </w:pPr>
    </w:p>
    <w:p w14:paraId="6F4AC6DE" w14:textId="7D9C6E9E" w:rsidR="006F4D61" w:rsidRDefault="004841D2" w:rsidP="00E518F1">
      <w:pPr>
        <w:autoSpaceDE w:val="0"/>
        <w:autoSpaceDN w:val="0"/>
        <w:spacing w:after="0" w:line="240" w:lineRule="auto"/>
        <w:jc w:val="both"/>
        <w:rPr>
          <w:rFonts w:ascii="Arial Narrow" w:hAnsi="Arial Narrow" w:cs="ArialMT"/>
        </w:rPr>
      </w:pPr>
      <w:r w:rsidRPr="00F0291C">
        <w:rPr>
          <w:rFonts w:ascii="Arial Narrow" w:hAnsi="Arial Narrow" w:cs="Arial-BoldMT"/>
          <w:b/>
          <w:bCs/>
        </w:rPr>
        <w:t xml:space="preserve">Artículo </w:t>
      </w:r>
      <w:r w:rsidR="006C1691">
        <w:rPr>
          <w:rFonts w:ascii="Arial Narrow" w:hAnsi="Arial Narrow" w:cs="Arial-BoldMT"/>
          <w:b/>
          <w:bCs/>
        </w:rPr>
        <w:t>4</w:t>
      </w:r>
      <w:r w:rsidRPr="00F0291C">
        <w:rPr>
          <w:rFonts w:ascii="Arial Narrow" w:hAnsi="Arial Narrow" w:cs="Arial-BoldMT"/>
          <w:b/>
          <w:bCs/>
        </w:rPr>
        <w:t xml:space="preserve">. </w:t>
      </w:r>
      <w:r w:rsidR="00FE6E3C">
        <w:rPr>
          <w:rFonts w:ascii="Arial Narrow" w:hAnsi="Arial Narrow" w:cs="ArialMT"/>
        </w:rPr>
        <w:t>El presente decreto rige</w:t>
      </w:r>
      <w:r w:rsidR="004B6372">
        <w:rPr>
          <w:rFonts w:ascii="Arial Narrow" w:hAnsi="Arial Narrow" w:cs="ArialMT"/>
        </w:rPr>
        <w:t xml:space="preserve"> a partir de su expedición</w:t>
      </w:r>
      <w:r w:rsidR="0095443B">
        <w:rPr>
          <w:rFonts w:ascii="Arial Narrow" w:hAnsi="Arial Narrow" w:cs="ArialMT"/>
        </w:rPr>
        <w:t xml:space="preserve"> y deroga integralmente el Decreto</w:t>
      </w:r>
      <w:r w:rsidR="00AF1820">
        <w:rPr>
          <w:rFonts w:ascii="Arial Narrow" w:hAnsi="Arial Narrow" w:cs="ArialMT"/>
        </w:rPr>
        <w:t xml:space="preserve"> de Junta Directiva No.</w:t>
      </w:r>
      <w:r w:rsidR="0095443B">
        <w:rPr>
          <w:rFonts w:ascii="Arial Narrow" w:hAnsi="Arial Narrow" w:cs="ArialMT"/>
        </w:rPr>
        <w:t xml:space="preserve"> </w:t>
      </w:r>
      <w:r w:rsidR="00AF1820">
        <w:rPr>
          <w:rFonts w:ascii="Arial Narrow" w:hAnsi="Arial Narrow" w:cs="ArialMT"/>
        </w:rPr>
        <w:t xml:space="preserve">794 de 2024. </w:t>
      </w:r>
      <w:r w:rsidR="001120C5">
        <w:rPr>
          <w:rFonts w:ascii="Arial Narrow" w:hAnsi="Arial Narrow" w:cs="ArialMT"/>
        </w:rPr>
        <w:t>L</w:t>
      </w:r>
      <w:r w:rsidR="00AF1820">
        <w:rPr>
          <w:rFonts w:ascii="Arial Narrow" w:hAnsi="Arial Narrow" w:cs="ArialMT"/>
        </w:rPr>
        <w:t>as disposiciones</w:t>
      </w:r>
      <w:r w:rsidR="0095443B">
        <w:rPr>
          <w:rFonts w:ascii="Arial Narrow" w:hAnsi="Arial Narrow" w:cs="ArialMT"/>
        </w:rPr>
        <w:t xml:space="preserve"> </w:t>
      </w:r>
      <w:r w:rsidR="00AF1820">
        <w:rPr>
          <w:rFonts w:ascii="Arial Narrow" w:hAnsi="Arial Narrow" w:cs="ArialMT"/>
        </w:rPr>
        <w:t xml:space="preserve">de </w:t>
      </w:r>
      <w:r w:rsidR="00C01AAC" w:rsidRPr="00C01AAC">
        <w:rPr>
          <w:rFonts w:ascii="Arial Narrow" w:hAnsi="Arial Narrow" w:cs="ArialMT"/>
        </w:rPr>
        <w:t xml:space="preserve">los Decretos de Junta Directiva No. 557 </w:t>
      </w:r>
      <w:r w:rsidR="000F67BC">
        <w:rPr>
          <w:rFonts w:ascii="Arial Narrow" w:hAnsi="Arial Narrow" w:cs="ArialMT"/>
        </w:rPr>
        <w:t xml:space="preserve">de 2021, </w:t>
      </w:r>
      <w:r w:rsidR="00C01AAC" w:rsidRPr="00C01AAC">
        <w:rPr>
          <w:rFonts w:ascii="Arial Narrow" w:hAnsi="Arial Narrow" w:cs="ArialMT"/>
        </w:rPr>
        <w:t>No. 581 de 2021</w:t>
      </w:r>
      <w:r w:rsidR="000F67BC">
        <w:rPr>
          <w:rFonts w:ascii="Arial Narrow" w:hAnsi="Arial Narrow" w:cs="ArialMT"/>
        </w:rPr>
        <w:t xml:space="preserve"> y No. </w:t>
      </w:r>
      <w:r w:rsidR="000F67BC">
        <w:rPr>
          <w:rFonts w:ascii="Arial Narrow" w:eastAsia="Arial Narrow" w:hAnsi="Arial Narrow" w:cs="Arial Narrow"/>
        </w:rPr>
        <w:t xml:space="preserve">873 de 2025, </w:t>
      </w:r>
      <w:r w:rsidR="003E5FFF">
        <w:rPr>
          <w:rFonts w:ascii="Arial Narrow" w:hAnsi="Arial Narrow" w:cs="ArialMT"/>
        </w:rPr>
        <w:t>y</w:t>
      </w:r>
      <w:r w:rsidR="00C01AAC" w:rsidRPr="00C01AAC">
        <w:rPr>
          <w:rFonts w:ascii="Arial Narrow" w:hAnsi="Arial Narrow" w:cs="ArialMT"/>
        </w:rPr>
        <w:t xml:space="preserve"> </w:t>
      </w:r>
      <w:r w:rsidR="000F67BC">
        <w:rPr>
          <w:rFonts w:ascii="Arial Narrow" w:hAnsi="Arial Narrow" w:cs="ArialMT"/>
        </w:rPr>
        <w:t>d</w:t>
      </w:r>
      <w:r w:rsidR="00C01AAC" w:rsidRPr="00C01AAC">
        <w:rPr>
          <w:rFonts w:ascii="Arial Narrow" w:hAnsi="Arial Narrow" w:cs="ArialMT"/>
        </w:rPr>
        <w:t>el Decreto de Gerencia General No. 2462 de 202</w:t>
      </w:r>
      <w:r w:rsidR="00C01AAC">
        <w:rPr>
          <w:rFonts w:ascii="Arial Narrow" w:hAnsi="Arial Narrow" w:cs="ArialMT"/>
        </w:rPr>
        <w:t>4</w:t>
      </w:r>
      <w:r w:rsidR="00C01AAC" w:rsidRPr="00C01AAC">
        <w:rPr>
          <w:rFonts w:ascii="Arial Narrow" w:hAnsi="Arial Narrow" w:cs="ArialMT"/>
        </w:rPr>
        <w:t xml:space="preserve">, </w:t>
      </w:r>
      <w:r w:rsidR="00F379D0">
        <w:rPr>
          <w:rFonts w:ascii="Arial Narrow" w:hAnsi="Arial Narrow" w:cs="ArialMT"/>
        </w:rPr>
        <w:t xml:space="preserve">se mantienen vigentes en las partes </w:t>
      </w:r>
      <w:r w:rsidR="004E44B8">
        <w:rPr>
          <w:rFonts w:ascii="Arial Narrow" w:hAnsi="Arial Narrow" w:cs="ArialMT"/>
        </w:rPr>
        <w:t>q</w:t>
      </w:r>
      <w:r w:rsidR="00C01AAC" w:rsidRPr="00C01AAC">
        <w:rPr>
          <w:rFonts w:ascii="Arial Narrow" w:hAnsi="Arial Narrow" w:cs="ArialMT"/>
        </w:rPr>
        <w:t xml:space="preserve">ue </w:t>
      </w:r>
      <w:r w:rsidR="000F67BC">
        <w:rPr>
          <w:rFonts w:ascii="Arial Narrow" w:hAnsi="Arial Narrow" w:cs="ArialMT"/>
        </w:rPr>
        <w:t xml:space="preserve">no </w:t>
      </w:r>
      <w:r w:rsidR="00C13C95">
        <w:rPr>
          <w:rFonts w:ascii="Arial Narrow" w:hAnsi="Arial Narrow" w:cs="ArialMT"/>
        </w:rPr>
        <w:t xml:space="preserve">le </w:t>
      </w:r>
      <w:r w:rsidR="00C01AAC" w:rsidRPr="00C01AAC">
        <w:rPr>
          <w:rFonts w:ascii="Arial Narrow" w:hAnsi="Arial Narrow" w:cs="ArialMT"/>
        </w:rPr>
        <w:t>sean contrarias</w:t>
      </w:r>
      <w:r w:rsidR="00C13C95">
        <w:rPr>
          <w:rFonts w:ascii="Arial Narrow" w:hAnsi="Arial Narrow" w:cs="ArialMT"/>
        </w:rPr>
        <w:t xml:space="preserve"> al presente Decreto</w:t>
      </w:r>
      <w:r w:rsidR="000F67BC">
        <w:rPr>
          <w:rFonts w:ascii="Arial Narrow" w:hAnsi="Arial Narrow" w:cs="ArialMT"/>
        </w:rPr>
        <w:t>.</w:t>
      </w:r>
    </w:p>
    <w:p w14:paraId="51CF62F1" w14:textId="77777777" w:rsidR="0063699D" w:rsidRPr="00F0291C" w:rsidRDefault="0063699D" w:rsidP="00C12B56">
      <w:pPr>
        <w:autoSpaceDE w:val="0"/>
        <w:autoSpaceDN w:val="0"/>
        <w:adjustRightInd w:val="0"/>
        <w:spacing w:after="0" w:line="240" w:lineRule="auto"/>
        <w:rPr>
          <w:rFonts w:ascii="Arial Narrow" w:hAnsi="Arial Narrow" w:cs="Arial-BoldMT"/>
          <w:b/>
          <w:bCs/>
        </w:rPr>
      </w:pPr>
    </w:p>
    <w:p w14:paraId="3F3CC2B3" w14:textId="77777777" w:rsidR="00886E52" w:rsidRPr="00F0291C" w:rsidRDefault="00886E52" w:rsidP="00E518F1">
      <w:pPr>
        <w:autoSpaceDE w:val="0"/>
        <w:autoSpaceDN w:val="0"/>
        <w:adjustRightInd w:val="0"/>
        <w:spacing w:after="0" w:line="240" w:lineRule="auto"/>
        <w:jc w:val="center"/>
        <w:rPr>
          <w:rFonts w:ascii="Arial Narrow" w:hAnsi="Arial Narrow" w:cs="Arial-BoldMT"/>
          <w:b/>
          <w:bCs/>
        </w:rPr>
      </w:pPr>
    </w:p>
    <w:p w14:paraId="60025181" w14:textId="77777777" w:rsidR="00C12B56" w:rsidRDefault="00C12B56" w:rsidP="00C12B56">
      <w:pPr>
        <w:pStyle w:val="Ttulo1"/>
        <w:jc w:val="center"/>
        <w:rPr>
          <w:rFonts w:ascii="Arial Narrow" w:eastAsiaTheme="minorHAnsi" w:hAnsi="Arial Narrow" w:cstheme="minorBidi"/>
          <w:b/>
          <w:bCs/>
          <w:sz w:val="22"/>
          <w:szCs w:val="22"/>
          <w:lang w:val="es-CO" w:eastAsia="en-US"/>
        </w:rPr>
      </w:pPr>
      <w:r w:rsidRPr="00657634">
        <w:rPr>
          <w:rFonts w:ascii="Arial Narrow" w:eastAsiaTheme="minorHAnsi" w:hAnsi="Arial Narrow" w:cstheme="minorBidi"/>
          <w:b/>
          <w:bCs/>
          <w:sz w:val="22"/>
          <w:szCs w:val="22"/>
          <w:lang w:val="es-CO" w:eastAsia="en-US"/>
        </w:rPr>
        <w:t>PÚBLIQUESE Y CÚMPLASE</w:t>
      </w:r>
    </w:p>
    <w:p w14:paraId="0E8DE6EA" w14:textId="77777777" w:rsidR="00773CF6" w:rsidRPr="00773CF6" w:rsidRDefault="00773CF6" w:rsidP="00773CF6"/>
    <w:p w14:paraId="53FD9DA6" w14:textId="77777777" w:rsidR="00C12B56" w:rsidRPr="00657634" w:rsidRDefault="00C12B56" w:rsidP="00C12B56">
      <w:pPr>
        <w:autoSpaceDE w:val="0"/>
        <w:autoSpaceDN w:val="0"/>
        <w:adjustRightInd w:val="0"/>
        <w:spacing w:after="0" w:line="240" w:lineRule="auto"/>
        <w:jc w:val="center"/>
        <w:rPr>
          <w:rFonts w:ascii="Arial Narrow" w:hAnsi="Arial Narrow" w:cs="Arial-BoldMT"/>
          <w:b/>
          <w:bCs/>
        </w:rPr>
      </w:pPr>
    </w:p>
    <w:p w14:paraId="4395D6B3" w14:textId="15757BFE" w:rsidR="00C12B56" w:rsidRPr="00657634" w:rsidRDefault="00C12B56" w:rsidP="00C12B56">
      <w:pPr>
        <w:spacing w:after="0" w:line="240" w:lineRule="auto"/>
        <w:jc w:val="both"/>
        <w:rPr>
          <w:rFonts w:ascii="Arial Narrow" w:hAnsi="Arial Narrow"/>
          <w:b/>
          <w:bCs/>
        </w:rPr>
      </w:pPr>
      <w:r w:rsidRPr="00657634">
        <w:rPr>
          <w:rFonts w:ascii="Arial Narrow" w:hAnsi="Arial Narrow"/>
          <w:b/>
          <w:bCs/>
        </w:rPr>
        <w:t>PRESIDENTE,</w:t>
      </w:r>
      <w:r w:rsidR="00CB2FA5">
        <w:rPr>
          <w:rFonts w:ascii="Arial Narrow" w:hAnsi="Arial Narrow"/>
          <w:b/>
          <w:bCs/>
        </w:rPr>
        <w:tab/>
      </w:r>
      <w:r w:rsidR="00CB2FA5">
        <w:rPr>
          <w:rFonts w:ascii="Arial Narrow" w:hAnsi="Arial Narrow"/>
          <w:b/>
          <w:bCs/>
        </w:rPr>
        <w:tab/>
      </w:r>
      <w:r w:rsidR="00CB2FA5">
        <w:rPr>
          <w:rFonts w:ascii="Arial Narrow" w:hAnsi="Arial Narrow"/>
          <w:b/>
          <w:bCs/>
        </w:rPr>
        <w:tab/>
      </w:r>
      <w:r w:rsidR="00CB2FA5">
        <w:rPr>
          <w:rFonts w:ascii="Arial Narrow" w:hAnsi="Arial Narrow"/>
          <w:b/>
          <w:bCs/>
        </w:rPr>
        <w:tab/>
      </w:r>
      <w:r w:rsidR="00CB2FA5">
        <w:rPr>
          <w:rFonts w:ascii="Arial Narrow" w:hAnsi="Arial Narrow"/>
          <w:b/>
          <w:bCs/>
        </w:rPr>
        <w:tab/>
      </w:r>
      <w:r w:rsidRPr="00657634">
        <w:rPr>
          <w:rFonts w:ascii="Arial Narrow" w:hAnsi="Arial Narrow"/>
          <w:b/>
          <w:bCs/>
        </w:rPr>
        <w:t>FEDERICO GUTIÉRREZ ZULUAGA</w:t>
      </w:r>
    </w:p>
    <w:p w14:paraId="665A725B" w14:textId="77777777" w:rsidR="00C12B56" w:rsidRPr="00657634" w:rsidRDefault="00C12B56" w:rsidP="00C12B56">
      <w:pPr>
        <w:spacing w:after="0" w:line="240" w:lineRule="auto"/>
        <w:jc w:val="both"/>
        <w:rPr>
          <w:rFonts w:ascii="Arial Narrow" w:hAnsi="Arial Narrow"/>
          <w:b/>
          <w:bCs/>
        </w:rPr>
      </w:pPr>
    </w:p>
    <w:p w14:paraId="36E20B63" w14:textId="77777777" w:rsidR="00C12B56" w:rsidRPr="00657634" w:rsidRDefault="00C12B56" w:rsidP="00C12B56">
      <w:pPr>
        <w:spacing w:after="0" w:line="240" w:lineRule="auto"/>
        <w:jc w:val="both"/>
        <w:rPr>
          <w:rFonts w:ascii="Arial Narrow" w:hAnsi="Arial Narrow"/>
          <w:b/>
          <w:bCs/>
        </w:rPr>
      </w:pPr>
    </w:p>
    <w:p w14:paraId="18DBB83F" w14:textId="2420FFBB" w:rsidR="00C12B56" w:rsidRPr="00657634" w:rsidRDefault="00C12B56" w:rsidP="00C12B56">
      <w:pPr>
        <w:spacing w:after="0" w:line="240" w:lineRule="auto"/>
        <w:jc w:val="both"/>
        <w:rPr>
          <w:rFonts w:ascii="Arial Narrow" w:hAnsi="Arial Narrow"/>
          <w:b/>
          <w:bCs/>
        </w:rPr>
      </w:pPr>
      <w:r w:rsidRPr="00657634">
        <w:rPr>
          <w:rFonts w:ascii="Arial Narrow" w:hAnsi="Arial Narrow"/>
          <w:b/>
          <w:bCs/>
        </w:rPr>
        <w:t>SECRETARIO</w:t>
      </w:r>
      <w:r w:rsidRPr="00657634">
        <w:rPr>
          <w:rFonts w:ascii="Arial Narrow" w:hAnsi="Arial Narrow"/>
          <w:b/>
          <w:bCs/>
        </w:rPr>
        <w:tab/>
      </w:r>
      <w:r w:rsidRPr="00657634">
        <w:rPr>
          <w:rFonts w:ascii="Arial Narrow" w:hAnsi="Arial Narrow"/>
          <w:b/>
          <w:bCs/>
        </w:rPr>
        <w:tab/>
      </w:r>
      <w:r w:rsidRPr="00657634">
        <w:rPr>
          <w:rFonts w:ascii="Arial Narrow" w:hAnsi="Arial Narrow"/>
          <w:b/>
          <w:bCs/>
        </w:rPr>
        <w:tab/>
      </w:r>
      <w:r w:rsidRPr="00657634">
        <w:rPr>
          <w:rFonts w:ascii="Arial Narrow" w:hAnsi="Arial Narrow"/>
          <w:b/>
          <w:bCs/>
        </w:rPr>
        <w:tab/>
        <w:t xml:space="preserve">       </w:t>
      </w:r>
      <w:r w:rsidR="00CB2FA5">
        <w:rPr>
          <w:rFonts w:ascii="Arial Narrow" w:hAnsi="Arial Narrow"/>
          <w:b/>
          <w:bCs/>
        </w:rPr>
        <w:tab/>
      </w:r>
      <w:r w:rsidR="00F9633C" w:rsidRPr="003E38B9">
        <w:rPr>
          <w:rFonts w:ascii="Arial Narrow" w:hAnsi="Arial Narrow"/>
          <w:b/>
          <w:bCs/>
        </w:rPr>
        <w:t>CARLOS ALEJANDRO DUQUE RESTREPO</w:t>
      </w:r>
    </w:p>
    <w:p w14:paraId="40381637" w14:textId="77777777" w:rsidR="00C12B56" w:rsidRPr="00657634" w:rsidRDefault="00C12B56" w:rsidP="00C12B56">
      <w:pPr>
        <w:spacing w:after="0" w:line="240" w:lineRule="auto"/>
        <w:jc w:val="both"/>
        <w:rPr>
          <w:rFonts w:ascii="Arial Narrow" w:hAnsi="Arial Narrow"/>
          <w:b/>
          <w:bCs/>
        </w:rPr>
      </w:pPr>
    </w:p>
    <w:p w14:paraId="42B900D7" w14:textId="77777777" w:rsidR="00C12B56" w:rsidRPr="00657634" w:rsidRDefault="00C12B56" w:rsidP="00C12B56">
      <w:pPr>
        <w:spacing w:after="0" w:line="240" w:lineRule="auto"/>
        <w:jc w:val="both"/>
        <w:rPr>
          <w:rFonts w:ascii="Arial Narrow" w:hAnsi="Arial Narrow"/>
          <w:b/>
          <w:bCs/>
        </w:rPr>
      </w:pPr>
    </w:p>
    <w:p w14:paraId="4E620F2C" w14:textId="6090364C" w:rsidR="00C12B56" w:rsidRPr="00657634" w:rsidRDefault="00C12B56" w:rsidP="006A343B">
      <w:pPr>
        <w:spacing w:after="0" w:line="240" w:lineRule="auto"/>
        <w:ind w:left="-284"/>
        <w:jc w:val="both"/>
        <w:rPr>
          <w:rFonts w:ascii="Arial Narrow" w:hAnsi="Arial Narrow"/>
          <w:b/>
          <w:bCs/>
        </w:rPr>
      </w:pPr>
      <w:r w:rsidRPr="00657634">
        <w:rPr>
          <w:rFonts w:ascii="Arial Narrow" w:hAnsi="Arial Narrow"/>
          <w:b/>
          <w:bCs/>
        </w:rPr>
        <w:t>Proyectó: Diana Catalina Gutiérrez Chaverra</w:t>
      </w:r>
      <w:r w:rsidRPr="00657634">
        <w:rPr>
          <w:rFonts w:ascii="Arial Narrow" w:hAnsi="Arial Narrow"/>
          <w:b/>
          <w:bCs/>
        </w:rPr>
        <w:tab/>
        <w:t xml:space="preserve">       </w:t>
      </w:r>
      <w:r w:rsidR="00A83461">
        <w:rPr>
          <w:rFonts w:ascii="Arial Narrow" w:hAnsi="Arial Narrow"/>
          <w:b/>
          <w:bCs/>
        </w:rPr>
        <w:tab/>
      </w:r>
      <w:r w:rsidRPr="00657634">
        <w:rPr>
          <w:rFonts w:ascii="Arial Narrow" w:hAnsi="Arial Narrow"/>
          <w:b/>
          <w:bCs/>
        </w:rPr>
        <w:t xml:space="preserve"> </w:t>
      </w:r>
      <w:r w:rsidR="005906A6">
        <w:rPr>
          <w:rFonts w:ascii="Arial Narrow" w:hAnsi="Arial Narrow"/>
          <w:b/>
          <w:bCs/>
        </w:rPr>
        <w:tab/>
      </w:r>
      <w:r w:rsidRPr="00657634">
        <w:rPr>
          <w:rFonts w:ascii="Arial Narrow" w:hAnsi="Arial Narrow"/>
          <w:b/>
          <w:bCs/>
        </w:rPr>
        <w:t xml:space="preserve">Revisó: </w:t>
      </w:r>
      <w:r w:rsidR="00BE0C7B">
        <w:rPr>
          <w:rFonts w:ascii="Arial Narrow" w:hAnsi="Arial Narrow"/>
          <w:b/>
          <w:bCs/>
        </w:rPr>
        <w:t>Mar</w:t>
      </w:r>
      <w:r w:rsidR="00BB7BB8">
        <w:rPr>
          <w:rFonts w:ascii="Arial Narrow" w:hAnsi="Arial Narrow"/>
          <w:b/>
          <w:bCs/>
        </w:rPr>
        <w:t>í</w:t>
      </w:r>
      <w:r w:rsidR="00BE0C7B">
        <w:rPr>
          <w:rFonts w:ascii="Arial Narrow" w:hAnsi="Arial Narrow"/>
          <w:b/>
          <w:bCs/>
        </w:rPr>
        <w:t>a Isabel Correa Vargas</w:t>
      </w:r>
    </w:p>
    <w:p w14:paraId="22ECE760" w14:textId="23626ACA" w:rsidR="00C12B56" w:rsidRPr="00657634" w:rsidRDefault="00C12B56" w:rsidP="006A343B">
      <w:pPr>
        <w:spacing w:after="0" w:line="240" w:lineRule="auto"/>
        <w:ind w:left="-284"/>
        <w:jc w:val="both"/>
        <w:rPr>
          <w:rFonts w:ascii="Arial Narrow" w:hAnsi="Arial Narrow"/>
          <w:b/>
          <w:bCs/>
        </w:rPr>
      </w:pPr>
      <w:r w:rsidRPr="00657634">
        <w:rPr>
          <w:rFonts w:ascii="Arial Narrow" w:hAnsi="Arial Narrow"/>
          <w:b/>
          <w:bCs/>
        </w:rPr>
        <w:t xml:space="preserve">Directora </w:t>
      </w:r>
      <w:r w:rsidR="00A83461">
        <w:rPr>
          <w:rFonts w:ascii="Arial Narrow" w:hAnsi="Arial Narrow"/>
          <w:b/>
          <w:bCs/>
        </w:rPr>
        <w:t xml:space="preserve">Corporativa </w:t>
      </w:r>
      <w:r w:rsidRPr="00657634">
        <w:rPr>
          <w:rFonts w:ascii="Arial Narrow" w:hAnsi="Arial Narrow"/>
          <w:b/>
          <w:bCs/>
        </w:rPr>
        <w:t>Regulación Agua y Saneamiento</w:t>
      </w:r>
      <w:r w:rsidRPr="00657634">
        <w:rPr>
          <w:rFonts w:ascii="Arial Narrow" w:hAnsi="Arial Narrow"/>
          <w:b/>
          <w:bCs/>
        </w:rPr>
        <w:tab/>
      </w:r>
      <w:proofErr w:type="gramStart"/>
      <w:r w:rsidR="00BE0C7B">
        <w:rPr>
          <w:rFonts w:ascii="Arial Narrow" w:hAnsi="Arial Narrow"/>
          <w:b/>
          <w:bCs/>
        </w:rPr>
        <w:t>Jefe</w:t>
      </w:r>
      <w:proofErr w:type="gramEnd"/>
      <w:r w:rsidR="00BE0C7B">
        <w:rPr>
          <w:rFonts w:ascii="Arial Narrow" w:hAnsi="Arial Narrow"/>
          <w:b/>
          <w:bCs/>
        </w:rPr>
        <w:t xml:space="preserve"> Área Jurídica Negocios</w:t>
      </w:r>
    </w:p>
    <w:p w14:paraId="7574FFED" w14:textId="77777777" w:rsidR="00C12B56" w:rsidRPr="00657634" w:rsidRDefault="00C12B56" w:rsidP="006A343B">
      <w:pPr>
        <w:spacing w:after="0" w:line="240" w:lineRule="auto"/>
        <w:ind w:left="-284"/>
        <w:jc w:val="both"/>
        <w:rPr>
          <w:rFonts w:ascii="Arial Narrow" w:hAnsi="Arial Narrow"/>
          <w:b/>
          <w:bCs/>
        </w:rPr>
      </w:pPr>
    </w:p>
    <w:p w14:paraId="248B0DD4" w14:textId="77777777" w:rsidR="00C12B56" w:rsidRDefault="00C12B56" w:rsidP="006A343B">
      <w:pPr>
        <w:spacing w:after="0" w:line="240" w:lineRule="auto"/>
        <w:ind w:left="-284"/>
        <w:jc w:val="both"/>
        <w:rPr>
          <w:rFonts w:ascii="Arial Narrow" w:hAnsi="Arial Narrow"/>
          <w:b/>
          <w:bCs/>
        </w:rPr>
      </w:pPr>
    </w:p>
    <w:p w14:paraId="059E32B2" w14:textId="11A7972F" w:rsidR="00C12B56" w:rsidRPr="001435BE" w:rsidRDefault="00C12B56" w:rsidP="006A343B">
      <w:pPr>
        <w:pStyle w:val="Textoindependiente"/>
        <w:ind w:left="-284"/>
        <w:rPr>
          <w:rFonts w:ascii="Arial Narrow" w:eastAsiaTheme="minorHAnsi" w:hAnsi="Arial Narrow" w:cstheme="minorBidi"/>
          <w:b/>
          <w:bCs/>
          <w:sz w:val="22"/>
          <w:szCs w:val="22"/>
          <w:lang w:val="es-CO"/>
        </w:rPr>
      </w:pPr>
      <w:proofErr w:type="spellStart"/>
      <w:r w:rsidRPr="001435BE">
        <w:rPr>
          <w:rFonts w:ascii="Arial Narrow" w:eastAsiaTheme="minorHAnsi" w:hAnsi="Arial Narrow" w:cstheme="minorBidi"/>
          <w:b/>
          <w:bCs/>
          <w:sz w:val="22"/>
          <w:szCs w:val="22"/>
          <w:lang w:val="es-CO"/>
        </w:rPr>
        <w:t>V°B°</w:t>
      </w:r>
      <w:proofErr w:type="spellEnd"/>
      <w:r w:rsidRPr="001435BE">
        <w:rPr>
          <w:rFonts w:ascii="Arial Narrow" w:eastAsiaTheme="minorHAnsi" w:hAnsi="Arial Narrow" w:cstheme="minorBidi"/>
          <w:b/>
          <w:bCs/>
          <w:sz w:val="22"/>
          <w:szCs w:val="22"/>
          <w:lang w:val="es-CO"/>
        </w:rPr>
        <w:t>: Santiago Ochoa Posada</w:t>
      </w:r>
      <w:r w:rsidRPr="001435BE">
        <w:rPr>
          <w:rFonts w:ascii="Arial Narrow" w:eastAsiaTheme="minorHAnsi" w:hAnsi="Arial Narrow" w:cstheme="minorBidi"/>
          <w:b/>
          <w:bCs/>
          <w:sz w:val="22"/>
          <w:szCs w:val="22"/>
          <w:lang w:val="es-CO"/>
        </w:rPr>
        <w:tab/>
        <w:t xml:space="preserve"> </w:t>
      </w:r>
      <w:r w:rsidRPr="001435BE">
        <w:rPr>
          <w:rFonts w:ascii="Arial Narrow" w:eastAsiaTheme="minorHAnsi" w:hAnsi="Arial Narrow" w:cstheme="minorBidi"/>
          <w:b/>
          <w:bCs/>
          <w:sz w:val="22"/>
          <w:szCs w:val="22"/>
          <w:lang w:val="es-CO"/>
        </w:rPr>
        <w:tab/>
      </w:r>
      <w:r w:rsidRPr="001435BE">
        <w:rPr>
          <w:rFonts w:ascii="Arial Narrow" w:eastAsiaTheme="minorHAnsi" w:hAnsi="Arial Narrow" w:cstheme="minorBidi"/>
          <w:b/>
          <w:bCs/>
          <w:sz w:val="22"/>
          <w:szCs w:val="22"/>
          <w:lang w:val="es-CO"/>
        </w:rPr>
        <w:tab/>
        <w:t xml:space="preserve">        </w:t>
      </w:r>
      <w:r w:rsidR="005E1EFF" w:rsidRPr="001435BE">
        <w:rPr>
          <w:rFonts w:ascii="Arial Narrow" w:eastAsiaTheme="minorHAnsi" w:hAnsi="Arial Narrow" w:cstheme="minorBidi"/>
          <w:b/>
          <w:bCs/>
          <w:sz w:val="22"/>
          <w:szCs w:val="22"/>
          <w:lang w:val="es-CO"/>
        </w:rPr>
        <w:t xml:space="preserve">       </w:t>
      </w:r>
      <w:proofErr w:type="spellStart"/>
      <w:r w:rsidRPr="001435BE">
        <w:rPr>
          <w:rFonts w:ascii="Arial Narrow" w:eastAsiaTheme="minorHAnsi" w:hAnsi="Arial Narrow" w:cstheme="minorBidi"/>
          <w:b/>
          <w:bCs/>
          <w:sz w:val="22"/>
          <w:szCs w:val="22"/>
          <w:lang w:val="es-CO"/>
        </w:rPr>
        <w:t>V°B°</w:t>
      </w:r>
      <w:proofErr w:type="spellEnd"/>
      <w:r w:rsidRPr="001435BE">
        <w:rPr>
          <w:rFonts w:ascii="Arial Narrow" w:eastAsiaTheme="minorHAnsi" w:hAnsi="Arial Narrow" w:cstheme="minorBidi"/>
          <w:b/>
          <w:bCs/>
          <w:sz w:val="22"/>
          <w:szCs w:val="22"/>
          <w:lang w:val="es-CO"/>
        </w:rPr>
        <w:t xml:space="preserve">: </w:t>
      </w:r>
      <w:r w:rsidR="001435BE" w:rsidRPr="001435BE">
        <w:rPr>
          <w:rFonts w:ascii="Arial Narrow" w:eastAsiaTheme="minorHAnsi" w:hAnsi="Arial Narrow" w:cstheme="minorBidi"/>
          <w:b/>
          <w:bCs/>
          <w:sz w:val="22"/>
          <w:szCs w:val="22"/>
          <w:lang w:val="es-CO"/>
        </w:rPr>
        <w:t>Humberto José I</w:t>
      </w:r>
      <w:r w:rsidR="001435BE" w:rsidRPr="006A343B">
        <w:rPr>
          <w:rFonts w:ascii="Arial Narrow" w:eastAsiaTheme="minorHAnsi" w:hAnsi="Arial Narrow" w:cstheme="minorBidi"/>
          <w:b/>
          <w:bCs/>
          <w:sz w:val="22"/>
          <w:szCs w:val="22"/>
          <w:lang w:val="es-CO"/>
        </w:rPr>
        <w:t>glesi</w:t>
      </w:r>
      <w:r w:rsidR="001435BE">
        <w:rPr>
          <w:rFonts w:ascii="Arial Narrow" w:eastAsiaTheme="minorHAnsi" w:hAnsi="Arial Narrow" w:cstheme="minorBidi"/>
          <w:b/>
          <w:bCs/>
          <w:sz w:val="22"/>
          <w:szCs w:val="22"/>
          <w:lang w:val="es-CO"/>
        </w:rPr>
        <w:t xml:space="preserve">as </w:t>
      </w:r>
      <w:r w:rsidR="00E619DB">
        <w:rPr>
          <w:rFonts w:ascii="Arial Narrow" w:eastAsiaTheme="minorHAnsi" w:hAnsi="Arial Narrow" w:cstheme="minorBidi"/>
          <w:b/>
          <w:bCs/>
          <w:sz w:val="22"/>
          <w:szCs w:val="22"/>
          <w:lang w:val="es-CO"/>
        </w:rPr>
        <w:t>Gómez</w:t>
      </w:r>
    </w:p>
    <w:p w14:paraId="210B7E61" w14:textId="78290D62" w:rsidR="00C12B56" w:rsidRPr="00657634" w:rsidRDefault="00C12B56" w:rsidP="006A343B">
      <w:pPr>
        <w:pStyle w:val="Textoindependiente"/>
        <w:ind w:left="-284"/>
        <w:rPr>
          <w:rFonts w:ascii="Arial Narrow" w:eastAsiaTheme="minorHAnsi" w:hAnsi="Arial Narrow" w:cstheme="minorBidi"/>
          <w:b/>
          <w:bCs/>
          <w:sz w:val="22"/>
          <w:szCs w:val="22"/>
          <w:lang w:val="es-CO"/>
        </w:rPr>
      </w:pPr>
      <w:r w:rsidRPr="00657634">
        <w:rPr>
          <w:rFonts w:ascii="Arial Narrow" w:eastAsiaTheme="minorHAnsi" w:hAnsi="Arial Narrow" w:cstheme="minorBidi"/>
          <w:b/>
          <w:bCs/>
          <w:sz w:val="22"/>
          <w:szCs w:val="22"/>
          <w:lang w:val="es-CO"/>
        </w:rPr>
        <w:t>Vicepresident</w:t>
      </w:r>
      <w:r w:rsidR="00BE0C7B">
        <w:rPr>
          <w:rFonts w:ascii="Arial Narrow" w:eastAsiaTheme="minorHAnsi" w:hAnsi="Arial Narrow" w:cstheme="minorBidi"/>
          <w:b/>
          <w:bCs/>
          <w:sz w:val="22"/>
          <w:szCs w:val="22"/>
          <w:lang w:val="es-CO"/>
        </w:rPr>
        <w:t xml:space="preserve">e </w:t>
      </w:r>
      <w:r w:rsidR="00EA72D5">
        <w:rPr>
          <w:rFonts w:ascii="Arial Narrow" w:eastAsiaTheme="minorHAnsi" w:hAnsi="Arial Narrow" w:cstheme="minorBidi"/>
          <w:b/>
          <w:bCs/>
          <w:sz w:val="22"/>
          <w:szCs w:val="22"/>
          <w:lang w:val="es-CO"/>
        </w:rPr>
        <w:t>Corporativo Negocios</w:t>
      </w:r>
      <w:r w:rsidRPr="00657634">
        <w:rPr>
          <w:rFonts w:ascii="Arial Narrow" w:eastAsiaTheme="minorHAnsi" w:hAnsi="Arial Narrow" w:cstheme="minorBidi"/>
          <w:b/>
          <w:bCs/>
          <w:sz w:val="22"/>
          <w:szCs w:val="22"/>
          <w:lang w:val="es-CO"/>
        </w:rPr>
        <w:t xml:space="preserve"> </w:t>
      </w:r>
      <w:r>
        <w:rPr>
          <w:rFonts w:ascii="Arial Narrow" w:eastAsiaTheme="minorHAnsi" w:hAnsi="Arial Narrow" w:cstheme="minorBidi"/>
          <w:b/>
          <w:bCs/>
          <w:sz w:val="22"/>
          <w:szCs w:val="22"/>
          <w:lang w:val="es-CO"/>
        </w:rPr>
        <w:t xml:space="preserve">Agua y Saneamiento      </w:t>
      </w:r>
      <w:proofErr w:type="gramStart"/>
      <w:r w:rsidRPr="00657634">
        <w:rPr>
          <w:rFonts w:ascii="Arial Narrow" w:eastAsiaTheme="minorHAnsi" w:hAnsi="Arial Narrow" w:cstheme="minorBidi"/>
          <w:b/>
          <w:bCs/>
          <w:sz w:val="22"/>
          <w:szCs w:val="22"/>
          <w:lang w:val="es-CO"/>
        </w:rPr>
        <w:t>Vicepresident</w:t>
      </w:r>
      <w:r w:rsidR="00E619DB">
        <w:rPr>
          <w:rFonts w:ascii="Arial Narrow" w:eastAsiaTheme="minorHAnsi" w:hAnsi="Arial Narrow" w:cstheme="minorBidi"/>
          <w:b/>
          <w:bCs/>
          <w:sz w:val="22"/>
          <w:szCs w:val="22"/>
          <w:lang w:val="es-CO"/>
        </w:rPr>
        <w:t>e</w:t>
      </w:r>
      <w:proofErr w:type="gramEnd"/>
      <w:r w:rsidRPr="00657634">
        <w:rPr>
          <w:rFonts w:ascii="Arial Narrow" w:eastAsiaTheme="minorHAnsi" w:hAnsi="Arial Narrow" w:cstheme="minorBidi"/>
          <w:b/>
          <w:bCs/>
          <w:sz w:val="22"/>
          <w:szCs w:val="22"/>
          <w:lang w:val="es-CO"/>
        </w:rPr>
        <w:t xml:space="preserve"> Negocios </w:t>
      </w:r>
      <w:r w:rsidR="00E619DB">
        <w:rPr>
          <w:rFonts w:ascii="Arial Narrow" w:eastAsiaTheme="minorHAnsi" w:hAnsi="Arial Narrow" w:cstheme="minorBidi"/>
          <w:b/>
          <w:bCs/>
          <w:sz w:val="22"/>
          <w:szCs w:val="22"/>
          <w:lang w:val="es-CO"/>
        </w:rPr>
        <w:t>EPM</w:t>
      </w:r>
    </w:p>
    <w:p w14:paraId="3970BFF5" w14:textId="77777777" w:rsidR="005110D4" w:rsidRPr="00F0291C" w:rsidRDefault="005110D4" w:rsidP="006A343B">
      <w:pPr>
        <w:spacing w:after="0" w:line="240" w:lineRule="auto"/>
        <w:ind w:left="-284"/>
      </w:pPr>
    </w:p>
    <w:sectPr w:rsidR="005110D4" w:rsidRPr="00F0291C" w:rsidSect="00074D04">
      <w:headerReference w:type="default" r:id="rId11"/>
      <w:footerReference w:type="default" r:id="rId12"/>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6444A" w14:textId="77777777" w:rsidR="003751B9" w:rsidRDefault="003751B9" w:rsidP="002F0033">
      <w:pPr>
        <w:spacing w:after="0" w:line="240" w:lineRule="auto"/>
      </w:pPr>
      <w:r>
        <w:separator/>
      </w:r>
    </w:p>
  </w:endnote>
  <w:endnote w:type="continuationSeparator" w:id="0">
    <w:p w14:paraId="3F7A1AA1" w14:textId="77777777" w:rsidR="003751B9" w:rsidRDefault="003751B9" w:rsidP="002F0033">
      <w:pPr>
        <w:spacing w:after="0" w:line="240" w:lineRule="auto"/>
      </w:pPr>
      <w:r>
        <w:continuationSeparator/>
      </w:r>
    </w:p>
  </w:endnote>
  <w:endnote w:type="continuationNotice" w:id="1">
    <w:p w14:paraId="54813D89" w14:textId="77777777" w:rsidR="003751B9" w:rsidRDefault="003751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5BA5A" w14:textId="77777777" w:rsidR="002F0033" w:rsidRDefault="004E0BDE">
    <w:pPr>
      <w:pStyle w:val="Piedepgina"/>
    </w:pPr>
    <w:r>
      <w:rPr>
        <w:noProof/>
        <w:lang w:eastAsia="es-CO"/>
      </w:rPr>
      <w:drawing>
        <wp:anchor distT="0" distB="0" distL="114300" distR="114300" simplePos="0" relativeHeight="251658242" behindDoc="1" locked="0" layoutInCell="1" allowOverlap="1" wp14:anchorId="6C417D8B" wp14:editId="07777777">
          <wp:simplePos x="0" y="0"/>
          <wp:positionH relativeFrom="column">
            <wp:posOffset>4749165</wp:posOffset>
          </wp:positionH>
          <wp:positionV relativeFrom="paragraph">
            <wp:posOffset>-476885</wp:posOffset>
          </wp:positionV>
          <wp:extent cx="1447800" cy="777240"/>
          <wp:effectExtent l="0" t="0" r="0" b="0"/>
          <wp:wrapTight wrapText="bothSides">
            <wp:wrapPolygon edited="0">
              <wp:start x="0" y="0"/>
              <wp:lineTo x="0" y="21176"/>
              <wp:lineTo x="21316" y="21176"/>
              <wp:lineTo x="21316"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800" cy="7772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D58B9" w14:textId="77777777" w:rsidR="003751B9" w:rsidRDefault="003751B9" w:rsidP="002F0033">
      <w:pPr>
        <w:spacing w:after="0" w:line="240" w:lineRule="auto"/>
      </w:pPr>
      <w:r>
        <w:separator/>
      </w:r>
    </w:p>
  </w:footnote>
  <w:footnote w:type="continuationSeparator" w:id="0">
    <w:p w14:paraId="4E0D7D7A" w14:textId="77777777" w:rsidR="003751B9" w:rsidRDefault="003751B9" w:rsidP="002F0033">
      <w:pPr>
        <w:spacing w:after="0" w:line="240" w:lineRule="auto"/>
      </w:pPr>
      <w:r>
        <w:continuationSeparator/>
      </w:r>
    </w:p>
  </w:footnote>
  <w:footnote w:type="continuationNotice" w:id="1">
    <w:p w14:paraId="1406C450" w14:textId="77777777" w:rsidR="003751B9" w:rsidRDefault="003751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1003" w14:textId="77777777" w:rsidR="002F0033" w:rsidRDefault="002F0033">
    <w:pPr>
      <w:pStyle w:val="Encabezado"/>
    </w:pPr>
    <w:r>
      <w:rPr>
        <w:noProof/>
        <w:lang w:eastAsia="es-CO"/>
      </w:rPr>
      <w:drawing>
        <wp:anchor distT="0" distB="0" distL="114300" distR="114300" simplePos="0" relativeHeight="251658240" behindDoc="0" locked="0" layoutInCell="1" allowOverlap="1" wp14:anchorId="7D945E1A" wp14:editId="07777777">
          <wp:simplePos x="0" y="0"/>
          <wp:positionH relativeFrom="column">
            <wp:posOffset>5023485</wp:posOffset>
          </wp:positionH>
          <wp:positionV relativeFrom="paragraph">
            <wp:posOffset>-90805</wp:posOffset>
          </wp:positionV>
          <wp:extent cx="1167130" cy="587375"/>
          <wp:effectExtent l="19050" t="0" r="0" b="0"/>
          <wp:wrapThrough wrapText="bothSides">
            <wp:wrapPolygon edited="0">
              <wp:start x="-353" y="0"/>
              <wp:lineTo x="-353" y="21016"/>
              <wp:lineTo x="21506" y="21016"/>
              <wp:lineTo x="21506" y="0"/>
              <wp:lineTo x="-353" y="0"/>
            </wp:wrapPolygon>
          </wp:wrapThrough>
          <wp:docPr id="1" name="0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167130" cy="587375"/>
                  </a:xfrm>
                  <a:prstGeom prst="rect">
                    <a:avLst/>
                  </a:prstGeom>
                </pic:spPr>
              </pic:pic>
            </a:graphicData>
          </a:graphic>
        </wp:anchor>
      </w:drawing>
    </w:r>
    <w:r>
      <w:rPr>
        <w:noProof/>
        <w:lang w:eastAsia="es-CO"/>
      </w:rPr>
      <w:drawing>
        <wp:anchor distT="0" distB="0" distL="114300" distR="114300" simplePos="0" relativeHeight="251658241" behindDoc="0" locked="0" layoutInCell="1" allowOverlap="1" wp14:anchorId="17FD1BC5" wp14:editId="07777777">
          <wp:simplePos x="0" y="0"/>
          <wp:positionH relativeFrom="column">
            <wp:posOffset>-1072515</wp:posOffset>
          </wp:positionH>
          <wp:positionV relativeFrom="paragraph">
            <wp:posOffset>3447415</wp:posOffset>
          </wp:positionV>
          <wp:extent cx="231140" cy="2601595"/>
          <wp:effectExtent l="19050" t="0" r="0" b="0"/>
          <wp:wrapThrough wrapText="bothSides">
            <wp:wrapPolygon edited="0">
              <wp:start x="-1780" y="0"/>
              <wp:lineTo x="-1780" y="21510"/>
              <wp:lineTo x="21363" y="21510"/>
              <wp:lineTo x="21363" y="0"/>
              <wp:lineTo x="-1780" y="0"/>
            </wp:wrapPolygon>
          </wp:wrapThrough>
          <wp:docPr id="3" name="2 Imagen" descr="barri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iga.jpg"/>
                  <pic:cNvPicPr/>
                </pic:nvPicPr>
                <pic:blipFill>
                  <a:blip r:embed="rId2"/>
                  <a:stretch>
                    <a:fillRect/>
                  </a:stretch>
                </pic:blipFill>
                <pic:spPr>
                  <a:xfrm>
                    <a:off x="0" y="0"/>
                    <a:ext cx="231140" cy="26015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B0273"/>
    <w:multiLevelType w:val="hybridMultilevel"/>
    <w:tmpl w:val="2CFC2CF6"/>
    <w:lvl w:ilvl="0" w:tplc="2682C36A">
      <w:start w:val="1"/>
      <w:numFmt w:val="bullet"/>
      <w:lvlText w:val=""/>
      <w:lvlJc w:val="left"/>
      <w:pPr>
        <w:tabs>
          <w:tab w:val="num" w:pos="720"/>
        </w:tabs>
        <w:ind w:left="720" w:hanging="360"/>
      </w:pPr>
      <w:rPr>
        <w:rFonts w:ascii="Wingdings" w:hAnsi="Wingdings" w:hint="default"/>
      </w:rPr>
    </w:lvl>
    <w:lvl w:ilvl="1" w:tplc="459ABB42">
      <w:start w:val="1"/>
      <w:numFmt w:val="bullet"/>
      <w:lvlText w:val=""/>
      <w:lvlJc w:val="left"/>
      <w:pPr>
        <w:tabs>
          <w:tab w:val="num" w:pos="1440"/>
        </w:tabs>
        <w:ind w:left="1440" w:hanging="360"/>
      </w:pPr>
      <w:rPr>
        <w:rFonts w:ascii="Wingdings" w:hAnsi="Wingdings" w:hint="default"/>
      </w:rPr>
    </w:lvl>
    <w:lvl w:ilvl="2" w:tplc="62AE4A1A">
      <w:start w:val="1"/>
      <w:numFmt w:val="bullet"/>
      <w:lvlText w:val=""/>
      <w:lvlJc w:val="left"/>
      <w:pPr>
        <w:tabs>
          <w:tab w:val="num" w:pos="2160"/>
        </w:tabs>
        <w:ind w:left="2160" w:hanging="360"/>
      </w:pPr>
      <w:rPr>
        <w:rFonts w:ascii="Wingdings" w:hAnsi="Wingdings" w:hint="default"/>
      </w:rPr>
    </w:lvl>
    <w:lvl w:ilvl="3" w:tplc="19308B8C">
      <w:start w:val="1"/>
      <w:numFmt w:val="bullet"/>
      <w:lvlText w:val=""/>
      <w:lvlJc w:val="left"/>
      <w:pPr>
        <w:tabs>
          <w:tab w:val="num" w:pos="2880"/>
        </w:tabs>
        <w:ind w:left="2880" w:hanging="360"/>
      </w:pPr>
      <w:rPr>
        <w:rFonts w:ascii="Wingdings" w:hAnsi="Wingdings" w:hint="default"/>
      </w:rPr>
    </w:lvl>
    <w:lvl w:ilvl="4" w:tplc="F920D328">
      <w:start w:val="1"/>
      <w:numFmt w:val="bullet"/>
      <w:lvlText w:val=""/>
      <w:lvlJc w:val="left"/>
      <w:pPr>
        <w:tabs>
          <w:tab w:val="num" w:pos="3600"/>
        </w:tabs>
        <w:ind w:left="3600" w:hanging="360"/>
      </w:pPr>
      <w:rPr>
        <w:rFonts w:ascii="Wingdings" w:hAnsi="Wingdings" w:hint="default"/>
      </w:rPr>
    </w:lvl>
    <w:lvl w:ilvl="5" w:tplc="55680CA8">
      <w:start w:val="1"/>
      <w:numFmt w:val="bullet"/>
      <w:lvlText w:val=""/>
      <w:lvlJc w:val="left"/>
      <w:pPr>
        <w:tabs>
          <w:tab w:val="num" w:pos="4320"/>
        </w:tabs>
        <w:ind w:left="4320" w:hanging="360"/>
      </w:pPr>
      <w:rPr>
        <w:rFonts w:ascii="Wingdings" w:hAnsi="Wingdings" w:hint="default"/>
      </w:rPr>
    </w:lvl>
    <w:lvl w:ilvl="6" w:tplc="01D46C22">
      <w:start w:val="1"/>
      <w:numFmt w:val="bullet"/>
      <w:lvlText w:val=""/>
      <w:lvlJc w:val="left"/>
      <w:pPr>
        <w:tabs>
          <w:tab w:val="num" w:pos="5040"/>
        </w:tabs>
        <w:ind w:left="5040" w:hanging="360"/>
      </w:pPr>
      <w:rPr>
        <w:rFonts w:ascii="Wingdings" w:hAnsi="Wingdings" w:hint="default"/>
      </w:rPr>
    </w:lvl>
    <w:lvl w:ilvl="7" w:tplc="B7C0E786">
      <w:start w:val="1"/>
      <w:numFmt w:val="bullet"/>
      <w:lvlText w:val=""/>
      <w:lvlJc w:val="left"/>
      <w:pPr>
        <w:tabs>
          <w:tab w:val="num" w:pos="5760"/>
        </w:tabs>
        <w:ind w:left="5760" w:hanging="360"/>
      </w:pPr>
      <w:rPr>
        <w:rFonts w:ascii="Wingdings" w:hAnsi="Wingdings" w:hint="default"/>
      </w:rPr>
    </w:lvl>
    <w:lvl w:ilvl="8" w:tplc="C0065E94">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0C1B73"/>
    <w:multiLevelType w:val="multilevel"/>
    <w:tmpl w:val="85B277D0"/>
    <w:lvl w:ilvl="0">
      <w:start w:val="517"/>
      <w:numFmt w:val="decimal"/>
      <w:lvlText w:val="%1"/>
      <w:lvlJc w:val="left"/>
      <w:pPr>
        <w:ind w:left="570" w:hanging="570"/>
      </w:pPr>
      <w:rPr>
        <w:rFonts w:ascii="Arial Narrow" w:hAnsi="Arial Narrow" w:hint="default"/>
        <w:color w:val="404040"/>
        <w:sz w:val="22"/>
      </w:rPr>
    </w:lvl>
    <w:lvl w:ilvl="1">
      <w:start w:val="1"/>
      <w:numFmt w:val="decimalZero"/>
      <w:lvlText w:val="%1.%2"/>
      <w:lvlJc w:val="left"/>
      <w:pPr>
        <w:ind w:left="570" w:hanging="570"/>
      </w:pPr>
      <w:rPr>
        <w:rFonts w:ascii="Arial Narrow" w:hAnsi="Arial Narrow" w:hint="default"/>
        <w:color w:val="404040"/>
        <w:sz w:val="22"/>
      </w:rPr>
    </w:lvl>
    <w:lvl w:ilvl="2">
      <w:start w:val="1"/>
      <w:numFmt w:val="decimal"/>
      <w:lvlText w:val="%1.%2.%3"/>
      <w:lvlJc w:val="left"/>
      <w:pPr>
        <w:ind w:left="720" w:hanging="720"/>
      </w:pPr>
      <w:rPr>
        <w:rFonts w:ascii="Arial Narrow" w:hAnsi="Arial Narrow" w:hint="default"/>
        <w:color w:val="404040"/>
        <w:sz w:val="22"/>
      </w:rPr>
    </w:lvl>
    <w:lvl w:ilvl="3">
      <w:start w:val="1"/>
      <w:numFmt w:val="decimal"/>
      <w:lvlText w:val="%1.%2.%3.%4"/>
      <w:lvlJc w:val="left"/>
      <w:pPr>
        <w:ind w:left="1080" w:hanging="1080"/>
      </w:pPr>
      <w:rPr>
        <w:rFonts w:ascii="Arial Narrow" w:hAnsi="Arial Narrow" w:hint="default"/>
        <w:color w:val="404040"/>
        <w:sz w:val="22"/>
      </w:rPr>
    </w:lvl>
    <w:lvl w:ilvl="4">
      <w:start w:val="1"/>
      <w:numFmt w:val="decimal"/>
      <w:lvlText w:val="%1.%2.%3.%4.%5"/>
      <w:lvlJc w:val="left"/>
      <w:pPr>
        <w:ind w:left="1080" w:hanging="1080"/>
      </w:pPr>
      <w:rPr>
        <w:rFonts w:ascii="Arial Narrow" w:hAnsi="Arial Narrow" w:hint="default"/>
        <w:color w:val="404040"/>
        <w:sz w:val="22"/>
      </w:rPr>
    </w:lvl>
    <w:lvl w:ilvl="5">
      <w:start w:val="1"/>
      <w:numFmt w:val="decimal"/>
      <w:lvlText w:val="%1.%2.%3.%4.%5.%6"/>
      <w:lvlJc w:val="left"/>
      <w:pPr>
        <w:ind w:left="1440" w:hanging="1440"/>
      </w:pPr>
      <w:rPr>
        <w:rFonts w:ascii="Arial Narrow" w:hAnsi="Arial Narrow" w:hint="default"/>
        <w:color w:val="404040"/>
        <w:sz w:val="22"/>
      </w:rPr>
    </w:lvl>
    <w:lvl w:ilvl="6">
      <w:start w:val="1"/>
      <w:numFmt w:val="decimal"/>
      <w:lvlText w:val="%1.%2.%3.%4.%5.%6.%7"/>
      <w:lvlJc w:val="left"/>
      <w:pPr>
        <w:ind w:left="1440" w:hanging="1440"/>
      </w:pPr>
      <w:rPr>
        <w:rFonts w:ascii="Arial Narrow" w:hAnsi="Arial Narrow" w:hint="default"/>
        <w:color w:val="404040"/>
        <w:sz w:val="22"/>
      </w:rPr>
    </w:lvl>
    <w:lvl w:ilvl="7">
      <w:start w:val="1"/>
      <w:numFmt w:val="decimal"/>
      <w:lvlText w:val="%1.%2.%3.%4.%5.%6.%7.%8"/>
      <w:lvlJc w:val="left"/>
      <w:pPr>
        <w:ind w:left="1800" w:hanging="1800"/>
      </w:pPr>
      <w:rPr>
        <w:rFonts w:ascii="Arial Narrow" w:hAnsi="Arial Narrow" w:hint="default"/>
        <w:color w:val="404040"/>
        <w:sz w:val="22"/>
      </w:rPr>
    </w:lvl>
    <w:lvl w:ilvl="8">
      <w:start w:val="1"/>
      <w:numFmt w:val="decimal"/>
      <w:lvlText w:val="%1.%2.%3.%4.%5.%6.%7.%8.%9"/>
      <w:lvlJc w:val="left"/>
      <w:pPr>
        <w:ind w:left="1800" w:hanging="1800"/>
      </w:pPr>
      <w:rPr>
        <w:rFonts w:ascii="Arial Narrow" w:hAnsi="Arial Narrow" w:hint="default"/>
        <w:color w:val="404040"/>
        <w:sz w:val="22"/>
      </w:rPr>
    </w:lvl>
  </w:abstractNum>
  <w:abstractNum w:abstractNumId="2" w15:restartNumberingAfterBreak="0">
    <w:nsid w:val="3BC66432"/>
    <w:multiLevelType w:val="hybridMultilevel"/>
    <w:tmpl w:val="4238D014"/>
    <w:lvl w:ilvl="0" w:tplc="4F583E68">
      <w:start w:val="1"/>
      <w:numFmt w:val="bullet"/>
      <w:lvlText w:val=""/>
      <w:lvlJc w:val="left"/>
      <w:pPr>
        <w:tabs>
          <w:tab w:val="num" w:pos="720"/>
        </w:tabs>
        <w:ind w:left="720" w:hanging="360"/>
      </w:pPr>
      <w:rPr>
        <w:rFonts w:ascii="Wingdings" w:hAnsi="Wingdings" w:hint="default"/>
      </w:rPr>
    </w:lvl>
    <w:lvl w:ilvl="1" w:tplc="A5DA40F0">
      <w:start w:val="1"/>
      <w:numFmt w:val="bullet"/>
      <w:lvlText w:val=""/>
      <w:lvlJc w:val="left"/>
      <w:pPr>
        <w:tabs>
          <w:tab w:val="num" w:pos="1440"/>
        </w:tabs>
        <w:ind w:left="1440" w:hanging="360"/>
      </w:pPr>
      <w:rPr>
        <w:rFonts w:ascii="Wingdings" w:hAnsi="Wingdings" w:hint="default"/>
      </w:rPr>
    </w:lvl>
    <w:lvl w:ilvl="2" w:tplc="BA18C790">
      <w:start w:val="1"/>
      <w:numFmt w:val="bullet"/>
      <w:lvlText w:val=""/>
      <w:lvlJc w:val="left"/>
      <w:pPr>
        <w:tabs>
          <w:tab w:val="num" w:pos="2160"/>
        </w:tabs>
        <w:ind w:left="2160" w:hanging="360"/>
      </w:pPr>
      <w:rPr>
        <w:rFonts w:ascii="Wingdings" w:hAnsi="Wingdings" w:hint="default"/>
      </w:rPr>
    </w:lvl>
    <w:lvl w:ilvl="3" w:tplc="9544CE8E">
      <w:start w:val="1"/>
      <w:numFmt w:val="bullet"/>
      <w:lvlText w:val=""/>
      <w:lvlJc w:val="left"/>
      <w:pPr>
        <w:tabs>
          <w:tab w:val="num" w:pos="2880"/>
        </w:tabs>
        <w:ind w:left="2880" w:hanging="360"/>
      </w:pPr>
      <w:rPr>
        <w:rFonts w:ascii="Wingdings" w:hAnsi="Wingdings" w:hint="default"/>
      </w:rPr>
    </w:lvl>
    <w:lvl w:ilvl="4" w:tplc="C57224A4">
      <w:start w:val="1"/>
      <w:numFmt w:val="bullet"/>
      <w:lvlText w:val=""/>
      <w:lvlJc w:val="left"/>
      <w:pPr>
        <w:tabs>
          <w:tab w:val="num" w:pos="3600"/>
        </w:tabs>
        <w:ind w:left="3600" w:hanging="360"/>
      </w:pPr>
      <w:rPr>
        <w:rFonts w:ascii="Wingdings" w:hAnsi="Wingdings" w:hint="default"/>
      </w:rPr>
    </w:lvl>
    <w:lvl w:ilvl="5" w:tplc="2288387C">
      <w:start w:val="1"/>
      <w:numFmt w:val="bullet"/>
      <w:lvlText w:val=""/>
      <w:lvlJc w:val="left"/>
      <w:pPr>
        <w:tabs>
          <w:tab w:val="num" w:pos="4320"/>
        </w:tabs>
        <w:ind w:left="4320" w:hanging="360"/>
      </w:pPr>
      <w:rPr>
        <w:rFonts w:ascii="Wingdings" w:hAnsi="Wingdings" w:hint="default"/>
      </w:rPr>
    </w:lvl>
    <w:lvl w:ilvl="6" w:tplc="586C96A2">
      <w:start w:val="1"/>
      <w:numFmt w:val="bullet"/>
      <w:lvlText w:val=""/>
      <w:lvlJc w:val="left"/>
      <w:pPr>
        <w:tabs>
          <w:tab w:val="num" w:pos="5040"/>
        </w:tabs>
        <w:ind w:left="5040" w:hanging="360"/>
      </w:pPr>
      <w:rPr>
        <w:rFonts w:ascii="Wingdings" w:hAnsi="Wingdings" w:hint="default"/>
      </w:rPr>
    </w:lvl>
    <w:lvl w:ilvl="7" w:tplc="65583EF4">
      <w:start w:val="1"/>
      <w:numFmt w:val="bullet"/>
      <w:lvlText w:val=""/>
      <w:lvlJc w:val="left"/>
      <w:pPr>
        <w:tabs>
          <w:tab w:val="num" w:pos="5760"/>
        </w:tabs>
        <w:ind w:left="5760" w:hanging="360"/>
      </w:pPr>
      <w:rPr>
        <w:rFonts w:ascii="Wingdings" w:hAnsi="Wingdings" w:hint="default"/>
      </w:rPr>
    </w:lvl>
    <w:lvl w:ilvl="8" w:tplc="720E0B1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33106D"/>
    <w:multiLevelType w:val="hybridMultilevel"/>
    <w:tmpl w:val="C1EE5FCE"/>
    <w:lvl w:ilvl="0" w:tplc="DA906D68">
      <w:start w:val="1"/>
      <w:numFmt w:val="bullet"/>
      <w:lvlText w:val=""/>
      <w:lvlJc w:val="left"/>
      <w:pPr>
        <w:tabs>
          <w:tab w:val="num" w:pos="720"/>
        </w:tabs>
        <w:ind w:left="720" w:hanging="360"/>
      </w:pPr>
      <w:rPr>
        <w:rFonts w:ascii="Wingdings" w:hAnsi="Wingdings" w:hint="default"/>
      </w:rPr>
    </w:lvl>
    <w:lvl w:ilvl="1" w:tplc="BDB6755A">
      <w:start w:val="1"/>
      <w:numFmt w:val="bullet"/>
      <w:lvlText w:val=""/>
      <w:lvlJc w:val="left"/>
      <w:pPr>
        <w:tabs>
          <w:tab w:val="num" w:pos="1440"/>
        </w:tabs>
        <w:ind w:left="1440" w:hanging="360"/>
      </w:pPr>
      <w:rPr>
        <w:rFonts w:ascii="Wingdings" w:hAnsi="Wingdings" w:hint="default"/>
      </w:rPr>
    </w:lvl>
    <w:lvl w:ilvl="2" w:tplc="932EF958">
      <w:start w:val="1"/>
      <w:numFmt w:val="bullet"/>
      <w:lvlText w:val=""/>
      <w:lvlJc w:val="left"/>
      <w:pPr>
        <w:tabs>
          <w:tab w:val="num" w:pos="2160"/>
        </w:tabs>
        <w:ind w:left="2160" w:hanging="360"/>
      </w:pPr>
      <w:rPr>
        <w:rFonts w:ascii="Wingdings" w:hAnsi="Wingdings" w:hint="default"/>
      </w:rPr>
    </w:lvl>
    <w:lvl w:ilvl="3" w:tplc="27901EBE">
      <w:start w:val="1"/>
      <w:numFmt w:val="bullet"/>
      <w:lvlText w:val=""/>
      <w:lvlJc w:val="left"/>
      <w:pPr>
        <w:tabs>
          <w:tab w:val="num" w:pos="2880"/>
        </w:tabs>
        <w:ind w:left="2880" w:hanging="360"/>
      </w:pPr>
      <w:rPr>
        <w:rFonts w:ascii="Wingdings" w:hAnsi="Wingdings" w:hint="default"/>
      </w:rPr>
    </w:lvl>
    <w:lvl w:ilvl="4" w:tplc="DF0440AC">
      <w:start w:val="1"/>
      <w:numFmt w:val="bullet"/>
      <w:lvlText w:val=""/>
      <w:lvlJc w:val="left"/>
      <w:pPr>
        <w:tabs>
          <w:tab w:val="num" w:pos="3600"/>
        </w:tabs>
        <w:ind w:left="3600" w:hanging="360"/>
      </w:pPr>
      <w:rPr>
        <w:rFonts w:ascii="Wingdings" w:hAnsi="Wingdings" w:hint="default"/>
      </w:rPr>
    </w:lvl>
    <w:lvl w:ilvl="5" w:tplc="535EBBDE">
      <w:start w:val="1"/>
      <w:numFmt w:val="bullet"/>
      <w:lvlText w:val=""/>
      <w:lvlJc w:val="left"/>
      <w:pPr>
        <w:tabs>
          <w:tab w:val="num" w:pos="4320"/>
        </w:tabs>
        <w:ind w:left="4320" w:hanging="360"/>
      </w:pPr>
      <w:rPr>
        <w:rFonts w:ascii="Wingdings" w:hAnsi="Wingdings" w:hint="default"/>
      </w:rPr>
    </w:lvl>
    <w:lvl w:ilvl="6" w:tplc="C7DE2532">
      <w:start w:val="1"/>
      <w:numFmt w:val="bullet"/>
      <w:lvlText w:val=""/>
      <w:lvlJc w:val="left"/>
      <w:pPr>
        <w:tabs>
          <w:tab w:val="num" w:pos="5040"/>
        </w:tabs>
        <w:ind w:left="5040" w:hanging="360"/>
      </w:pPr>
      <w:rPr>
        <w:rFonts w:ascii="Wingdings" w:hAnsi="Wingdings" w:hint="default"/>
      </w:rPr>
    </w:lvl>
    <w:lvl w:ilvl="7" w:tplc="43F6BBFA">
      <w:start w:val="1"/>
      <w:numFmt w:val="bullet"/>
      <w:lvlText w:val=""/>
      <w:lvlJc w:val="left"/>
      <w:pPr>
        <w:tabs>
          <w:tab w:val="num" w:pos="5760"/>
        </w:tabs>
        <w:ind w:left="5760" w:hanging="360"/>
      </w:pPr>
      <w:rPr>
        <w:rFonts w:ascii="Wingdings" w:hAnsi="Wingdings" w:hint="default"/>
      </w:rPr>
    </w:lvl>
    <w:lvl w:ilvl="8" w:tplc="EFD0BE1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F35607"/>
    <w:multiLevelType w:val="hybridMultilevel"/>
    <w:tmpl w:val="1B340B40"/>
    <w:lvl w:ilvl="0" w:tplc="F3882F98">
      <w:start w:val="1"/>
      <w:numFmt w:val="bullet"/>
      <w:lvlText w:val=""/>
      <w:lvlJc w:val="left"/>
      <w:pPr>
        <w:tabs>
          <w:tab w:val="num" w:pos="720"/>
        </w:tabs>
        <w:ind w:left="720" w:hanging="360"/>
      </w:pPr>
      <w:rPr>
        <w:rFonts w:ascii="Wingdings" w:hAnsi="Wingdings" w:hint="default"/>
      </w:rPr>
    </w:lvl>
    <w:lvl w:ilvl="1" w:tplc="3A4E1078">
      <w:start w:val="1"/>
      <w:numFmt w:val="bullet"/>
      <w:lvlText w:val=""/>
      <w:lvlJc w:val="left"/>
      <w:pPr>
        <w:tabs>
          <w:tab w:val="num" w:pos="1440"/>
        </w:tabs>
        <w:ind w:left="1440" w:hanging="360"/>
      </w:pPr>
      <w:rPr>
        <w:rFonts w:ascii="Wingdings" w:hAnsi="Wingdings" w:hint="default"/>
      </w:rPr>
    </w:lvl>
    <w:lvl w:ilvl="2" w:tplc="40DCB378">
      <w:start w:val="1"/>
      <w:numFmt w:val="bullet"/>
      <w:lvlText w:val=""/>
      <w:lvlJc w:val="left"/>
      <w:pPr>
        <w:tabs>
          <w:tab w:val="num" w:pos="2160"/>
        </w:tabs>
        <w:ind w:left="2160" w:hanging="360"/>
      </w:pPr>
      <w:rPr>
        <w:rFonts w:ascii="Wingdings" w:hAnsi="Wingdings" w:hint="default"/>
      </w:rPr>
    </w:lvl>
    <w:lvl w:ilvl="3" w:tplc="A2704AD8">
      <w:start w:val="1"/>
      <w:numFmt w:val="bullet"/>
      <w:lvlText w:val=""/>
      <w:lvlJc w:val="left"/>
      <w:pPr>
        <w:tabs>
          <w:tab w:val="num" w:pos="2880"/>
        </w:tabs>
        <w:ind w:left="2880" w:hanging="360"/>
      </w:pPr>
      <w:rPr>
        <w:rFonts w:ascii="Wingdings" w:hAnsi="Wingdings" w:hint="default"/>
      </w:rPr>
    </w:lvl>
    <w:lvl w:ilvl="4" w:tplc="99200280">
      <w:start w:val="1"/>
      <w:numFmt w:val="bullet"/>
      <w:lvlText w:val=""/>
      <w:lvlJc w:val="left"/>
      <w:pPr>
        <w:tabs>
          <w:tab w:val="num" w:pos="3600"/>
        </w:tabs>
        <w:ind w:left="3600" w:hanging="360"/>
      </w:pPr>
      <w:rPr>
        <w:rFonts w:ascii="Wingdings" w:hAnsi="Wingdings" w:hint="default"/>
      </w:rPr>
    </w:lvl>
    <w:lvl w:ilvl="5" w:tplc="4D7CF078">
      <w:start w:val="1"/>
      <w:numFmt w:val="bullet"/>
      <w:lvlText w:val=""/>
      <w:lvlJc w:val="left"/>
      <w:pPr>
        <w:tabs>
          <w:tab w:val="num" w:pos="4320"/>
        </w:tabs>
        <w:ind w:left="4320" w:hanging="360"/>
      </w:pPr>
      <w:rPr>
        <w:rFonts w:ascii="Wingdings" w:hAnsi="Wingdings" w:hint="default"/>
      </w:rPr>
    </w:lvl>
    <w:lvl w:ilvl="6" w:tplc="BB4A848C">
      <w:start w:val="1"/>
      <w:numFmt w:val="bullet"/>
      <w:lvlText w:val=""/>
      <w:lvlJc w:val="left"/>
      <w:pPr>
        <w:tabs>
          <w:tab w:val="num" w:pos="5040"/>
        </w:tabs>
        <w:ind w:left="5040" w:hanging="360"/>
      </w:pPr>
      <w:rPr>
        <w:rFonts w:ascii="Wingdings" w:hAnsi="Wingdings" w:hint="default"/>
      </w:rPr>
    </w:lvl>
    <w:lvl w:ilvl="7" w:tplc="5164CB10">
      <w:start w:val="1"/>
      <w:numFmt w:val="bullet"/>
      <w:lvlText w:val=""/>
      <w:lvlJc w:val="left"/>
      <w:pPr>
        <w:tabs>
          <w:tab w:val="num" w:pos="5760"/>
        </w:tabs>
        <w:ind w:left="5760" w:hanging="360"/>
      </w:pPr>
      <w:rPr>
        <w:rFonts w:ascii="Wingdings" w:hAnsi="Wingdings" w:hint="default"/>
      </w:rPr>
    </w:lvl>
    <w:lvl w:ilvl="8" w:tplc="CF96347A">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7C7032"/>
    <w:multiLevelType w:val="hybridMultilevel"/>
    <w:tmpl w:val="7974EFB6"/>
    <w:lvl w:ilvl="0" w:tplc="FFFFFFFF">
      <w:start w:val="1"/>
      <w:numFmt w:val="decimal"/>
      <w:lvlText w:val="%1."/>
      <w:lvlJc w:val="left"/>
      <w:pPr>
        <w:ind w:left="1069" w:hanging="360"/>
      </w:p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6" w15:restartNumberingAfterBreak="0">
    <w:nsid w:val="6E9518E5"/>
    <w:multiLevelType w:val="hybridMultilevel"/>
    <w:tmpl w:val="81FC0608"/>
    <w:lvl w:ilvl="0" w:tplc="BB2AE46A">
      <w:start w:val="1"/>
      <w:numFmt w:val="bullet"/>
      <w:lvlText w:val=""/>
      <w:lvlJc w:val="left"/>
      <w:pPr>
        <w:tabs>
          <w:tab w:val="num" w:pos="720"/>
        </w:tabs>
        <w:ind w:left="720" w:hanging="360"/>
      </w:pPr>
      <w:rPr>
        <w:rFonts w:ascii="Wingdings" w:hAnsi="Wingdings" w:hint="default"/>
      </w:rPr>
    </w:lvl>
    <w:lvl w:ilvl="1" w:tplc="40AC7822">
      <w:start w:val="1"/>
      <w:numFmt w:val="bullet"/>
      <w:lvlText w:val=""/>
      <w:lvlJc w:val="left"/>
      <w:pPr>
        <w:tabs>
          <w:tab w:val="num" w:pos="1440"/>
        </w:tabs>
        <w:ind w:left="1440" w:hanging="360"/>
      </w:pPr>
      <w:rPr>
        <w:rFonts w:ascii="Wingdings" w:hAnsi="Wingdings" w:hint="default"/>
      </w:rPr>
    </w:lvl>
    <w:lvl w:ilvl="2" w:tplc="2E76E45A">
      <w:start w:val="1"/>
      <w:numFmt w:val="bullet"/>
      <w:lvlText w:val=""/>
      <w:lvlJc w:val="left"/>
      <w:pPr>
        <w:tabs>
          <w:tab w:val="num" w:pos="2160"/>
        </w:tabs>
        <w:ind w:left="2160" w:hanging="360"/>
      </w:pPr>
      <w:rPr>
        <w:rFonts w:ascii="Wingdings" w:hAnsi="Wingdings" w:hint="default"/>
      </w:rPr>
    </w:lvl>
    <w:lvl w:ilvl="3" w:tplc="00A2BE02">
      <w:start w:val="1"/>
      <w:numFmt w:val="bullet"/>
      <w:lvlText w:val=""/>
      <w:lvlJc w:val="left"/>
      <w:pPr>
        <w:tabs>
          <w:tab w:val="num" w:pos="2880"/>
        </w:tabs>
        <w:ind w:left="2880" w:hanging="360"/>
      </w:pPr>
      <w:rPr>
        <w:rFonts w:ascii="Wingdings" w:hAnsi="Wingdings" w:hint="default"/>
      </w:rPr>
    </w:lvl>
    <w:lvl w:ilvl="4" w:tplc="DF509A38">
      <w:start w:val="1"/>
      <w:numFmt w:val="bullet"/>
      <w:lvlText w:val=""/>
      <w:lvlJc w:val="left"/>
      <w:pPr>
        <w:tabs>
          <w:tab w:val="num" w:pos="3600"/>
        </w:tabs>
        <w:ind w:left="3600" w:hanging="360"/>
      </w:pPr>
      <w:rPr>
        <w:rFonts w:ascii="Wingdings" w:hAnsi="Wingdings" w:hint="default"/>
      </w:rPr>
    </w:lvl>
    <w:lvl w:ilvl="5" w:tplc="EE42F6EE">
      <w:start w:val="1"/>
      <w:numFmt w:val="bullet"/>
      <w:lvlText w:val=""/>
      <w:lvlJc w:val="left"/>
      <w:pPr>
        <w:tabs>
          <w:tab w:val="num" w:pos="4320"/>
        </w:tabs>
        <w:ind w:left="4320" w:hanging="360"/>
      </w:pPr>
      <w:rPr>
        <w:rFonts w:ascii="Wingdings" w:hAnsi="Wingdings" w:hint="default"/>
      </w:rPr>
    </w:lvl>
    <w:lvl w:ilvl="6" w:tplc="9202D082">
      <w:start w:val="1"/>
      <w:numFmt w:val="bullet"/>
      <w:lvlText w:val=""/>
      <w:lvlJc w:val="left"/>
      <w:pPr>
        <w:tabs>
          <w:tab w:val="num" w:pos="5040"/>
        </w:tabs>
        <w:ind w:left="5040" w:hanging="360"/>
      </w:pPr>
      <w:rPr>
        <w:rFonts w:ascii="Wingdings" w:hAnsi="Wingdings" w:hint="default"/>
      </w:rPr>
    </w:lvl>
    <w:lvl w:ilvl="7" w:tplc="C666AC34">
      <w:start w:val="1"/>
      <w:numFmt w:val="bullet"/>
      <w:lvlText w:val=""/>
      <w:lvlJc w:val="left"/>
      <w:pPr>
        <w:tabs>
          <w:tab w:val="num" w:pos="5760"/>
        </w:tabs>
        <w:ind w:left="5760" w:hanging="360"/>
      </w:pPr>
      <w:rPr>
        <w:rFonts w:ascii="Wingdings" w:hAnsi="Wingdings" w:hint="default"/>
      </w:rPr>
    </w:lvl>
    <w:lvl w:ilvl="8" w:tplc="EB8E56EE">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7F18E9"/>
    <w:multiLevelType w:val="hybridMultilevel"/>
    <w:tmpl w:val="A308EF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15584737">
    <w:abstractNumId w:val="7"/>
  </w:num>
  <w:num w:numId="2" w16cid:durableId="2066753961">
    <w:abstractNumId w:val="2"/>
  </w:num>
  <w:num w:numId="3" w16cid:durableId="1408072949">
    <w:abstractNumId w:val="0"/>
  </w:num>
  <w:num w:numId="4" w16cid:durableId="396903057">
    <w:abstractNumId w:val="6"/>
  </w:num>
  <w:num w:numId="5" w16cid:durableId="1386220814">
    <w:abstractNumId w:val="4"/>
  </w:num>
  <w:num w:numId="6" w16cid:durableId="432407414">
    <w:abstractNumId w:val="3"/>
  </w:num>
  <w:num w:numId="7" w16cid:durableId="321809664">
    <w:abstractNumId w:val="5"/>
  </w:num>
  <w:num w:numId="8" w16cid:durableId="1335647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033"/>
    <w:rsid w:val="00005EC4"/>
    <w:rsid w:val="000063CB"/>
    <w:rsid w:val="00014014"/>
    <w:rsid w:val="00015885"/>
    <w:rsid w:val="00023564"/>
    <w:rsid w:val="00044F41"/>
    <w:rsid w:val="000612CE"/>
    <w:rsid w:val="00067816"/>
    <w:rsid w:val="000701C8"/>
    <w:rsid w:val="00074451"/>
    <w:rsid w:val="00074D04"/>
    <w:rsid w:val="00077CEB"/>
    <w:rsid w:val="000818AE"/>
    <w:rsid w:val="000940C2"/>
    <w:rsid w:val="00094B17"/>
    <w:rsid w:val="000A04D7"/>
    <w:rsid w:val="000A743C"/>
    <w:rsid w:val="000D2CA9"/>
    <w:rsid w:val="000D7A22"/>
    <w:rsid w:val="000E2501"/>
    <w:rsid w:val="000E4CFA"/>
    <w:rsid w:val="000F239F"/>
    <w:rsid w:val="000F67BC"/>
    <w:rsid w:val="00110CFF"/>
    <w:rsid w:val="001120C5"/>
    <w:rsid w:val="00113FD3"/>
    <w:rsid w:val="001165E1"/>
    <w:rsid w:val="00130D02"/>
    <w:rsid w:val="00134A2A"/>
    <w:rsid w:val="001435BE"/>
    <w:rsid w:val="00146056"/>
    <w:rsid w:val="00165E50"/>
    <w:rsid w:val="001717E2"/>
    <w:rsid w:val="0017322D"/>
    <w:rsid w:val="00181A56"/>
    <w:rsid w:val="00187666"/>
    <w:rsid w:val="001A76D4"/>
    <w:rsid w:val="001A7923"/>
    <w:rsid w:val="001B518C"/>
    <w:rsid w:val="001C31B8"/>
    <w:rsid w:val="001C48DF"/>
    <w:rsid w:val="001C5822"/>
    <w:rsid w:val="001D7960"/>
    <w:rsid w:val="001E1D61"/>
    <w:rsid w:val="001E3A06"/>
    <w:rsid w:val="001E55EC"/>
    <w:rsid w:val="001F4AE0"/>
    <w:rsid w:val="00205D77"/>
    <w:rsid w:val="00220139"/>
    <w:rsid w:val="00230806"/>
    <w:rsid w:val="00235B2B"/>
    <w:rsid w:val="00244D4C"/>
    <w:rsid w:val="00252C8A"/>
    <w:rsid w:val="002825B4"/>
    <w:rsid w:val="002A1C52"/>
    <w:rsid w:val="002B0EB2"/>
    <w:rsid w:val="002B7072"/>
    <w:rsid w:val="002C1560"/>
    <w:rsid w:val="002C3B90"/>
    <w:rsid w:val="002D0E9F"/>
    <w:rsid w:val="002D2356"/>
    <w:rsid w:val="002D5DE3"/>
    <w:rsid w:val="002E6F26"/>
    <w:rsid w:val="002F0033"/>
    <w:rsid w:val="002F27E5"/>
    <w:rsid w:val="002F49AD"/>
    <w:rsid w:val="00311CD6"/>
    <w:rsid w:val="00312F55"/>
    <w:rsid w:val="003229EC"/>
    <w:rsid w:val="00323CC8"/>
    <w:rsid w:val="0032516A"/>
    <w:rsid w:val="00325877"/>
    <w:rsid w:val="003306FE"/>
    <w:rsid w:val="00333A33"/>
    <w:rsid w:val="0033773C"/>
    <w:rsid w:val="0034011F"/>
    <w:rsid w:val="00357F2B"/>
    <w:rsid w:val="00361CE5"/>
    <w:rsid w:val="003751B9"/>
    <w:rsid w:val="00382617"/>
    <w:rsid w:val="003A0AA0"/>
    <w:rsid w:val="003A317B"/>
    <w:rsid w:val="003B0446"/>
    <w:rsid w:val="003B2F75"/>
    <w:rsid w:val="003B34A7"/>
    <w:rsid w:val="003B3C0E"/>
    <w:rsid w:val="003D46A7"/>
    <w:rsid w:val="003D4C25"/>
    <w:rsid w:val="003E51AF"/>
    <w:rsid w:val="003E5FFF"/>
    <w:rsid w:val="003F21A0"/>
    <w:rsid w:val="003F485D"/>
    <w:rsid w:val="004011BC"/>
    <w:rsid w:val="004163F0"/>
    <w:rsid w:val="00442876"/>
    <w:rsid w:val="00451858"/>
    <w:rsid w:val="00452932"/>
    <w:rsid w:val="00463F24"/>
    <w:rsid w:val="0046612D"/>
    <w:rsid w:val="004819C1"/>
    <w:rsid w:val="004841D2"/>
    <w:rsid w:val="004919C3"/>
    <w:rsid w:val="004A6B91"/>
    <w:rsid w:val="004B4A1F"/>
    <w:rsid w:val="004B51ED"/>
    <w:rsid w:val="004B6372"/>
    <w:rsid w:val="004B69D9"/>
    <w:rsid w:val="004C1094"/>
    <w:rsid w:val="004C327A"/>
    <w:rsid w:val="004E0BDE"/>
    <w:rsid w:val="004E3D03"/>
    <w:rsid w:val="004E44B8"/>
    <w:rsid w:val="004E4CB5"/>
    <w:rsid w:val="004F1759"/>
    <w:rsid w:val="004F560A"/>
    <w:rsid w:val="005019AC"/>
    <w:rsid w:val="00502105"/>
    <w:rsid w:val="00510234"/>
    <w:rsid w:val="005110D4"/>
    <w:rsid w:val="005153D9"/>
    <w:rsid w:val="005200BC"/>
    <w:rsid w:val="005365A1"/>
    <w:rsid w:val="00544E70"/>
    <w:rsid w:val="00551F71"/>
    <w:rsid w:val="00555D35"/>
    <w:rsid w:val="0055679D"/>
    <w:rsid w:val="00564CC3"/>
    <w:rsid w:val="005660B7"/>
    <w:rsid w:val="0056777B"/>
    <w:rsid w:val="00577CF6"/>
    <w:rsid w:val="005906A6"/>
    <w:rsid w:val="00596DB0"/>
    <w:rsid w:val="0059777B"/>
    <w:rsid w:val="005A021C"/>
    <w:rsid w:val="005B1812"/>
    <w:rsid w:val="005B2060"/>
    <w:rsid w:val="005B26C8"/>
    <w:rsid w:val="005C4728"/>
    <w:rsid w:val="005E1EFF"/>
    <w:rsid w:val="005E5C09"/>
    <w:rsid w:val="005F14B1"/>
    <w:rsid w:val="00613062"/>
    <w:rsid w:val="00626BD0"/>
    <w:rsid w:val="006309B5"/>
    <w:rsid w:val="00634447"/>
    <w:rsid w:val="0063699D"/>
    <w:rsid w:val="00641A7F"/>
    <w:rsid w:val="00655A6C"/>
    <w:rsid w:val="006565EF"/>
    <w:rsid w:val="00656EB5"/>
    <w:rsid w:val="00657035"/>
    <w:rsid w:val="00661954"/>
    <w:rsid w:val="00662407"/>
    <w:rsid w:val="0067367D"/>
    <w:rsid w:val="00680371"/>
    <w:rsid w:val="00684420"/>
    <w:rsid w:val="00694CFD"/>
    <w:rsid w:val="006A343B"/>
    <w:rsid w:val="006A3D65"/>
    <w:rsid w:val="006A485A"/>
    <w:rsid w:val="006B3AF2"/>
    <w:rsid w:val="006B72F8"/>
    <w:rsid w:val="006C1691"/>
    <w:rsid w:val="006C4A7E"/>
    <w:rsid w:val="006C538F"/>
    <w:rsid w:val="006C696D"/>
    <w:rsid w:val="006C7EDA"/>
    <w:rsid w:val="006E16D6"/>
    <w:rsid w:val="006F22BF"/>
    <w:rsid w:val="006F2409"/>
    <w:rsid w:val="006F4D61"/>
    <w:rsid w:val="0070215F"/>
    <w:rsid w:val="007143B8"/>
    <w:rsid w:val="007232EB"/>
    <w:rsid w:val="00726345"/>
    <w:rsid w:val="00734AF2"/>
    <w:rsid w:val="007544B0"/>
    <w:rsid w:val="00762143"/>
    <w:rsid w:val="00762988"/>
    <w:rsid w:val="00764B6C"/>
    <w:rsid w:val="007657BE"/>
    <w:rsid w:val="0077304A"/>
    <w:rsid w:val="00773CF6"/>
    <w:rsid w:val="007A749E"/>
    <w:rsid w:val="007A7DCF"/>
    <w:rsid w:val="007B13A2"/>
    <w:rsid w:val="007C1582"/>
    <w:rsid w:val="007D251B"/>
    <w:rsid w:val="007D3FD4"/>
    <w:rsid w:val="007D5FE6"/>
    <w:rsid w:val="007E1B2F"/>
    <w:rsid w:val="007F009D"/>
    <w:rsid w:val="00800BA0"/>
    <w:rsid w:val="0082090B"/>
    <w:rsid w:val="00824872"/>
    <w:rsid w:val="008305CF"/>
    <w:rsid w:val="00832452"/>
    <w:rsid w:val="00832C4E"/>
    <w:rsid w:val="00832F08"/>
    <w:rsid w:val="0085573B"/>
    <w:rsid w:val="00857766"/>
    <w:rsid w:val="00857C3A"/>
    <w:rsid w:val="00877FBD"/>
    <w:rsid w:val="008815A7"/>
    <w:rsid w:val="008834E6"/>
    <w:rsid w:val="00886E52"/>
    <w:rsid w:val="0089507F"/>
    <w:rsid w:val="008B39F6"/>
    <w:rsid w:val="008C3EA5"/>
    <w:rsid w:val="008D2650"/>
    <w:rsid w:val="008E6DF0"/>
    <w:rsid w:val="008F0D56"/>
    <w:rsid w:val="008F7AD3"/>
    <w:rsid w:val="00907C88"/>
    <w:rsid w:val="00915110"/>
    <w:rsid w:val="00920BE7"/>
    <w:rsid w:val="00922101"/>
    <w:rsid w:val="00933F63"/>
    <w:rsid w:val="0093658B"/>
    <w:rsid w:val="00937604"/>
    <w:rsid w:val="00941F9A"/>
    <w:rsid w:val="009514BA"/>
    <w:rsid w:val="0095443B"/>
    <w:rsid w:val="00956D3E"/>
    <w:rsid w:val="009651F1"/>
    <w:rsid w:val="00967D34"/>
    <w:rsid w:val="009701A4"/>
    <w:rsid w:val="00970FE7"/>
    <w:rsid w:val="009764CA"/>
    <w:rsid w:val="009A273D"/>
    <w:rsid w:val="009B36A9"/>
    <w:rsid w:val="009C33E5"/>
    <w:rsid w:val="009C49D6"/>
    <w:rsid w:val="009E7CA6"/>
    <w:rsid w:val="009F1BAE"/>
    <w:rsid w:val="009F5C15"/>
    <w:rsid w:val="00A05FFA"/>
    <w:rsid w:val="00A14C53"/>
    <w:rsid w:val="00A350EE"/>
    <w:rsid w:val="00A512B0"/>
    <w:rsid w:val="00A52008"/>
    <w:rsid w:val="00A5326D"/>
    <w:rsid w:val="00A6124E"/>
    <w:rsid w:val="00A66D88"/>
    <w:rsid w:val="00A72F8F"/>
    <w:rsid w:val="00A75A08"/>
    <w:rsid w:val="00A82DAC"/>
    <w:rsid w:val="00A83461"/>
    <w:rsid w:val="00A90C48"/>
    <w:rsid w:val="00A9207D"/>
    <w:rsid w:val="00AA7B05"/>
    <w:rsid w:val="00AB2822"/>
    <w:rsid w:val="00AB6ECE"/>
    <w:rsid w:val="00AB7262"/>
    <w:rsid w:val="00AD2B6D"/>
    <w:rsid w:val="00AD4C18"/>
    <w:rsid w:val="00AE0E34"/>
    <w:rsid w:val="00AE1CA6"/>
    <w:rsid w:val="00AE4863"/>
    <w:rsid w:val="00AE7F22"/>
    <w:rsid w:val="00AF1820"/>
    <w:rsid w:val="00B00839"/>
    <w:rsid w:val="00B02CB0"/>
    <w:rsid w:val="00B0496A"/>
    <w:rsid w:val="00B16708"/>
    <w:rsid w:val="00B16725"/>
    <w:rsid w:val="00B20C28"/>
    <w:rsid w:val="00B2327E"/>
    <w:rsid w:val="00B26F41"/>
    <w:rsid w:val="00B27A87"/>
    <w:rsid w:val="00B332CD"/>
    <w:rsid w:val="00B42CCE"/>
    <w:rsid w:val="00B5378B"/>
    <w:rsid w:val="00B637CB"/>
    <w:rsid w:val="00B651F4"/>
    <w:rsid w:val="00B70BFE"/>
    <w:rsid w:val="00B830A0"/>
    <w:rsid w:val="00B86B2C"/>
    <w:rsid w:val="00B93501"/>
    <w:rsid w:val="00B9394E"/>
    <w:rsid w:val="00B9540B"/>
    <w:rsid w:val="00BA1BE2"/>
    <w:rsid w:val="00BA203A"/>
    <w:rsid w:val="00BA37F2"/>
    <w:rsid w:val="00BB5293"/>
    <w:rsid w:val="00BB7BB8"/>
    <w:rsid w:val="00BD0019"/>
    <w:rsid w:val="00BE0C7B"/>
    <w:rsid w:val="00BE1B7E"/>
    <w:rsid w:val="00BE2797"/>
    <w:rsid w:val="00BF1532"/>
    <w:rsid w:val="00BF1A74"/>
    <w:rsid w:val="00BF43AD"/>
    <w:rsid w:val="00C01AAC"/>
    <w:rsid w:val="00C12B56"/>
    <w:rsid w:val="00C13C95"/>
    <w:rsid w:val="00C248A8"/>
    <w:rsid w:val="00C24AFD"/>
    <w:rsid w:val="00C27E82"/>
    <w:rsid w:val="00C30146"/>
    <w:rsid w:val="00C31A8B"/>
    <w:rsid w:val="00C42CFB"/>
    <w:rsid w:val="00C51155"/>
    <w:rsid w:val="00C559AA"/>
    <w:rsid w:val="00C70DF4"/>
    <w:rsid w:val="00C73475"/>
    <w:rsid w:val="00C758D4"/>
    <w:rsid w:val="00C840A3"/>
    <w:rsid w:val="00C85DDE"/>
    <w:rsid w:val="00C96A27"/>
    <w:rsid w:val="00CB2FA5"/>
    <w:rsid w:val="00CB3E6F"/>
    <w:rsid w:val="00CD3EEC"/>
    <w:rsid w:val="00CD4BA9"/>
    <w:rsid w:val="00CE2F31"/>
    <w:rsid w:val="00CE363E"/>
    <w:rsid w:val="00CE39BB"/>
    <w:rsid w:val="00D02355"/>
    <w:rsid w:val="00D47E57"/>
    <w:rsid w:val="00D518E3"/>
    <w:rsid w:val="00D51A85"/>
    <w:rsid w:val="00D72F4C"/>
    <w:rsid w:val="00D83536"/>
    <w:rsid w:val="00D856BC"/>
    <w:rsid w:val="00D91B1D"/>
    <w:rsid w:val="00D976CD"/>
    <w:rsid w:val="00DA3205"/>
    <w:rsid w:val="00DB2EFE"/>
    <w:rsid w:val="00DB3598"/>
    <w:rsid w:val="00DC10C8"/>
    <w:rsid w:val="00DC2686"/>
    <w:rsid w:val="00DC2DA6"/>
    <w:rsid w:val="00DD6CE6"/>
    <w:rsid w:val="00DE2652"/>
    <w:rsid w:val="00DE267E"/>
    <w:rsid w:val="00DE403B"/>
    <w:rsid w:val="00DE6489"/>
    <w:rsid w:val="00DF6E78"/>
    <w:rsid w:val="00E043D4"/>
    <w:rsid w:val="00E04CF0"/>
    <w:rsid w:val="00E06F5C"/>
    <w:rsid w:val="00E140CF"/>
    <w:rsid w:val="00E14D73"/>
    <w:rsid w:val="00E159B6"/>
    <w:rsid w:val="00E206D5"/>
    <w:rsid w:val="00E36428"/>
    <w:rsid w:val="00E37EAD"/>
    <w:rsid w:val="00E44F23"/>
    <w:rsid w:val="00E45992"/>
    <w:rsid w:val="00E518F1"/>
    <w:rsid w:val="00E564D9"/>
    <w:rsid w:val="00E619DB"/>
    <w:rsid w:val="00E6748A"/>
    <w:rsid w:val="00E73DD0"/>
    <w:rsid w:val="00E77A2C"/>
    <w:rsid w:val="00E80CD4"/>
    <w:rsid w:val="00E81108"/>
    <w:rsid w:val="00E816FB"/>
    <w:rsid w:val="00E9222D"/>
    <w:rsid w:val="00EA375D"/>
    <w:rsid w:val="00EA72D5"/>
    <w:rsid w:val="00EA7BE7"/>
    <w:rsid w:val="00EB5EE2"/>
    <w:rsid w:val="00EB6824"/>
    <w:rsid w:val="00EC01FC"/>
    <w:rsid w:val="00EC41B4"/>
    <w:rsid w:val="00ED0857"/>
    <w:rsid w:val="00ED4497"/>
    <w:rsid w:val="00EE0008"/>
    <w:rsid w:val="00EE726D"/>
    <w:rsid w:val="00EF602D"/>
    <w:rsid w:val="00F02036"/>
    <w:rsid w:val="00F0291C"/>
    <w:rsid w:val="00F049C4"/>
    <w:rsid w:val="00F11345"/>
    <w:rsid w:val="00F1161E"/>
    <w:rsid w:val="00F17A65"/>
    <w:rsid w:val="00F23A51"/>
    <w:rsid w:val="00F25A37"/>
    <w:rsid w:val="00F32E4F"/>
    <w:rsid w:val="00F379D0"/>
    <w:rsid w:val="00F45F1D"/>
    <w:rsid w:val="00F4705B"/>
    <w:rsid w:val="00F56E38"/>
    <w:rsid w:val="00F67120"/>
    <w:rsid w:val="00F9633C"/>
    <w:rsid w:val="00F97B21"/>
    <w:rsid w:val="00FA51A5"/>
    <w:rsid w:val="00FB0D75"/>
    <w:rsid w:val="00FB4BB7"/>
    <w:rsid w:val="00FD3316"/>
    <w:rsid w:val="00FD7EBF"/>
    <w:rsid w:val="00FE17CE"/>
    <w:rsid w:val="00FE24D3"/>
    <w:rsid w:val="00FE3EA7"/>
    <w:rsid w:val="00FE6E3C"/>
    <w:rsid w:val="00FF1BB7"/>
    <w:rsid w:val="09B41377"/>
    <w:rsid w:val="5BB53484"/>
    <w:rsid w:val="5F3A75E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C22FC"/>
  <w15:docId w15:val="{1FBF44DB-5C5F-4D99-86E0-0EBC8ADA2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27E"/>
  </w:style>
  <w:style w:type="paragraph" w:styleId="Ttulo1">
    <w:name w:val="heading 1"/>
    <w:basedOn w:val="Normal"/>
    <w:next w:val="Normal"/>
    <w:link w:val="Ttulo1Car"/>
    <w:uiPriority w:val="99"/>
    <w:qFormat/>
    <w:rsid w:val="00E04CF0"/>
    <w:pPr>
      <w:widowControl w:val="0"/>
      <w:autoSpaceDE w:val="0"/>
      <w:autoSpaceDN w:val="0"/>
      <w:adjustRightInd w:val="0"/>
      <w:spacing w:after="0" w:line="240" w:lineRule="auto"/>
      <w:jc w:val="both"/>
      <w:outlineLvl w:val="0"/>
    </w:pPr>
    <w:rPr>
      <w:rFonts w:ascii="Arial" w:eastAsia="Times New Roman" w:hAnsi="Arial" w:cs="Arial"/>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00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0033"/>
  </w:style>
  <w:style w:type="paragraph" w:styleId="Piedepgina">
    <w:name w:val="footer"/>
    <w:basedOn w:val="Normal"/>
    <w:link w:val="PiedepginaCar"/>
    <w:uiPriority w:val="99"/>
    <w:unhideWhenUsed/>
    <w:rsid w:val="002F00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0033"/>
  </w:style>
  <w:style w:type="paragraph" w:styleId="Textodeglobo">
    <w:name w:val="Balloon Text"/>
    <w:basedOn w:val="Normal"/>
    <w:link w:val="TextodegloboCar"/>
    <w:uiPriority w:val="99"/>
    <w:semiHidden/>
    <w:unhideWhenUsed/>
    <w:rsid w:val="002F0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0033"/>
    <w:rPr>
      <w:rFonts w:ascii="Tahoma" w:hAnsi="Tahoma" w:cs="Tahoma"/>
      <w:sz w:val="16"/>
      <w:szCs w:val="16"/>
    </w:rPr>
  </w:style>
  <w:style w:type="character" w:customStyle="1" w:styleId="Ttulo1Car">
    <w:name w:val="Título 1 Car"/>
    <w:basedOn w:val="Fuentedeprrafopredeter"/>
    <w:link w:val="Ttulo1"/>
    <w:uiPriority w:val="99"/>
    <w:rsid w:val="00E04CF0"/>
    <w:rPr>
      <w:rFonts w:ascii="Arial" w:eastAsia="Times New Roman" w:hAnsi="Arial" w:cs="Arial"/>
      <w:sz w:val="24"/>
      <w:szCs w:val="24"/>
      <w:lang w:val="es-ES" w:eastAsia="es-ES"/>
    </w:rPr>
  </w:style>
  <w:style w:type="paragraph" w:styleId="Sinespaciado">
    <w:name w:val="No Spacing"/>
    <w:uiPriority w:val="1"/>
    <w:qFormat/>
    <w:rsid w:val="00E043D4"/>
    <w:pPr>
      <w:spacing w:after="0" w:line="240" w:lineRule="auto"/>
    </w:pPr>
  </w:style>
  <w:style w:type="paragraph" w:customStyle="1" w:styleId="Default">
    <w:name w:val="Default"/>
    <w:rsid w:val="00BB5293"/>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EY EPM - Lista,Viñeta"/>
    <w:basedOn w:val="Normal"/>
    <w:link w:val="PrrafodelistaCar"/>
    <w:uiPriority w:val="34"/>
    <w:qFormat/>
    <w:rsid w:val="00BB5293"/>
    <w:pPr>
      <w:spacing w:after="160" w:line="259" w:lineRule="auto"/>
      <w:ind w:left="720"/>
      <w:contextualSpacing/>
    </w:pPr>
  </w:style>
  <w:style w:type="paragraph" w:customStyle="1" w:styleId="CuerpoB">
    <w:name w:val="Cuerpo B"/>
    <w:rsid w:val="00323CC8"/>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Ninguno">
    <w:name w:val="Ninguno"/>
    <w:rsid w:val="00323CC8"/>
    <w:rPr>
      <w:lang w:val="es-ES_tradnl"/>
    </w:rPr>
  </w:style>
  <w:style w:type="character" w:styleId="Hipervnculo">
    <w:name w:val="Hyperlink"/>
    <w:basedOn w:val="Fuentedeprrafopredeter"/>
    <w:rsid w:val="003B3C0E"/>
    <w:rPr>
      <w:color w:val="0000FF"/>
      <w:u w:val="single"/>
    </w:rPr>
  </w:style>
  <w:style w:type="character" w:customStyle="1" w:styleId="PrrafodelistaCar">
    <w:name w:val="Párrafo de lista Car"/>
    <w:aliases w:val="EY EPM - Lista Car,Viñeta Car"/>
    <w:link w:val="Prrafodelista"/>
    <w:uiPriority w:val="34"/>
    <w:locked/>
    <w:rsid w:val="007657BE"/>
  </w:style>
  <w:style w:type="paragraph" w:customStyle="1" w:styleId="paragraph">
    <w:name w:val="paragraph"/>
    <w:basedOn w:val="Normal"/>
    <w:rsid w:val="007657BE"/>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normaltextrun">
    <w:name w:val="normaltextrun"/>
    <w:basedOn w:val="Fuentedeprrafopredeter"/>
    <w:rsid w:val="007657BE"/>
  </w:style>
  <w:style w:type="character" w:customStyle="1" w:styleId="eop">
    <w:name w:val="eop"/>
    <w:basedOn w:val="Fuentedeprrafopredeter"/>
    <w:rsid w:val="007657BE"/>
  </w:style>
  <w:style w:type="paragraph" w:styleId="Textoindependiente">
    <w:name w:val="Body Text"/>
    <w:basedOn w:val="Normal"/>
    <w:link w:val="TextoindependienteCar"/>
    <w:uiPriority w:val="1"/>
    <w:qFormat/>
    <w:rsid w:val="007657BE"/>
    <w:pPr>
      <w:widowControl w:val="0"/>
      <w:autoSpaceDE w:val="0"/>
      <w:autoSpaceDN w:val="0"/>
      <w:spacing w:after="0" w:line="240" w:lineRule="auto"/>
    </w:pPr>
    <w:rPr>
      <w:rFonts w:ascii="Times New Roman" w:eastAsia="Times New Roman" w:hAnsi="Times New Roman" w:cs="Times New Roman"/>
      <w:sz w:val="26"/>
      <w:szCs w:val="26"/>
      <w:lang w:val="es-ES"/>
    </w:rPr>
  </w:style>
  <w:style w:type="character" w:customStyle="1" w:styleId="TextoindependienteCar">
    <w:name w:val="Texto independiente Car"/>
    <w:basedOn w:val="Fuentedeprrafopredeter"/>
    <w:link w:val="Textoindependiente"/>
    <w:uiPriority w:val="1"/>
    <w:rsid w:val="007657BE"/>
    <w:rPr>
      <w:rFonts w:ascii="Times New Roman" w:eastAsia="Times New Roman" w:hAnsi="Times New Roman" w:cs="Times New Roman"/>
      <w:sz w:val="26"/>
      <w:szCs w:val="26"/>
      <w:lang w:val="es-ES"/>
    </w:rPr>
  </w:style>
  <w:style w:type="table" w:styleId="Tablaconcuadrcula">
    <w:name w:val="Table Grid"/>
    <w:basedOn w:val="Tablanormal"/>
    <w:uiPriority w:val="39"/>
    <w:rsid w:val="0063699D"/>
    <w:pPr>
      <w:spacing w:after="0" w:line="240" w:lineRule="auto"/>
    </w:pPr>
    <w:rPr>
      <w:rFonts w:ascii="Times" w:eastAsia="Times New Roman" w:hAnsi="Times"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CE2F31"/>
    <w:pPr>
      <w:spacing w:after="0" w:line="240" w:lineRule="auto"/>
    </w:pPr>
  </w:style>
  <w:style w:type="character" w:styleId="Refdecomentario">
    <w:name w:val="annotation reference"/>
    <w:basedOn w:val="Fuentedeprrafopredeter"/>
    <w:uiPriority w:val="99"/>
    <w:semiHidden/>
    <w:unhideWhenUsed/>
    <w:rsid w:val="001A76D4"/>
    <w:rPr>
      <w:sz w:val="16"/>
      <w:szCs w:val="16"/>
    </w:rPr>
  </w:style>
  <w:style w:type="paragraph" w:styleId="Textocomentario">
    <w:name w:val="annotation text"/>
    <w:basedOn w:val="Normal"/>
    <w:link w:val="TextocomentarioCar"/>
    <w:uiPriority w:val="99"/>
    <w:unhideWhenUsed/>
    <w:rsid w:val="001A76D4"/>
    <w:pPr>
      <w:spacing w:line="240" w:lineRule="auto"/>
    </w:pPr>
    <w:rPr>
      <w:sz w:val="20"/>
      <w:szCs w:val="20"/>
    </w:rPr>
  </w:style>
  <w:style w:type="character" w:customStyle="1" w:styleId="TextocomentarioCar">
    <w:name w:val="Texto comentario Car"/>
    <w:basedOn w:val="Fuentedeprrafopredeter"/>
    <w:link w:val="Textocomentario"/>
    <w:uiPriority w:val="99"/>
    <w:rsid w:val="001A76D4"/>
    <w:rPr>
      <w:sz w:val="20"/>
      <w:szCs w:val="20"/>
    </w:rPr>
  </w:style>
  <w:style w:type="paragraph" w:styleId="Asuntodelcomentario">
    <w:name w:val="annotation subject"/>
    <w:basedOn w:val="Textocomentario"/>
    <w:next w:val="Textocomentario"/>
    <w:link w:val="AsuntodelcomentarioCar"/>
    <w:uiPriority w:val="99"/>
    <w:semiHidden/>
    <w:unhideWhenUsed/>
    <w:rsid w:val="001A76D4"/>
    <w:rPr>
      <w:b/>
      <w:bCs/>
    </w:rPr>
  </w:style>
  <w:style w:type="character" w:customStyle="1" w:styleId="AsuntodelcomentarioCar">
    <w:name w:val="Asunto del comentario Car"/>
    <w:basedOn w:val="TextocomentarioCar"/>
    <w:link w:val="Asuntodelcomentario"/>
    <w:uiPriority w:val="99"/>
    <w:semiHidden/>
    <w:rsid w:val="001A76D4"/>
    <w:rPr>
      <w:b/>
      <w:bCs/>
      <w:sz w:val="20"/>
      <w:szCs w:val="20"/>
    </w:rPr>
  </w:style>
  <w:style w:type="character" w:customStyle="1" w:styleId="ui-provider">
    <w:name w:val="ui-provider"/>
    <w:basedOn w:val="Fuentedeprrafopredeter"/>
    <w:rsid w:val="00FD3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69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pm.com.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34B6F753C52164FB1D554AAB843CFC0" ma:contentTypeVersion="13" ma:contentTypeDescription="Crear nuevo documento." ma:contentTypeScope="" ma:versionID="047b62e8ac1feae1db807c075fb179e5">
  <xsd:schema xmlns:xsd="http://www.w3.org/2001/XMLSchema" xmlns:xs="http://www.w3.org/2001/XMLSchema" xmlns:p="http://schemas.microsoft.com/office/2006/metadata/properties" xmlns:ns3="da22d1dd-5ebb-4fec-87c6-eff43ee1d269" xmlns:ns4="ad235908-71e9-4a93-8573-0051611839c1" targetNamespace="http://schemas.microsoft.com/office/2006/metadata/properties" ma:root="true" ma:fieldsID="7ec96e028dda28980fc52bb18e58371a" ns3:_="" ns4:_="">
    <xsd:import namespace="da22d1dd-5ebb-4fec-87c6-eff43ee1d269"/>
    <xsd:import namespace="ad235908-71e9-4a93-8573-0051611839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22d1dd-5ebb-4fec-87c6-eff43ee1d26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235908-71e9-4a93-8573-0051611839c1"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CF7B38-8EF9-462C-ADD9-F9C833EA03B0}">
  <ds:schemaRefs>
    <ds:schemaRef ds:uri="http://schemas.microsoft.com/sharepoint/v3/contenttype/forms"/>
  </ds:schemaRefs>
</ds:datastoreItem>
</file>

<file path=customXml/itemProps2.xml><?xml version="1.0" encoding="utf-8"?>
<ds:datastoreItem xmlns:ds="http://schemas.openxmlformats.org/officeDocument/2006/customXml" ds:itemID="{3E9A0762-C398-42D1-B08B-31FAAFC4EF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AFA9E5-87DE-481B-8605-AF6251A84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22d1dd-5ebb-4fec-87c6-eff43ee1d269"/>
    <ds:schemaRef ds:uri="ad235908-71e9-4a93-8573-005161183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ebbfa72-b3b6-4c1f-8b23-058d4f67f013}" enabled="1" method="Privileged" siteId="{bf1ce8b5-5d39-4bc5-ad6e-07b3e4d7d67a}" removed="0"/>
</clbl:labelList>
</file>

<file path=docProps/app.xml><?xml version="1.0" encoding="utf-8"?>
<Properties xmlns="http://schemas.openxmlformats.org/officeDocument/2006/extended-properties" xmlns:vt="http://schemas.openxmlformats.org/officeDocument/2006/docPropsVTypes">
  <Template>Normal</Template>
  <TotalTime>40</TotalTime>
  <Pages>5</Pages>
  <Words>2344</Words>
  <Characters>12893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bospinah</dc:creator>
  <cp:keywords/>
  <cp:lastModifiedBy>SANDRA LUCIA BEDOYA MAYA</cp:lastModifiedBy>
  <cp:revision>3</cp:revision>
  <cp:lastPrinted>2024-04-05T16:53:00Z</cp:lastPrinted>
  <dcterms:created xsi:type="dcterms:W3CDTF">2025-05-26T14:10:00Z</dcterms:created>
  <dcterms:modified xsi:type="dcterms:W3CDTF">2025-05-26T14:11:00Z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0x010100234B6F753C52164FB1D554AAB843CFC0</vt:lpwstr>
  </property>
  <property fmtid="{D5CDD505-2E9C-101B-9397-08002B2CF9AE}" pid="3" name="MSIP_Label_666bb131-2344-48ed-84db-fe1e84a9fae2_Enabled">
    <vt:lpwstr>true</vt:lpwstr>
  </property>
  <property fmtid="{D5CDD505-2E9C-101B-9397-08002B2CF9AE}" pid="4" name="MSIP_Label_666bb131-2344-48ed-84db-fe1e84a9fae2_SetDate">
    <vt:lpwstr>2022-05-19T19:23:58Z</vt:lpwstr>
  </property>
  <property fmtid="{D5CDD505-2E9C-101B-9397-08002B2CF9AE}" pid="5" name="MSIP_Label_666bb131-2344-48ed-84db-fe1e84a9fae2_Method">
    <vt:lpwstr>Standard</vt:lpwstr>
  </property>
  <property fmtid="{D5CDD505-2E9C-101B-9397-08002B2CF9AE}" pid="6" name="MSIP_Label_666bb131-2344-48ed-84db-fe1e84a9fae2_Name">
    <vt:lpwstr>666bb131-2344-48ed-84db-fe1e84a9fae2</vt:lpwstr>
  </property>
  <property fmtid="{D5CDD505-2E9C-101B-9397-08002B2CF9AE}" pid="7" name="MSIP_Label_666bb131-2344-48ed-84db-fe1e84a9fae2_SiteId">
    <vt:lpwstr>bf1ce8b5-5d39-4bc5-ad6e-07b3e4d7d67a</vt:lpwstr>
  </property>
  <property fmtid="{D5CDD505-2E9C-101B-9397-08002B2CF9AE}" pid="8" name="MSIP_Label_666bb131-2344-48ed-84db-fe1e84a9fae2_ActionId">
    <vt:lpwstr>6c0e5dcd-6c56-4de8-af6c-fdc9018341ea</vt:lpwstr>
  </property>
  <property fmtid="{D5CDD505-2E9C-101B-9397-08002B2CF9AE}" pid="9" name="MSIP_Label_666bb131-2344-48ed-84db-fe1e84a9fae2_ContentBits">
    <vt:lpwstr>0</vt:lpwstr>
  </property>
</Properties>
</file>