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olor w:val="99CB38" w:themeColor="accent1"/>
          <w:lang w:eastAsia="en-US"/>
        </w:rPr>
        <w:id w:val="999006180"/>
        <w:docPartObj>
          <w:docPartGallery w:val="Cover Pages"/>
          <w:docPartUnique/>
        </w:docPartObj>
      </w:sdtPr>
      <w:sdtEndPr>
        <w:rPr>
          <w:rFonts w:ascii="Trebuchet MS" w:hAnsi="Trebuchet MS"/>
          <w:sz w:val="28"/>
          <w:szCs w:val="28"/>
        </w:rPr>
      </w:sdtEndPr>
      <w:sdtContent>
        <w:p w14:paraId="03BA9C02" w14:textId="145B432A" w:rsidR="00DB4F7C" w:rsidRPr="002946A9" w:rsidRDefault="00DB4F7C" w:rsidP="00DF29CB">
          <w:pPr>
            <w:pStyle w:val="Sinespaciado"/>
            <w:spacing w:before="1540" w:after="240"/>
            <w:jc w:val="both"/>
            <w:rPr>
              <w:color w:val="99CB38" w:themeColor="accent1"/>
            </w:rPr>
          </w:pPr>
          <w:r w:rsidRPr="002946A9">
            <w:rPr>
              <w:noProof/>
              <w:color w:val="99CB38" w:themeColor="accent1"/>
            </w:rPr>
            <w:drawing>
              <wp:anchor distT="0" distB="0" distL="114300" distR="114300" simplePos="0" relativeHeight="251658240" behindDoc="0" locked="0" layoutInCell="1" allowOverlap="1" wp14:anchorId="2BD4B114" wp14:editId="2BD4B115">
                <wp:simplePos x="0" y="0"/>
                <wp:positionH relativeFrom="column">
                  <wp:posOffset>2085975</wp:posOffset>
                </wp:positionH>
                <wp:positionV relativeFrom="paragraph">
                  <wp:posOffset>219075</wp:posOffset>
                </wp:positionV>
                <wp:extent cx="1978660" cy="849630"/>
                <wp:effectExtent l="0" t="0" r="0" b="7620"/>
                <wp:wrapThrough wrapText="bothSides">
                  <wp:wrapPolygon edited="0">
                    <wp:start x="19132" y="0"/>
                    <wp:lineTo x="3119" y="4359"/>
                    <wp:lineTo x="624" y="5327"/>
                    <wp:lineTo x="624" y="13076"/>
                    <wp:lineTo x="2496" y="15982"/>
                    <wp:lineTo x="5615" y="15982"/>
                    <wp:lineTo x="5823" y="21309"/>
                    <wp:lineTo x="6031" y="21309"/>
                    <wp:lineTo x="6863" y="21309"/>
                    <wp:lineTo x="12893" y="21309"/>
                    <wp:lineTo x="18716" y="18404"/>
                    <wp:lineTo x="19340" y="9686"/>
                    <wp:lineTo x="19132" y="8233"/>
                    <wp:lineTo x="20380" y="6296"/>
                    <wp:lineTo x="21004" y="2906"/>
                    <wp:lineTo x="20380" y="0"/>
                    <wp:lineTo x="19132" y="0"/>
                  </wp:wrapPolygon>
                </wp:wrapThrough>
                <wp:docPr id="7" name="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8660" cy="849630"/>
                        </a:xfrm>
                        <a:prstGeom prst="rect">
                          <a:avLst/>
                        </a:prstGeom>
                      </pic:spPr>
                    </pic:pic>
                  </a:graphicData>
                </a:graphic>
                <wp14:sizeRelH relativeFrom="page">
                  <wp14:pctWidth>0</wp14:pctWidth>
                </wp14:sizeRelH>
                <wp14:sizeRelV relativeFrom="page">
                  <wp14:pctHeight>0</wp14:pctHeight>
                </wp14:sizeRelV>
              </wp:anchor>
            </w:drawing>
          </w:r>
        </w:p>
        <w:sdt>
          <w:sdtPr>
            <w:rPr>
              <w:rFonts w:ascii="Trebuchet MS" w:hAnsi="Trebuchet MS"/>
              <w:color w:val="31521B" w:themeColor="accent2" w:themeShade="80"/>
              <w:sz w:val="52"/>
              <w:szCs w:val="52"/>
            </w:rPr>
            <w:alias w:val="Título"/>
            <w:tag w:val=""/>
            <w:id w:val="1735040861"/>
            <w:placeholder>
              <w:docPart w:val="2F1F1A089F654F97A5BE6F67A332E42D"/>
            </w:placeholder>
            <w:dataBinding w:prefixMappings="xmlns:ns0='http://purl.org/dc/elements/1.1/' xmlns:ns1='http://schemas.openxmlformats.org/package/2006/metadata/core-properties' " w:xpath="/ns1:coreProperties[1]/ns0:title[1]" w:storeItemID="{6C3C8BC8-F283-45AE-878A-BAB7291924A1}"/>
            <w:text/>
          </w:sdtPr>
          <w:sdtEndPr/>
          <w:sdtContent>
            <w:p w14:paraId="28FFB139" w14:textId="0F22D330" w:rsidR="00DB4F7C" w:rsidRPr="002946A9" w:rsidRDefault="007B7AEB" w:rsidP="00E52B40">
              <w:pPr>
                <w:jc w:val="center"/>
                <w:rPr>
                  <w:rFonts w:ascii="Trebuchet MS" w:hAnsi="Trebuchet MS"/>
                  <w:color w:val="31521B" w:themeColor="accent2" w:themeShade="80"/>
                  <w:sz w:val="52"/>
                  <w:szCs w:val="52"/>
                </w:rPr>
              </w:pPr>
              <w:r>
                <w:rPr>
                  <w:rFonts w:ascii="Trebuchet MS" w:hAnsi="Trebuchet MS"/>
                  <w:color w:val="31521B" w:themeColor="accent2" w:themeShade="80"/>
                  <w:sz w:val="52"/>
                  <w:szCs w:val="52"/>
                </w:rPr>
                <w:t>Informe Seguimiento a la Ejecución del Plan de Inversiones Regulatorio – Año 2022</w:t>
              </w:r>
            </w:p>
          </w:sdtContent>
        </w:sdt>
        <w:p w14:paraId="2019F057" w14:textId="385347A0" w:rsidR="00350C39" w:rsidRPr="002946A9" w:rsidRDefault="00C85EE1" w:rsidP="00EC201C">
          <w:pPr>
            <w:pStyle w:val="Sinespaciado"/>
            <w:spacing w:before="480"/>
            <w:jc w:val="center"/>
            <w:rPr>
              <w:rFonts w:ascii="Trebuchet MS" w:hAnsi="Trebuchet MS"/>
              <w:color w:val="99CB38" w:themeColor="accent1"/>
              <w:sz w:val="24"/>
              <w:szCs w:val="28"/>
            </w:rPr>
          </w:pPr>
          <w:r w:rsidRPr="002946A9">
            <w:rPr>
              <w:rFonts w:ascii="Trebuchet MS" w:hAnsi="Trebuchet MS"/>
              <w:color w:val="99CB38" w:themeColor="accent1"/>
              <w:sz w:val="24"/>
              <w:szCs w:val="28"/>
            </w:rPr>
            <w:t>(</w:t>
          </w:r>
          <w:r w:rsidR="0012542F" w:rsidRPr="002946A9">
            <w:rPr>
              <w:rFonts w:ascii="Trebuchet MS" w:hAnsi="Trebuchet MS"/>
              <w:color w:val="99CB38" w:themeColor="accent1"/>
              <w:sz w:val="24"/>
              <w:szCs w:val="28"/>
            </w:rPr>
            <w:t>Unidad Transacciones T&amp;D Energía</w:t>
          </w:r>
          <w:r w:rsidRPr="002946A9">
            <w:rPr>
              <w:rFonts w:ascii="Trebuchet MS" w:hAnsi="Trebuchet MS"/>
              <w:color w:val="99CB38" w:themeColor="accent1"/>
              <w:sz w:val="24"/>
              <w:szCs w:val="28"/>
            </w:rPr>
            <w:t>)</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70" w:type="dxa"/>
              <w:right w:w="70" w:type="dxa"/>
            </w:tblCellMar>
            <w:tblLook w:val="04A0" w:firstRow="1" w:lastRow="0" w:firstColumn="1" w:lastColumn="0" w:noHBand="0" w:noVBand="1"/>
          </w:tblPr>
          <w:tblGrid>
            <w:gridCol w:w="1722"/>
            <w:gridCol w:w="4917"/>
            <w:gridCol w:w="2189"/>
          </w:tblGrid>
          <w:tr w:rsidR="00941A03" w:rsidRPr="002946A9" w14:paraId="04F6CDEC" w14:textId="77777777" w:rsidTr="004639F7">
            <w:trPr>
              <w:trHeight w:val="397"/>
              <w:jc w:val="center"/>
            </w:trPr>
            <w:tc>
              <w:tcPr>
                <w:tcW w:w="975" w:type="pct"/>
                <w:tcBorders>
                  <w:top w:val="single" w:sz="4" w:space="0" w:color="BFBFBF"/>
                  <w:left w:val="single" w:sz="4" w:space="0" w:color="BFBFBF"/>
                  <w:bottom w:val="single" w:sz="4" w:space="0" w:color="BFBFBF"/>
                  <w:right w:val="single" w:sz="4" w:space="0" w:color="BFBFBF"/>
                </w:tcBorders>
                <w:shd w:val="pct20" w:color="auto" w:fill="FFFFFF"/>
                <w:vAlign w:val="center"/>
                <w:hideMark/>
              </w:tcPr>
              <w:p w14:paraId="062763AD" w14:textId="77777777" w:rsidR="00941A03" w:rsidRPr="002946A9" w:rsidRDefault="00941A03" w:rsidP="004639F7">
                <w:pPr>
                  <w:spacing w:line="256" w:lineRule="auto"/>
                  <w:jc w:val="center"/>
                  <w:rPr>
                    <w:rFonts w:ascii="Trebuchet MS" w:hAnsi="Trebuchet MS" w:cs="Arial"/>
                    <w:b/>
                    <w:szCs w:val="24"/>
                  </w:rPr>
                </w:pPr>
                <w:r w:rsidRPr="002946A9">
                  <w:rPr>
                    <w:rFonts w:ascii="Trebuchet MS" w:hAnsi="Trebuchet MS" w:cs="Arial"/>
                    <w:b/>
                    <w:szCs w:val="24"/>
                  </w:rPr>
                  <w:t>Rev. No.</w:t>
                </w:r>
              </w:p>
            </w:tc>
            <w:tc>
              <w:tcPr>
                <w:tcW w:w="2785" w:type="pct"/>
                <w:tcBorders>
                  <w:top w:val="single" w:sz="4" w:space="0" w:color="BFBFBF"/>
                  <w:left w:val="single" w:sz="4" w:space="0" w:color="BFBFBF"/>
                  <w:bottom w:val="single" w:sz="4" w:space="0" w:color="BFBFBF"/>
                  <w:right w:val="single" w:sz="4" w:space="0" w:color="BFBFBF"/>
                </w:tcBorders>
                <w:shd w:val="pct20" w:color="auto" w:fill="FFFFFF"/>
                <w:vAlign w:val="center"/>
                <w:hideMark/>
              </w:tcPr>
              <w:p w14:paraId="30279B85" w14:textId="37D2A80F" w:rsidR="00941A03" w:rsidRPr="002946A9" w:rsidRDefault="00941A03" w:rsidP="004639F7">
                <w:pPr>
                  <w:spacing w:line="256" w:lineRule="auto"/>
                  <w:jc w:val="center"/>
                  <w:rPr>
                    <w:rFonts w:ascii="Trebuchet MS" w:hAnsi="Trebuchet MS" w:cs="Arial"/>
                    <w:b/>
                    <w:szCs w:val="24"/>
                  </w:rPr>
                </w:pPr>
                <w:r w:rsidRPr="002946A9">
                  <w:rPr>
                    <w:rFonts w:ascii="Trebuchet MS" w:hAnsi="Trebuchet MS" w:cs="Arial"/>
                    <w:b/>
                    <w:szCs w:val="24"/>
                  </w:rPr>
                  <w:t>MODIFICACI</w:t>
                </w:r>
                <w:r w:rsidR="00B70D1B" w:rsidRPr="002946A9">
                  <w:rPr>
                    <w:rFonts w:ascii="Trebuchet MS" w:hAnsi="Trebuchet MS" w:cs="Arial"/>
                    <w:b/>
                    <w:szCs w:val="24"/>
                  </w:rPr>
                  <w:t>Ó</w:t>
                </w:r>
                <w:r w:rsidRPr="002946A9">
                  <w:rPr>
                    <w:rFonts w:ascii="Trebuchet MS" w:hAnsi="Trebuchet MS" w:cs="Arial"/>
                    <w:b/>
                    <w:szCs w:val="24"/>
                  </w:rPr>
                  <w:t>N EFECTUADA</w:t>
                </w:r>
              </w:p>
            </w:tc>
            <w:tc>
              <w:tcPr>
                <w:tcW w:w="1240" w:type="pct"/>
                <w:tcBorders>
                  <w:top w:val="single" w:sz="4" w:space="0" w:color="BFBFBF"/>
                  <w:left w:val="single" w:sz="4" w:space="0" w:color="BFBFBF"/>
                  <w:bottom w:val="single" w:sz="4" w:space="0" w:color="BFBFBF"/>
                  <w:right w:val="single" w:sz="4" w:space="0" w:color="BFBFBF"/>
                </w:tcBorders>
                <w:shd w:val="pct20" w:color="auto" w:fill="FFFFFF"/>
                <w:vAlign w:val="center"/>
                <w:hideMark/>
              </w:tcPr>
              <w:p w14:paraId="7A861594" w14:textId="77777777" w:rsidR="00941A03" w:rsidRPr="002946A9" w:rsidRDefault="00941A03" w:rsidP="004639F7">
                <w:pPr>
                  <w:spacing w:line="256" w:lineRule="auto"/>
                  <w:jc w:val="center"/>
                  <w:rPr>
                    <w:rFonts w:ascii="Trebuchet MS" w:hAnsi="Trebuchet MS" w:cs="Arial"/>
                    <w:b/>
                    <w:szCs w:val="24"/>
                  </w:rPr>
                </w:pPr>
                <w:r w:rsidRPr="002946A9">
                  <w:rPr>
                    <w:rFonts w:ascii="Trebuchet MS" w:hAnsi="Trebuchet MS" w:cs="Arial"/>
                    <w:b/>
                    <w:szCs w:val="24"/>
                  </w:rPr>
                  <w:t>FECHA</w:t>
                </w:r>
              </w:p>
            </w:tc>
          </w:tr>
          <w:tr w:rsidR="00385EEF" w:rsidRPr="002946A9" w14:paraId="3C999834" w14:textId="77777777" w:rsidTr="009E03A3">
            <w:trPr>
              <w:trHeight w:val="323"/>
              <w:jc w:val="center"/>
            </w:trPr>
            <w:tc>
              <w:tcPr>
                <w:tcW w:w="975" w:type="pct"/>
                <w:tcBorders>
                  <w:top w:val="single" w:sz="4" w:space="0" w:color="BFBFBF"/>
                  <w:left w:val="single" w:sz="4" w:space="0" w:color="BFBFBF"/>
                  <w:bottom w:val="single" w:sz="4" w:space="0" w:color="BFBFBF"/>
                  <w:right w:val="single" w:sz="4" w:space="0" w:color="BFBFBF"/>
                </w:tcBorders>
                <w:vAlign w:val="center"/>
              </w:tcPr>
              <w:p w14:paraId="0B4693A8" w14:textId="756BDB01" w:rsidR="00385EEF" w:rsidRPr="002946A9" w:rsidRDefault="00385EEF" w:rsidP="00DF29CB">
                <w:pPr>
                  <w:spacing w:line="256" w:lineRule="auto"/>
                  <w:jc w:val="both"/>
                  <w:rPr>
                    <w:rFonts w:ascii="Trebuchet MS" w:hAnsi="Trebuchet MS" w:cs="Arial"/>
                    <w:szCs w:val="24"/>
                  </w:rPr>
                </w:pPr>
                <w:r w:rsidRPr="002946A9">
                  <w:rPr>
                    <w:rFonts w:ascii="Trebuchet MS" w:hAnsi="Trebuchet MS" w:cs="Arial"/>
                    <w:szCs w:val="24"/>
                  </w:rPr>
                  <w:t>00</w:t>
                </w:r>
              </w:p>
            </w:tc>
            <w:tc>
              <w:tcPr>
                <w:tcW w:w="2785" w:type="pct"/>
                <w:tcBorders>
                  <w:top w:val="single" w:sz="4" w:space="0" w:color="BFBFBF"/>
                  <w:left w:val="single" w:sz="4" w:space="0" w:color="BFBFBF"/>
                  <w:bottom w:val="single" w:sz="4" w:space="0" w:color="BFBFBF"/>
                  <w:right w:val="single" w:sz="4" w:space="0" w:color="BFBFBF"/>
                </w:tcBorders>
                <w:vAlign w:val="center"/>
                <w:hideMark/>
              </w:tcPr>
              <w:p w14:paraId="2D9B3AFF" w14:textId="425B9824" w:rsidR="00385EEF" w:rsidRPr="002946A9" w:rsidRDefault="00385EEF" w:rsidP="00DF29CB">
                <w:pPr>
                  <w:spacing w:line="256" w:lineRule="auto"/>
                  <w:jc w:val="both"/>
                  <w:rPr>
                    <w:rFonts w:ascii="Trebuchet MS" w:hAnsi="Trebuchet MS" w:cs="Arial"/>
                    <w:szCs w:val="24"/>
                  </w:rPr>
                </w:pPr>
                <w:r w:rsidRPr="002946A9">
                  <w:rPr>
                    <w:rFonts w:ascii="Trebuchet MS" w:hAnsi="Trebuchet MS" w:cs="Arial"/>
                    <w:lang w:val="es-ES"/>
                  </w:rPr>
                  <w:t>Versión inicial</w:t>
                </w:r>
              </w:p>
            </w:tc>
            <w:tc>
              <w:tcPr>
                <w:tcW w:w="1240" w:type="pct"/>
                <w:tcBorders>
                  <w:top w:val="single" w:sz="4" w:space="0" w:color="BFBFBF"/>
                  <w:left w:val="single" w:sz="4" w:space="0" w:color="BFBFBF"/>
                  <w:bottom w:val="single" w:sz="4" w:space="0" w:color="BFBFBF"/>
                  <w:right w:val="single" w:sz="4" w:space="0" w:color="BFBFBF"/>
                </w:tcBorders>
                <w:vAlign w:val="center"/>
                <w:hideMark/>
              </w:tcPr>
              <w:p w14:paraId="37330D7F" w14:textId="05D44A98" w:rsidR="00385EEF" w:rsidRPr="002946A9" w:rsidRDefault="00385EEF" w:rsidP="00DF29CB">
                <w:pPr>
                  <w:spacing w:line="256" w:lineRule="auto"/>
                  <w:jc w:val="both"/>
                  <w:rPr>
                    <w:rFonts w:ascii="Trebuchet MS" w:hAnsi="Trebuchet MS" w:cs="Arial"/>
                    <w:szCs w:val="24"/>
                    <w:lang w:val="es-ES_tradnl" w:eastAsia="es-ES"/>
                  </w:rPr>
                </w:pPr>
                <w:r w:rsidRPr="002946A9">
                  <w:rPr>
                    <w:rFonts w:ascii="Trebuchet MS" w:hAnsi="Trebuchet MS" w:cs="Arial"/>
                    <w:color w:val="000000" w:themeColor="text1"/>
                    <w:szCs w:val="24"/>
                    <w:lang w:val="es-ES"/>
                  </w:rPr>
                  <w:t>202</w:t>
                </w:r>
                <w:r w:rsidR="00EC201C">
                  <w:rPr>
                    <w:rFonts w:ascii="Trebuchet MS" w:hAnsi="Trebuchet MS" w:cs="Arial"/>
                    <w:color w:val="000000" w:themeColor="text1"/>
                    <w:szCs w:val="24"/>
                    <w:lang w:val="es-ES"/>
                  </w:rPr>
                  <w:t>3</w:t>
                </w:r>
                <w:r w:rsidRPr="002946A9">
                  <w:rPr>
                    <w:rFonts w:ascii="Trebuchet MS" w:hAnsi="Trebuchet MS" w:cs="Arial"/>
                    <w:color w:val="000000" w:themeColor="text1"/>
                    <w:szCs w:val="24"/>
                    <w:lang w:val="es-ES"/>
                  </w:rPr>
                  <w:t>/03/</w:t>
                </w:r>
                <w:r w:rsidR="00984465" w:rsidRPr="002946A9">
                  <w:rPr>
                    <w:rFonts w:ascii="Trebuchet MS" w:hAnsi="Trebuchet MS" w:cs="Arial"/>
                    <w:color w:val="000000" w:themeColor="text1"/>
                    <w:szCs w:val="24"/>
                    <w:lang w:val="es-ES"/>
                  </w:rPr>
                  <w:t>30</w:t>
                </w:r>
              </w:p>
            </w:tc>
          </w:tr>
          <w:tr w:rsidR="00941A03" w:rsidRPr="002946A9" w14:paraId="3E174A26" w14:textId="77777777" w:rsidTr="009E03A3">
            <w:trPr>
              <w:trHeight w:val="25"/>
              <w:jc w:val="center"/>
            </w:trPr>
            <w:tc>
              <w:tcPr>
                <w:tcW w:w="975" w:type="pct"/>
                <w:tcBorders>
                  <w:top w:val="single" w:sz="4" w:space="0" w:color="BFBFBF"/>
                  <w:left w:val="single" w:sz="4" w:space="0" w:color="BFBFBF"/>
                  <w:bottom w:val="single" w:sz="4" w:space="0" w:color="BFBFBF"/>
                  <w:right w:val="single" w:sz="4" w:space="0" w:color="BFBFBF"/>
                </w:tcBorders>
                <w:vAlign w:val="center"/>
              </w:tcPr>
              <w:p w14:paraId="6B70DF46" w14:textId="77777777" w:rsidR="00941A03" w:rsidRPr="002946A9" w:rsidRDefault="00941A03" w:rsidP="00DF29CB">
                <w:pPr>
                  <w:spacing w:line="256" w:lineRule="auto"/>
                  <w:jc w:val="both"/>
                  <w:rPr>
                    <w:rFonts w:ascii="Trebuchet MS" w:hAnsi="Trebuchet MS" w:cs="Arial"/>
                    <w:szCs w:val="24"/>
                    <w:lang w:val="en-US"/>
                  </w:rPr>
                </w:pPr>
              </w:p>
            </w:tc>
            <w:tc>
              <w:tcPr>
                <w:tcW w:w="2785" w:type="pct"/>
                <w:tcBorders>
                  <w:top w:val="single" w:sz="4" w:space="0" w:color="BFBFBF"/>
                  <w:left w:val="single" w:sz="4" w:space="0" w:color="BFBFBF"/>
                  <w:bottom w:val="single" w:sz="4" w:space="0" w:color="BFBFBF"/>
                  <w:right w:val="single" w:sz="4" w:space="0" w:color="BFBFBF"/>
                </w:tcBorders>
                <w:vAlign w:val="center"/>
              </w:tcPr>
              <w:p w14:paraId="64327F35" w14:textId="77777777" w:rsidR="00941A03" w:rsidRPr="002946A9" w:rsidRDefault="00941A03" w:rsidP="00DF29CB">
                <w:pPr>
                  <w:pStyle w:val="Textodenotaalfinal"/>
                  <w:spacing w:line="256" w:lineRule="auto"/>
                  <w:jc w:val="both"/>
                  <w:rPr>
                    <w:rFonts w:ascii="Trebuchet MS" w:hAnsi="Trebuchet MS" w:cs="Arial"/>
                    <w:szCs w:val="24"/>
                    <w:lang w:eastAsia="en-US"/>
                  </w:rPr>
                </w:pPr>
              </w:p>
            </w:tc>
            <w:tc>
              <w:tcPr>
                <w:tcW w:w="1240" w:type="pct"/>
                <w:tcBorders>
                  <w:top w:val="single" w:sz="4" w:space="0" w:color="BFBFBF"/>
                  <w:left w:val="single" w:sz="4" w:space="0" w:color="BFBFBF"/>
                  <w:bottom w:val="single" w:sz="4" w:space="0" w:color="BFBFBF"/>
                  <w:right w:val="single" w:sz="4" w:space="0" w:color="BFBFBF"/>
                </w:tcBorders>
                <w:vAlign w:val="center"/>
              </w:tcPr>
              <w:p w14:paraId="0046FAFC" w14:textId="77777777" w:rsidR="00941A03" w:rsidRPr="002946A9" w:rsidRDefault="00941A03" w:rsidP="00DF29CB">
                <w:pPr>
                  <w:spacing w:line="256" w:lineRule="auto"/>
                  <w:jc w:val="both"/>
                  <w:rPr>
                    <w:rFonts w:ascii="Trebuchet MS" w:hAnsi="Trebuchet MS" w:cs="Arial"/>
                    <w:szCs w:val="24"/>
                    <w:lang w:val="es-ES_tradnl" w:eastAsia="es-ES"/>
                  </w:rPr>
                </w:pPr>
              </w:p>
            </w:tc>
          </w:tr>
        </w:tbl>
        <w:p w14:paraId="1E845AEA" w14:textId="3C374AE1" w:rsidR="00A215E4" w:rsidRPr="002946A9" w:rsidRDefault="00A215E4" w:rsidP="00DF29CB">
          <w:pPr>
            <w:jc w:val="both"/>
            <w:rPr>
              <w:rFonts w:ascii="Trebuchet MS" w:eastAsiaTheme="minorEastAsia" w:hAnsi="Trebuchet MS"/>
              <w:color w:val="99CB38" w:themeColor="accent1"/>
              <w:sz w:val="28"/>
              <w:szCs w:val="28"/>
              <w:lang w:eastAsia="es-CO"/>
            </w:rPr>
          </w:pP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left w:w="70" w:type="dxa"/>
              <w:right w:w="70" w:type="dxa"/>
            </w:tblCellMar>
            <w:tblLook w:val="04A0" w:firstRow="1" w:lastRow="0" w:firstColumn="1" w:lastColumn="0" w:noHBand="0" w:noVBand="1"/>
          </w:tblPr>
          <w:tblGrid>
            <w:gridCol w:w="997"/>
            <w:gridCol w:w="2684"/>
            <w:gridCol w:w="2836"/>
            <w:gridCol w:w="2311"/>
          </w:tblGrid>
          <w:tr w:rsidR="00D97942" w:rsidRPr="002946A9" w14:paraId="0E64D313" w14:textId="77777777" w:rsidTr="00901758">
            <w:trPr>
              <w:trHeight w:val="20"/>
              <w:jc w:val="center"/>
            </w:trPr>
            <w:tc>
              <w:tcPr>
                <w:tcW w:w="565" w:type="pct"/>
                <w:tcBorders>
                  <w:top w:val="single" w:sz="4" w:space="0" w:color="BFBFBF"/>
                  <w:left w:val="single" w:sz="4" w:space="0" w:color="BFBFBF"/>
                  <w:bottom w:val="single" w:sz="4" w:space="0" w:color="BFBFBF"/>
                  <w:right w:val="single" w:sz="4" w:space="0" w:color="BFBFBF"/>
                </w:tcBorders>
                <w:shd w:val="pct20" w:color="auto" w:fill="FFFFFF"/>
                <w:vAlign w:val="center"/>
                <w:hideMark/>
              </w:tcPr>
              <w:p w14:paraId="56A09354" w14:textId="77777777" w:rsidR="00941A03" w:rsidRPr="002946A9" w:rsidRDefault="00941A03" w:rsidP="00901758">
                <w:pPr>
                  <w:spacing w:line="256" w:lineRule="auto"/>
                  <w:jc w:val="center"/>
                  <w:rPr>
                    <w:rFonts w:ascii="Trebuchet MS" w:hAnsi="Trebuchet MS" w:cs="Arial"/>
                    <w:b/>
                    <w:szCs w:val="24"/>
                  </w:rPr>
                </w:pPr>
                <w:r w:rsidRPr="002946A9">
                  <w:rPr>
                    <w:rFonts w:ascii="Trebuchet MS" w:hAnsi="Trebuchet MS" w:cs="Arial"/>
                    <w:b/>
                    <w:szCs w:val="24"/>
                  </w:rPr>
                  <w:t>ÍTEM</w:t>
                </w:r>
              </w:p>
            </w:tc>
            <w:tc>
              <w:tcPr>
                <w:tcW w:w="1520" w:type="pct"/>
                <w:tcBorders>
                  <w:top w:val="single" w:sz="4" w:space="0" w:color="BFBFBF"/>
                  <w:left w:val="single" w:sz="4" w:space="0" w:color="BFBFBF"/>
                  <w:bottom w:val="single" w:sz="4" w:space="0" w:color="BFBFBF"/>
                  <w:right w:val="single" w:sz="4" w:space="0" w:color="BFBFBF"/>
                </w:tcBorders>
                <w:shd w:val="pct20" w:color="auto" w:fill="FFFFFF"/>
                <w:vAlign w:val="center"/>
                <w:hideMark/>
              </w:tcPr>
              <w:p w14:paraId="6940F2ED" w14:textId="77777777" w:rsidR="00941A03" w:rsidRPr="002946A9" w:rsidRDefault="00941A03" w:rsidP="00901758">
                <w:pPr>
                  <w:spacing w:line="256" w:lineRule="auto"/>
                  <w:jc w:val="center"/>
                  <w:rPr>
                    <w:rFonts w:ascii="Trebuchet MS" w:hAnsi="Trebuchet MS" w:cs="Arial"/>
                    <w:b/>
                    <w:szCs w:val="24"/>
                  </w:rPr>
                </w:pPr>
                <w:r w:rsidRPr="002946A9">
                  <w:rPr>
                    <w:rFonts w:ascii="Trebuchet MS" w:hAnsi="Trebuchet MS" w:cs="Arial"/>
                    <w:b/>
                    <w:szCs w:val="24"/>
                  </w:rPr>
                  <w:t>ELABORÓ</w:t>
                </w:r>
              </w:p>
            </w:tc>
            <w:tc>
              <w:tcPr>
                <w:tcW w:w="1606" w:type="pct"/>
                <w:tcBorders>
                  <w:top w:val="single" w:sz="4" w:space="0" w:color="BFBFBF"/>
                  <w:left w:val="single" w:sz="4" w:space="0" w:color="BFBFBF"/>
                  <w:bottom w:val="single" w:sz="4" w:space="0" w:color="BFBFBF"/>
                  <w:right w:val="single" w:sz="4" w:space="0" w:color="BFBFBF"/>
                </w:tcBorders>
                <w:shd w:val="pct20" w:color="auto" w:fill="FFFFFF"/>
                <w:vAlign w:val="center"/>
                <w:hideMark/>
              </w:tcPr>
              <w:p w14:paraId="7BB46023" w14:textId="77777777" w:rsidR="00941A03" w:rsidRPr="002946A9" w:rsidRDefault="00941A03" w:rsidP="00901758">
                <w:pPr>
                  <w:spacing w:line="256" w:lineRule="auto"/>
                  <w:jc w:val="center"/>
                  <w:rPr>
                    <w:rFonts w:ascii="Trebuchet MS" w:hAnsi="Trebuchet MS" w:cs="Arial"/>
                    <w:b/>
                    <w:szCs w:val="24"/>
                  </w:rPr>
                </w:pPr>
                <w:r w:rsidRPr="002946A9">
                  <w:rPr>
                    <w:rFonts w:ascii="Trebuchet MS" w:hAnsi="Trebuchet MS" w:cs="Arial"/>
                    <w:b/>
                    <w:szCs w:val="24"/>
                  </w:rPr>
                  <w:t>REVISÓ</w:t>
                </w:r>
              </w:p>
            </w:tc>
            <w:tc>
              <w:tcPr>
                <w:tcW w:w="1309" w:type="pct"/>
                <w:tcBorders>
                  <w:top w:val="single" w:sz="4" w:space="0" w:color="BFBFBF"/>
                  <w:left w:val="single" w:sz="4" w:space="0" w:color="BFBFBF"/>
                  <w:bottom w:val="single" w:sz="4" w:space="0" w:color="BFBFBF"/>
                  <w:right w:val="single" w:sz="4" w:space="0" w:color="BFBFBF"/>
                </w:tcBorders>
                <w:shd w:val="pct20" w:color="auto" w:fill="FFFFFF"/>
                <w:vAlign w:val="center"/>
                <w:hideMark/>
              </w:tcPr>
              <w:p w14:paraId="51D90A16" w14:textId="77777777" w:rsidR="00941A03" w:rsidRPr="002946A9" w:rsidRDefault="00941A03" w:rsidP="00901758">
                <w:pPr>
                  <w:spacing w:line="256" w:lineRule="auto"/>
                  <w:jc w:val="center"/>
                  <w:rPr>
                    <w:rFonts w:ascii="Trebuchet MS" w:hAnsi="Trebuchet MS" w:cs="Arial"/>
                    <w:b/>
                    <w:szCs w:val="24"/>
                  </w:rPr>
                </w:pPr>
                <w:r w:rsidRPr="002946A9">
                  <w:rPr>
                    <w:rFonts w:ascii="Trebuchet MS" w:hAnsi="Trebuchet MS" w:cs="Arial"/>
                    <w:b/>
                    <w:szCs w:val="24"/>
                  </w:rPr>
                  <w:t>APROBÓ</w:t>
                </w:r>
              </w:p>
            </w:tc>
          </w:tr>
          <w:tr w:rsidR="00D97942" w:rsidRPr="002946A9" w14:paraId="12D5093D" w14:textId="77777777" w:rsidTr="004639F7">
            <w:trPr>
              <w:trHeight w:val="20"/>
              <w:jc w:val="center"/>
            </w:trPr>
            <w:tc>
              <w:tcPr>
                <w:tcW w:w="565" w:type="pct"/>
                <w:tcBorders>
                  <w:top w:val="single" w:sz="4" w:space="0" w:color="BFBFBF"/>
                  <w:left w:val="single" w:sz="4" w:space="0" w:color="BFBFBF"/>
                  <w:bottom w:val="single" w:sz="4" w:space="0" w:color="BFBFBF"/>
                  <w:right w:val="single" w:sz="4" w:space="0" w:color="BFBFBF"/>
                </w:tcBorders>
                <w:vAlign w:val="center"/>
                <w:hideMark/>
              </w:tcPr>
              <w:p w14:paraId="4D0234A7" w14:textId="77777777" w:rsidR="00200FA7" w:rsidRPr="002946A9" w:rsidRDefault="00200FA7" w:rsidP="004639F7">
                <w:pPr>
                  <w:spacing w:line="256" w:lineRule="auto"/>
                  <w:jc w:val="center"/>
                  <w:rPr>
                    <w:rFonts w:ascii="Trebuchet MS" w:hAnsi="Trebuchet MS" w:cs="Arial"/>
                    <w:b/>
                    <w:szCs w:val="24"/>
                  </w:rPr>
                </w:pPr>
                <w:r w:rsidRPr="002946A9">
                  <w:rPr>
                    <w:rFonts w:ascii="Trebuchet MS" w:hAnsi="Trebuchet MS" w:cs="Arial"/>
                    <w:b/>
                    <w:szCs w:val="24"/>
                  </w:rPr>
                  <w:t>CARGO</w:t>
                </w:r>
              </w:p>
            </w:tc>
            <w:tc>
              <w:tcPr>
                <w:tcW w:w="1520" w:type="pct"/>
                <w:tcBorders>
                  <w:top w:val="single" w:sz="4" w:space="0" w:color="BFBFBF"/>
                  <w:left w:val="single" w:sz="4" w:space="0" w:color="BFBFBF"/>
                  <w:bottom w:val="single" w:sz="4" w:space="0" w:color="BFBFBF"/>
                  <w:right w:val="single" w:sz="4" w:space="0" w:color="BFBFBF"/>
                </w:tcBorders>
                <w:vAlign w:val="center"/>
              </w:tcPr>
              <w:p w14:paraId="2C6057F1" w14:textId="47B9AFEC" w:rsidR="00200FA7" w:rsidRPr="002946A9" w:rsidRDefault="00200FA7" w:rsidP="004639F7">
                <w:pPr>
                  <w:spacing w:line="256" w:lineRule="auto"/>
                  <w:rPr>
                    <w:rFonts w:ascii="Trebuchet MS" w:hAnsi="Trebuchet MS" w:cs="Arial"/>
                    <w:lang w:val="es-ES"/>
                  </w:rPr>
                </w:pPr>
                <w:r w:rsidRPr="002946A9">
                  <w:rPr>
                    <w:rFonts w:ascii="Trebuchet MS" w:hAnsi="Trebuchet MS" w:cs="Arial"/>
                    <w:lang w:val="es-ES"/>
                  </w:rPr>
                  <w:t xml:space="preserve">Profesional </w:t>
                </w:r>
                <w:r w:rsidR="006B36C7">
                  <w:rPr>
                    <w:rFonts w:ascii="Trebuchet MS" w:hAnsi="Trebuchet MS" w:cs="Arial"/>
                    <w:lang w:val="es-ES"/>
                  </w:rPr>
                  <w:t>B</w:t>
                </w:r>
                <w:r w:rsidRPr="002946A9">
                  <w:rPr>
                    <w:rFonts w:ascii="Trebuchet MS" w:hAnsi="Trebuchet MS" w:cs="Arial"/>
                    <w:lang w:val="es-ES"/>
                  </w:rPr>
                  <w:t>, Gestión Regulatoria Transacciones y Mercados</w:t>
                </w:r>
              </w:p>
            </w:tc>
            <w:tc>
              <w:tcPr>
                <w:tcW w:w="1606" w:type="pct"/>
                <w:tcBorders>
                  <w:top w:val="single" w:sz="4" w:space="0" w:color="BFBFBF"/>
                  <w:left w:val="single" w:sz="4" w:space="0" w:color="BFBFBF"/>
                  <w:bottom w:val="single" w:sz="4" w:space="0" w:color="BFBFBF"/>
                  <w:right w:val="single" w:sz="4" w:space="0" w:color="BFBFBF"/>
                </w:tcBorders>
                <w:vAlign w:val="center"/>
              </w:tcPr>
              <w:p w14:paraId="1A116D91" w14:textId="77777777" w:rsidR="00200FA7" w:rsidRDefault="00200FA7" w:rsidP="004639F7">
                <w:pPr>
                  <w:spacing w:line="256" w:lineRule="auto"/>
                  <w:rPr>
                    <w:rFonts w:ascii="Trebuchet MS" w:hAnsi="Trebuchet MS" w:cs="Arial"/>
                    <w:lang w:val="es-ES"/>
                  </w:rPr>
                </w:pPr>
                <w:r w:rsidRPr="002946A9">
                  <w:rPr>
                    <w:rFonts w:ascii="Trebuchet MS" w:hAnsi="Trebuchet MS" w:cs="Arial"/>
                    <w:lang w:val="es-ES"/>
                  </w:rPr>
                  <w:t>Profesional C, Gestión Regulatoria Transacciones y Mercados</w:t>
                </w:r>
              </w:p>
              <w:p w14:paraId="071A953E" w14:textId="3C6A18F3" w:rsidR="00EC201C" w:rsidRPr="002946A9" w:rsidRDefault="00EC201C" w:rsidP="004639F7">
                <w:pPr>
                  <w:spacing w:line="256" w:lineRule="auto"/>
                  <w:rPr>
                    <w:rFonts w:ascii="Trebuchet MS" w:hAnsi="Trebuchet MS" w:cs="Arial"/>
                    <w:lang w:val="es-ES"/>
                  </w:rPr>
                </w:pPr>
                <w:r w:rsidRPr="002946A9">
                  <w:rPr>
                    <w:rFonts w:ascii="Trebuchet MS" w:hAnsi="Trebuchet MS" w:cs="Arial"/>
                    <w:lang w:val="es-ES"/>
                  </w:rPr>
                  <w:t xml:space="preserve">Profesional </w:t>
                </w:r>
                <w:r>
                  <w:rPr>
                    <w:rFonts w:ascii="Trebuchet MS" w:hAnsi="Trebuchet MS" w:cs="Arial"/>
                    <w:lang w:val="es-ES"/>
                  </w:rPr>
                  <w:t>B</w:t>
                </w:r>
                <w:r w:rsidRPr="002946A9">
                  <w:rPr>
                    <w:rFonts w:ascii="Trebuchet MS" w:hAnsi="Trebuchet MS" w:cs="Arial"/>
                    <w:lang w:val="es-ES"/>
                  </w:rPr>
                  <w:t>, Gestión Regulatoria Transacciones y Mercados</w:t>
                </w:r>
              </w:p>
            </w:tc>
            <w:tc>
              <w:tcPr>
                <w:tcW w:w="1309" w:type="pct"/>
                <w:tcBorders>
                  <w:top w:val="single" w:sz="4" w:space="0" w:color="BFBFBF"/>
                  <w:left w:val="single" w:sz="4" w:space="0" w:color="BFBFBF"/>
                  <w:bottom w:val="single" w:sz="4" w:space="0" w:color="BFBFBF"/>
                  <w:right w:val="single" w:sz="4" w:space="0" w:color="BFBFBF"/>
                </w:tcBorders>
                <w:vAlign w:val="center"/>
              </w:tcPr>
              <w:p w14:paraId="21DC1316" w14:textId="0293DDA3" w:rsidR="00200FA7" w:rsidRPr="002946A9" w:rsidRDefault="00200FA7" w:rsidP="004639F7">
                <w:pPr>
                  <w:spacing w:line="256" w:lineRule="auto"/>
                  <w:rPr>
                    <w:rFonts w:ascii="Trebuchet MS" w:hAnsi="Trebuchet MS" w:cs="Arial"/>
                    <w:szCs w:val="24"/>
                    <w:lang w:val="es-ES"/>
                  </w:rPr>
                </w:pPr>
                <w:r w:rsidRPr="002946A9">
                  <w:rPr>
                    <w:rFonts w:ascii="Trebuchet MS" w:hAnsi="Trebuchet MS" w:cs="Arial"/>
                    <w:lang w:val="es-ES"/>
                  </w:rPr>
                  <w:t xml:space="preserve">Jefe </w:t>
                </w:r>
                <w:r w:rsidR="00345F25" w:rsidRPr="002946A9">
                  <w:rPr>
                    <w:rFonts w:ascii="Trebuchet MS" w:hAnsi="Trebuchet MS" w:cs="Arial"/>
                    <w:lang w:val="es-ES"/>
                  </w:rPr>
                  <w:t>U</w:t>
                </w:r>
                <w:r w:rsidRPr="002946A9">
                  <w:rPr>
                    <w:rFonts w:ascii="Trebuchet MS" w:hAnsi="Trebuchet MS" w:cs="Arial"/>
                    <w:lang w:val="es-ES"/>
                  </w:rPr>
                  <w:t>nidad Transacciones T&amp;D</w:t>
                </w:r>
              </w:p>
            </w:tc>
          </w:tr>
          <w:tr w:rsidR="00D97942" w:rsidRPr="002946A9" w14:paraId="18F54963" w14:textId="77777777" w:rsidTr="004639F7">
            <w:trPr>
              <w:trHeight w:val="20"/>
              <w:jc w:val="center"/>
            </w:trPr>
            <w:tc>
              <w:tcPr>
                <w:tcW w:w="565" w:type="pct"/>
                <w:tcBorders>
                  <w:top w:val="single" w:sz="4" w:space="0" w:color="BFBFBF"/>
                  <w:left w:val="single" w:sz="4" w:space="0" w:color="BFBFBF"/>
                  <w:bottom w:val="single" w:sz="4" w:space="0" w:color="BFBFBF"/>
                  <w:right w:val="single" w:sz="4" w:space="0" w:color="BFBFBF"/>
                </w:tcBorders>
                <w:vAlign w:val="center"/>
                <w:hideMark/>
              </w:tcPr>
              <w:p w14:paraId="11D01F43" w14:textId="77777777" w:rsidR="00200FA7" w:rsidRPr="002946A9" w:rsidRDefault="00200FA7" w:rsidP="004639F7">
                <w:pPr>
                  <w:spacing w:line="256" w:lineRule="auto"/>
                  <w:jc w:val="center"/>
                  <w:rPr>
                    <w:rFonts w:ascii="Trebuchet MS" w:hAnsi="Trebuchet MS" w:cs="Arial"/>
                    <w:b/>
                    <w:szCs w:val="24"/>
                    <w:lang w:val="en-US"/>
                  </w:rPr>
                </w:pPr>
                <w:r w:rsidRPr="002946A9">
                  <w:rPr>
                    <w:rFonts w:ascii="Trebuchet MS" w:hAnsi="Trebuchet MS" w:cs="Arial"/>
                    <w:b/>
                    <w:szCs w:val="24"/>
                  </w:rPr>
                  <w:t>NOMBRE</w:t>
                </w:r>
              </w:p>
            </w:tc>
            <w:tc>
              <w:tcPr>
                <w:tcW w:w="1520" w:type="pct"/>
                <w:tcBorders>
                  <w:top w:val="single" w:sz="4" w:space="0" w:color="BFBFBF"/>
                  <w:left w:val="single" w:sz="4" w:space="0" w:color="BFBFBF"/>
                  <w:bottom w:val="single" w:sz="4" w:space="0" w:color="BFBFBF"/>
                  <w:right w:val="single" w:sz="4" w:space="0" w:color="BFBFBF"/>
                </w:tcBorders>
                <w:vAlign w:val="center"/>
              </w:tcPr>
              <w:p w14:paraId="776519E1" w14:textId="15E5B64F" w:rsidR="00200FA7" w:rsidRPr="002946A9" w:rsidRDefault="006B36C7" w:rsidP="004639F7">
                <w:pPr>
                  <w:spacing w:line="256" w:lineRule="auto"/>
                  <w:rPr>
                    <w:rFonts w:ascii="Trebuchet MS" w:hAnsi="Trebuchet MS" w:cs="Arial"/>
                    <w:szCs w:val="24"/>
                    <w:lang w:val="es-ES"/>
                  </w:rPr>
                </w:pPr>
                <w:r>
                  <w:rPr>
                    <w:rFonts w:ascii="Trebuchet MS" w:hAnsi="Trebuchet MS" w:cs="Arial"/>
                    <w:szCs w:val="24"/>
                    <w:lang w:val="es-ES"/>
                  </w:rPr>
                  <w:t xml:space="preserve">Adriana Carolina Rodriguez </w:t>
                </w:r>
                <w:r w:rsidR="00EC201C">
                  <w:rPr>
                    <w:rFonts w:ascii="Trebuchet MS" w:hAnsi="Trebuchet MS" w:cs="Arial"/>
                    <w:szCs w:val="24"/>
                    <w:lang w:val="es-ES"/>
                  </w:rPr>
                  <w:t>Hincapié</w:t>
                </w:r>
              </w:p>
            </w:tc>
            <w:tc>
              <w:tcPr>
                <w:tcW w:w="1606" w:type="pct"/>
                <w:tcBorders>
                  <w:top w:val="single" w:sz="4" w:space="0" w:color="BFBFBF"/>
                  <w:left w:val="single" w:sz="4" w:space="0" w:color="BFBFBF"/>
                  <w:bottom w:val="single" w:sz="4" w:space="0" w:color="BFBFBF"/>
                  <w:right w:val="single" w:sz="4" w:space="0" w:color="BFBFBF"/>
                </w:tcBorders>
                <w:vAlign w:val="center"/>
              </w:tcPr>
              <w:p w14:paraId="3F810CD2" w14:textId="77777777" w:rsidR="00200FA7" w:rsidRDefault="00200FA7" w:rsidP="004639F7">
                <w:pPr>
                  <w:spacing w:line="256" w:lineRule="auto"/>
                  <w:rPr>
                    <w:rFonts w:ascii="Trebuchet MS" w:hAnsi="Trebuchet MS" w:cs="Arial"/>
                    <w:lang w:val="es-ES"/>
                  </w:rPr>
                </w:pPr>
                <w:r w:rsidRPr="002946A9">
                  <w:rPr>
                    <w:rFonts w:ascii="Trebuchet MS" w:hAnsi="Trebuchet MS" w:cs="Arial"/>
                    <w:lang w:val="es-ES"/>
                  </w:rPr>
                  <w:t>Jairo Mauricio Urrea</w:t>
                </w:r>
                <w:r w:rsidR="00765F86" w:rsidRPr="002946A9">
                  <w:rPr>
                    <w:rFonts w:ascii="Trebuchet MS" w:hAnsi="Trebuchet MS" w:cs="Arial"/>
                    <w:lang w:val="es-ES"/>
                  </w:rPr>
                  <w:t xml:space="preserve"> </w:t>
                </w:r>
                <w:r w:rsidRPr="002946A9">
                  <w:rPr>
                    <w:rFonts w:ascii="Trebuchet MS" w:hAnsi="Trebuchet MS" w:cs="Arial"/>
                    <w:lang w:val="es-ES"/>
                  </w:rPr>
                  <w:t>Ramírez</w:t>
                </w:r>
              </w:p>
              <w:p w14:paraId="7C9EB6AF" w14:textId="74E142DD" w:rsidR="00EC201C" w:rsidRPr="002946A9" w:rsidRDefault="00EC201C" w:rsidP="004639F7">
                <w:pPr>
                  <w:spacing w:line="256" w:lineRule="auto"/>
                  <w:rPr>
                    <w:rFonts w:ascii="Trebuchet MS" w:hAnsi="Trebuchet MS" w:cs="Arial"/>
                    <w:szCs w:val="24"/>
                    <w:lang w:val="es-ES"/>
                  </w:rPr>
                </w:pPr>
                <w:r>
                  <w:rPr>
                    <w:rFonts w:ascii="Trebuchet MS" w:hAnsi="Trebuchet MS" w:cs="Arial"/>
                    <w:lang w:val="es-ES"/>
                  </w:rPr>
                  <w:t>Alejandro Castrillón Ospina</w:t>
                </w:r>
              </w:p>
            </w:tc>
            <w:tc>
              <w:tcPr>
                <w:tcW w:w="1309" w:type="pct"/>
                <w:tcBorders>
                  <w:top w:val="single" w:sz="4" w:space="0" w:color="BFBFBF"/>
                  <w:left w:val="single" w:sz="4" w:space="0" w:color="BFBFBF"/>
                  <w:bottom w:val="single" w:sz="4" w:space="0" w:color="BFBFBF"/>
                  <w:right w:val="single" w:sz="4" w:space="0" w:color="BFBFBF"/>
                </w:tcBorders>
                <w:vAlign w:val="center"/>
              </w:tcPr>
              <w:p w14:paraId="6FD351C8" w14:textId="1F9CFA81" w:rsidR="00200FA7" w:rsidRPr="002946A9" w:rsidRDefault="00200FA7" w:rsidP="004639F7">
                <w:pPr>
                  <w:spacing w:line="256" w:lineRule="auto"/>
                  <w:rPr>
                    <w:rFonts w:ascii="Trebuchet MS" w:hAnsi="Trebuchet MS" w:cs="Arial"/>
                    <w:szCs w:val="24"/>
                    <w:lang w:val="es-ES"/>
                  </w:rPr>
                </w:pPr>
                <w:r w:rsidRPr="002946A9">
                  <w:rPr>
                    <w:rFonts w:ascii="Trebuchet MS" w:hAnsi="Trebuchet MS" w:cs="Arial"/>
                    <w:lang w:val="es-ES"/>
                  </w:rPr>
                  <w:t>José Fernando</w:t>
                </w:r>
                <w:r w:rsidR="00765F86" w:rsidRPr="002946A9">
                  <w:rPr>
                    <w:rFonts w:ascii="Trebuchet MS" w:hAnsi="Trebuchet MS" w:cs="Arial"/>
                    <w:lang w:val="es-ES"/>
                  </w:rPr>
                  <w:t xml:space="preserve"> </w:t>
                </w:r>
                <w:r w:rsidRPr="002946A9">
                  <w:rPr>
                    <w:rFonts w:ascii="Trebuchet MS" w:hAnsi="Trebuchet MS" w:cs="Arial"/>
                    <w:lang w:val="es-ES"/>
                  </w:rPr>
                  <w:t>Isaza Franco</w:t>
                </w:r>
              </w:p>
            </w:tc>
          </w:tr>
        </w:tbl>
        <w:p w14:paraId="78529E27" w14:textId="77777777" w:rsidR="0083423A" w:rsidRPr="002946A9" w:rsidRDefault="0083423A" w:rsidP="00DF29CB">
          <w:pPr>
            <w:pStyle w:val="Sinespaciado"/>
            <w:jc w:val="both"/>
            <w:rPr>
              <w:rFonts w:ascii="Trebuchet MS" w:hAnsi="Trebuchet MS"/>
              <w:caps/>
              <w:color w:val="99CB38" w:themeColor="accent1"/>
              <w:sz w:val="28"/>
            </w:rPr>
          </w:pPr>
        </w:p>
        <w:p w14:paraId="68F7DB42" w14:textId="77777777" w:rsidR="00350C39" w:rsidRPr="002946A9" w:rsidRDefault="00350C39" w:rsidP="00DF29CB">
          <w:pPr>
            <w:pStyle w:val="Sinespaciado"/>
            <w:jc w:val="both"/>
            <w:rPr>
              <w:rFonts w:ascii="Trebuchet MS" w:hAnsi="Trebuchet MS"/>
              <w:caps/>
              <w:color w:val="99CB38" w:themeColor="accent1"/>
              <w:sz w:val="28"/>
            </w:rPr>
          </w:pPr>
        </w:p>
        <w:p w14:paraId="277FCEFC" w14:textId="74E72EC1" w:rsidR="0083423A" w:rsidRPr="002946A9" w:rsidRDefault="00EE443E" w:rsidP="00E52B40">
          <w:pPr>
            <w:pStyle w:val="Sinespaciado"/>
            <w:jc w:val="center"/>
            <w:rPr>
              <w:rFonts w:ascii="Trebuchet MS" w:hAnsi="Trebuchet MS"/>
              <w:caps/>
              <w:color w:val="99CB38" w:themeColor="accent1"/>
              <w:sz w:val="28"/>
            </w:rPr>
          </w:pPr>
          <w:sdt>
            <w:sdtPr>
              <w:rPr>
                <w:rFonts w:ascii="Trebuchet MS" w:hAnsi="Trebuchet MS"/>
                <w:caps/>
                <w:color w:val="99CB38" w:themeColor="accent1"/>
                <w:sz w:val="28"/>
              </w:rPr>
              <w:alias w:val="Compañía"/>
              <w:tag w:val=""/>
              <w:id w:val="1467541982"/>
              <w:dataBinding w:prefixMappings="xmlns:ns0='http://schemas.openxmlformats.org/officeDocument/2006/extended-properties' " w:xpath="/ns0:Properties[1]/ns0:Company[1]" w:storeItemID="{6668398D-A668-4E3E-A5EB-62B293D839F1}"/>
              <w:text/>
            </w:sdtPr>
            <w:sdtEndPr/>
            <w:sdtContent>
              <w:r w:rsidR="0083423A" w:rsidRPr="002946A9">
                <w:rPr>
                  <w:rFonts w:ascii="Trebuchet MS" w:hAnsi="Trebuchet MS"/>
                  <w:caps/>
                  <w:color w:val="99CB38" w:themeColor="accent1"/>
                  <w:sz w:val="28"/>
                </w:rPr>
                <w:t>EMpresas PÚBLICAS de me</w:t>
              </w:r>
              <w:r w:rsidR="009B1E9C" w:rsidRPr="002946A9">
                <w:rPr>
                  <w:rFonts w:ascii="Trebuchet MS" w:hAnsi="Trebuchet MS"/>
                  <w:caps/>
                  <w:color w:val="99CB38" w:themeColor="accent1"/>
                  <w:sz w:val="28"/>
                </w:rPr>
                <w:t>D</w:t>
              </w:r>
              <w:r w:rsidR="0083423A" w:rsidRPr="002946A9">
                <w:rPr>
                  <w:rFonts w:ascii="Trebuchet MS" w:hAnsi="Trebuchet MS"/>
                  <w:caps/>
                  <w:color w:val="99CB38" w:themeColor="accent1"/>
                  <w:sz w:val="28"/>
                </w:rPr>
                <w:t>ellÍn e.s.p.</w:t>
              </w:r>
            </w:sdtContent>
          </w:sdt>
        </w:p>
        <w:p w14:paraId="7ABA9B06" w14:textId="20DBA744" w:rsidR="008842AF" w:rsidRPr="002946A9" w:rsidRDefault="008842AF" w:rsidP="00E52B40">
          <w:pPr>
            <w:jc w:val="center"/>
            <w:rPr>
              <w:rFonts w:ascii="Trebuchet MS" w:eastAsiaTheme="minorEastAsia" w:hAnsi="Trebuchet MS"/>
              <w:color w:val="99CB38" w:themeColor="accent1"/>
              <w:szCs w:val="28"/>
              <w:lang w:eastAsia="es-CO"/>
            </w:rPr>
          </w:pPr>
        </w:p>
        <w:p w14:paraId="32B49B4B" w14:textId="56A173EA" w:rsidR="00C01857" w:rsidRPr="00072928" w:rsidRDefault="00584FF3" w:rsidP="00072928">
          <w:pPr>
            <w:jc w:val="center"/>
            <w:rPr>
              <w:rFonts w:ascii="Trebuchet MS" w:eastAsiaTheme="minorEastAsia" w:hAnsi="Trebuchet MS"/>
              <w:color w:val="99CB38" w:themeColor="accent1"/>
              <w:sz w:val="28"/>
              <w:szCs w:val="28"/>
              <w:lang w:eastAsia="es-CO"/>
            </w:rPr>
          </w:pPr>
          <w:r w:rsidRPr="002946A9">
            <w:rPr>
              <w:rFonts w:ascii="Trebuchet MS" w:eastAsiaTheme="minorEastAsia" w:hAnsi="Trebuchet MS"/>
              <w:color w:val="99CB38" w:themeColor="accent1"/>
              <w:szCs w:val="28"/>
              <w:lang w:eastAsia="es-CO"/>
            </w:rPr>
            <w:t xml:space="preserve">Número de </w:t>
          </w:r>
          <w:r w:rsidR="00A215E4" w:rsidRPr="002946A9">
            <w:rPr>
              <w:rFonts w:ascii="Trebuchet MS" w:eastAsiaTheme="minorEastAsia" w:hAnsi="Trebuchet MS"/>
              <w:color w:val="99CB38" w:themeColor="accent1"/>
              <w:szCs w:val="28"/>
              <w:lang w:eastAsia="es-CO"/>
            </w:rPr>
            <w:t>Página</w:t>
          </w:r>
          <w:r w:rsidR="00C01857" w:rsidRPr="002946A9">
            <w:rPr>
              <w:rFonts w:ascii="Trebuchet MS" w:eastAsiaTheme="minorEastAsia" w:hAnsi="Trebuchet MS"/>
              <w:color w:val="99CB38" w:themeColor="accent1"/>
              <w:szCs w:val="28"/>
              <w:lang w:eastAsia="es-CO"/>
            </w:rPr>
            <w:t>s</w:t>
          </w:r>
          <w:r w:rsidR="00A215E4" w:rsidRPr="002946A9">
            <w:rPr>
              <w:rFonts w:ascii="Trebuchet MS" w:eastAsiaTheme="minorEastAsia" w:hAnsi="Trebuchet MS"/>
              <w:color w:val="99CB38" w:themeColor="accent1"/>
              <w:szCs w:val="28"/>
              <w:lang w:eastAsia="es-CO"/>
            </w:rPr>
            <w:t xml:space="preserve"> </w:t>
          </w:r>
          <w:r w:rsidR="00A215E4" w:rsidRPr="002946A9">
            <w:rPr>
              <w:rFonts w:ascii="Trebuchet MS" w:eastAsiaTheme="minorEastAsia" w:hAnsi="Trebuchet MS"/>
              <w:color w:val="99CB38" w:themeColor="accent1"/>
              <w:szCs w:val="28"/>
              <w:lang w:eastAsia="es-CO"/>
            </w:rPr>
            <w:fldChar w:fldCharType="begin"/>
          </w:r>
          <w:r w:rsidR="00A215E4" w:rsidRPr="002946A9">
            <w:rPr>
              <w:rFonts w:ascii="Trebuchet MS" w:eastAsiaTheme="minorEastAsia" w:hAnsi="Trebuchet MS"/>
              <w:color w:val="99CB38" w:themeColor="accent1"/>
              <w:szCs w:val="28"/>
              <w:lang w:eastAsia="es-CO"/>
            </w:rPr>
            <w:instrText xml:space="preserve"> NUMPAGES  \# "0" \* Arabic  \* MERGEFORMAT </w:instrText>
          </w:r>
          <w:r w:rsidR="00A215E4" w:rsidRPr="002946A9">
            <w:rPr>
              <w:rFonts w:ascii="Trebuchet MS" w:eastAsiaTheme="minorEastAsia" w:hAnsi="Trebuchet MS"/>
              <w:color w:val="99CB38" w:themeColor="accent1"/>
              <w:szCs w:val="28"/>
              <w:lang w:eastAsia="es-CO"/>
            </w:rPr>
            <w:fldChar w:fldCharType="separate"/>
          </w:r>
          <w:r w:rsidR="00C944CB">
            <w:rPr>
              <w:rFonts w:ascii="Trebuchet MS" w:eastAsiaTheme="minorEastAsia" w:hAnsi="Trebuchet MS"/>
              <w:noProof/>
              <w:color w:val="99CB38" w:themeColor="accent1"/>
              <w:szCs w:val="28"/>
              <w:lang w:eastAsia="es-CO"/>
            </w:rPr>
            <w:t>42</w:t>
          </w:r>
          <w:r w:rsidR="00A215E4" w:rsidRPr="002946A9">
            <w:rPr>
              <w:rFonts w:ascii="Trebuchet MS" w:eastAsiaTheme="minorEastAsia" w:hAnsi="Trebuchet MS"/>
              <w:color w:val="99CB38" w:themeColor="accent1"/>
              <w:szCs w:val="28"/>
              <w:lang w:eastAsia="es-CO"/>
            </w:rPr>
            <w:fldChar w:fldCharType="end"/>
          </w:r>
          <w:r w:rsidR="00DB4F7C" w:rsidRPr="002946A9">
            <w:rPr>
              <w:rFonts w:ascii="Trebuchet MS" w:eastAsiaTheme="minorEastAsia" w:hAnsi="Trebuchet MS"/>
              <w:color w:val="99CB38" w:themeColor="accent1"/>
              <w:sz w:val="28"/>
              <w:szCs w:val="28"/>
              <w:lang w:eastAsia="es-CO"/>
            </w:rPr>
            <w:br w:type="page"/>
          </w:r>
        </w:p>
      </w:sdtContent>
    </w:sdt>
    <w:sdt>
      <w:sdtPr>
        <w:rPr>
          <w:rFonts w:asciiTheme="minorHAnsi" w:eastAsiaTheme="minorHAnsi" w:hAnsiTheme="minorHAnsi" w:cstheme="minorBidi"/>
          <w:color w:val="auto"/>
          <w:sz w:val="22"/>
          <w:szCs w:val="22"/>
          <w:lang w:val="es-ES" w:eastAsia="en-US"/>
        </w:rPr>
        <w:id w:val="1968397749"/>
        <w:docPartObj>
          <w:docPartGallery w:val="Table of Contents"/>
          <w:docPartUnique/>
        </w:docPartObj>
      </w:sdtPr>
      <w:sdtEndPr>
        <w:rPr>
          <w:b/>
          <w:bCs/>
        </w:rPr>
      </w:sdtEndPr>
      <w:sdtContent>
        <w:p w14:paraId="45E746A5" w14:textId="2ACDF7DA" w:rsidR="00203D99" w:rsidRPr="002946A9" w:rsidRDefault="00203D99" w:rsidP="00DF29CB">
          <w:pPr>
            <w:pStyle w:val="TtuloTDC"/>
            <w:jc w:val="both"/>
          </w:pPr>
          <w:r w:rsidRPr="002946A9">
            <w:rPr>
              <w:lang w:val="es-ES"/>
            </w:rPr>
            <w:t>Tabla de contenido</w:t>
          </w:r>
        </w:p>
        <w:p w14:paraId="08E2D90F" w14:textId="1E28BD6A" w:rsidR="00286DD4" w:rsidRPr="00286DD4" w:rsidRDefault="00203D99">
          <w:pPr>
            <w:pStyle w:val="TDC2"/>
            <w:rPr>
              <w:rFonts w:cstheme="minorBidi"/>
              <w:noProof/>
            </w:rPr>
          </w:pPr>
          <w:r w:rsidRPr="00072928">
            <w:fldChar w:fldCharType="begin"/>
          </w:r>
          <w:r w:rsidRPr="00072928">
            <w:instrText xml:space="preserve"> TOC \o "1-3" \h \z \u </w:instrText>
          </w:r>
          <w:r w:rsidRPr="00072928">
            <w:fldChar w:fldCharType="separate"/>
          </w:r>
          <w:hyperlink w:anchor="_Toc131109324" w:history="1">
            <w:r w:rsidR="00286DD4" w:rsidRPr="00286DD4">
              <w:rPr>
                <w:rStyle w:val="Hipervnculo"/>
                <w:rFonts w:ascii="Trebuchet MS" w:eastAsiaTheme="majorEastAsia" w:hAnsi="Trebuchet MS" w:cstheme="majorBidi"/>
                <w:noProof/>
              </w:rPr>
              <w:t>INTRODUCCIÓN</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_Toc131109324 \h </w:instrText>
            </w:r>
            <w:r w:rsidR="00286DD4" w:rsidRPr="00286DD4">
              <w:rPr>
                <w:noProof/>
                <w:webHidden/>
              </w:rPr>
            </w:r>
            <w:r w:rsidR="00286DD4" w:rsidRPr="00286DD4">
              <w:rPr>
                <w:noProof/>
                <w:webHidden/>
              </w:rPr>
              <w:fldChar w:fldCharType="separate"/>
            </w:r>
            <w:r w:rsidR="00C944CB">
              <w:rPr>
                <w:noProof/>
                <w:webHidden/>
              </w:rPr>
              <w:t>6</w:t>
            </w:r>
            <w:r w:rsidR="00286DD4" w:rsidRPr="00286DD4">
              <w:rPr>
                <w:noProof/>
                <w:webHidden/>
              </w:rPr>
              <w:fldChar w:fldCharType="end"/>
            </w:r>
          </w:hyperlink>
        </w:p>
        <w:p w14:paraId="01ADD8DD" w14:textId="7A43182B" w:rsidR="00286DD4" w:rsidRPr="00286DD4" w:rsidRDefault="00EE443E">
          <w:pPr>
            <w:pStyle w:val="TDC1"/>
            <w:rPr>
              <w:rFonts w:cstheme="minorBidi"/>
              <w:noProof/>
            </w:rPr>
          </w:pPr>
          <w:hyperlink w:anchor="_Toc131109325" w:history="1">
            <w:r w:rsidR="00286DD4" w:rsidRPr="00286DD4">
              <w:rPr>
                <w:rStyle w:val="Hipervnculo"/>
                <w:rFonts w:ascii="Trebuchet MS" w:hAnsi="Trebuchet MS"/>
                <w:noProof/>
              </w:rPr>
              <w:t>1.</w:t>
            </w:r>
            <w:r w:rsidR="00286DD4" w:rsidRPr="00286DD4">
              <w:rPr>
                <w:rFonts w:cstheme="minorBidi"/>
                <w:noProof/>
              </w:rPr>
              <w:tab/>
            </w:r>
            <w:r w:rsidR="00286DD4" w:rsidRPr="00286DD4">
              <w:rPr>
                <w:rStyle w:val="Hipervnculo"/>
                <w:rFonts w:ascii="Trebuchet MS" w:hAnsi="Trebuchet MS"/>
                <w:noProof/>
              </w:rPr>
              <w:t>CONTEXTO</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_Toc131109325 \h </w:instrText>
            </w:r>
            <w:r w:rsidR="00286DD4" w:rsidRPr="00286DD4">
              <w:rPr>
                <w:noProof/>
                <w:webHidden/>
              </w:rPr>
            </w:r>
            <w:r w:rsidR="00286DD4" w:rsidRPr="00286DD4">
              <w:rPr>
                <w:noProof/>
                <w:webHidden/>
              </w:rPr>
              <w:fldChar w:fldCharType="separate"/>
            </w:r>
            <w:r w:rsidR="00C944CB">
              <w:rPr>
                <w:noProof/>
                <w:webHidden/>
              </w:rPr>
              <w:t>7</w:t>
            </w:r>
            <w:r w:rsidR="00286DD4" w:rsidRPr="00286DD4">
              <w:rPr>
                <w:noProof/>
                <w:webHidden/>
              </w:rPr>
              <w:fldChar w:fldCharType="end"/>
            </w:r>
          </w:hyperlink>
        </w:p>
        <w:p w14:paraId="0565438C" w14:textId="42B33D79" w:rsidR="00286DD4" w:rsidRPr="00286DD4" w:rsidRDefault="00EE443E">
          <w:pPr>
            <w:pStyle w:val="TDC2"/>
            <w:tabs>
              <w:tab w:val="left" w:pos="880"/>
            </w:tabs>
            <w:rPr>
              <w:rFonts w:cstheme="minorBidi"/>
              <w:noProof/>
            </w:rPr>
          </w:pPr>
          <w:hyperlink w:anchor="_Toc131109326" w:history="1">
            <w:r w:rsidR="00286DD4" w:rsidRPr="00286DD4">
              <w:rPr>
                <w:rStyle w:val="Hipervnculo"/>
                <w:rFonts w:ascii="Trebuchet MS" w:hAnsi="Trebuchet MS"/>
                <w:noProof/>
              </w:rPr>
              <w:t>1.1.</w:t>
            </w:r>
            <w:r w:rsidR="00286DD4" w:rsidRPr="00286DD4">
              <w:rPr>
                <w:rFonts w:cstheme="minorBidi"/>
                <w:noProof/>
              </w:rPr>
              <w:tab/>
            </w:r>
            <w:r w:rsidR="00286DD4" w:rsidRPr="00286DD4">
              <w:rPr>
                <w:rStyle w:val="Hipervnculo"/>
                <w:rFonts w:ascii="Trebuchet MS" w:hAnsi="Trebuchet MS"/>
                <w:noProof/>
              </w:rPr>
              <w:t>Objetivo</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_Toc131109326 \h </w:instrText>
            </w:r>
            <w:r w:rsidR="00286DD4" w:rsidRPr="00286DD4">
              <w:rPr>
                <w:noProof/>
                <w:webHidden/>
              </w:rPr>
            </w:r>
            <w:r w:rsidR="00286DD4" w:rsidRPr="00286DD4">
              <w:rPr>
                <w:noProof/>
                <w:webHidden/>
              </w:rPr>
              <w:fldChar w:fldCharType="separate"/>
            </w:r>
            <w:r w:rsidR="00C944CB">
              <w:rPr>
                <w:noProof/>
                <w:webHidden/>
              </w:rPr>
              <w:t>7</w:t>
            </w:r>
            <w:r w:rsidR="00286DD4" w:rsidRPr="00286DD4">
              <w:rPr>
                <w:noProof/>
                <w:webHidden/>
              </w:rPr>
              <w:fldChar w:fldCharType="end"/>
            </w:r>
          </w:hyperlink>
        </w:p>
        <w:p w14:paraId="18DCFA40" w14:textId="430E07D1" w:rsidR="00286DD4" w:rsidRPr="00286DD4" w:rsidRDefault="00EE443E">
          <w:pPr>
            <w:pStyle w:val="TDC2"/>
            <w:tabs>
              <w:tab w:val="left" w:pos="880"/>
            </w:tabs>
            <w:rPr>
              <w:rFonts w:cstheme="minorBidi"/>
              <w:noProof/>
            </w:rPr>
          </w:pPr>
          <w:hyperlink w:anchor="_Toc131109327" w:history="1">
            <w:r w:rsidR="00286DD4" w:rsidRPr="00286DD4">
              <w:rPr>
                <w:rStyle w:val="Hipervnculo"/>
                <w:rFonts w:ascii="Trebuchet MS" w:hAnsi="Trebuchet MS"/>
                <w:noProof/>
              </w:rPr>
              <w:t>1.2.</w:t>
            </w:r>
            <w:r w:rsidR="00286DD4" w:rsidRPr="00286DD4">
              <w:rPr>
                <w:rFonts w:cstheme="minorBidi"/>
                <w:noProof/>
              </w:rPr>
              <w:tab/>
            </w:r>
            <w:r w:rsidR="00286DD4" w:rsidRPr="00286DD4">
              <w:rPr>
                <w:rStyle w:val="Hipervnculo"/>
                <w:rFonts w:ascii="Trebuchet MS" w:hAnsi="Trebuchet MS"/>
                <w:noProof/>
              </w:rPr>
              <w:t>Alcance</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_Toc131109327 \h </w:instrText>
            </w:r>
            <w:r w:rsidR="00286DD4" w:rsidRPr="00286DD4">
              <w:rPr>
                <w:noProof/>
                <w:webHidden/>
              </w:rPr>
            </w:r>
            <w:r w:rsidR="00286DD4" w:rsidRPr="00286DD4">
              <w:rPr>
                <w:noProof/>
                <w:webHidden/>
              </w:rPr>
              <w:fldChar w:fldCharType="separate"/>
            </w:r>
            <w:r w:rsidR="00C944CB">
              <w:rPr>
                <w:noProof/>
                <w:webHidden/>
              </w:rPr>
              <w:t>7</w:t>
            </w:r>
            <w:r w:rsidR="00286DD4" w:rsidRPr="00286DD4">
              <w:rPr>
                <w:noProof/>
                <w:webHidden/>
              </w:rPr>
              <w:fldChar w:fldCharType="end"/>
            </w:r>
          </w:hyperlink>
        </w:p>
        <w:p w14:paraId="7079300C" w14:textId="44923A2F" w:rsidR="00286DD4" w:rsidRPr="00286DD4" w:rsidRDefault="00EE443E">
          <w:pPr>
            <w:pStyle w:val="TDC2"/>
            <w:tabs>
              <w:tab w:val="left" w:pos="880"/>
            </w:tabs>
            <w:rPr>
              <w:rFonts w:cstheme="minorBidi"/>
              <w:noProof/>
            </w:rPr>
          </w:pPr>
          <w:hyperlink w:anchor="_Toc131109328" w:history="1">
            <w:r w:rsidR="00286DD4" w:rsidRPr="00286DD4">
              <w:rPr>
                <w:rStyle w:val="Hipervnculo"/>
                <w:rFonts w:ascii="Trebuchet MS" w:hAnsi="Trebuchet MS"/>
                <w:noProof/>
              </w:rPr>
              <w:t>1.3.</w:t>
            </w:r>
            <w:r w:rsidR="00286DD4" w:rsidRPr="00286DD4">
              <w:rPr>
                <w:rFonts w:cstheme="minorBidi"/>
                <w:noProof/>
              </w:rPr>
              <w:tab/>
            </w:r>
            <w:r w:rsidR="00286DD4" w:rsidRPr="00286DD4">
              <w:rPr>
                <w:rStyle w:val="Hipervnculo"/>
                <w:rFonts w:ascii="Trebuchet MS" w:hAnsi="Trebuchet MS"/>
                <w:noProof/>
              </w:rPr>
              <w:t>Definiciones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_Toc131109328 \h </w:instrText>
            </w:r>
            <w:r w:rsidR="00286DD4" w:rsidRPr="00286DD4">
              <w:rPr>
                <w:noProof/>
                <w:webHidden/>
              </w:rPr>
            </w:r>
            <w:r w:rsidR="00286DD4" w:rsidRPr="00286DD4">
              <w:rPr>
                <w:noProof/>
                <w:webHidden/>
              </w:rPr>
              <w:fldChar w:fldCharType="separate"/>
            </w:r>
            <w:r w:rsidR="00C944CB">
              <w:rPr>
                <w:noProof/>
                <w:webHidden/>
              </w:rPr>
              <w:t>7</w:t>
            </w:r>
            <w:r w:rsidR="00286DD4" w:rsidRPr="00286DD4">
              <w:rPr>
                <w:noProof/>
                <w:webHidden/>
              </w:rPr>
              <w:fldChar w:fldCharType="end"/>
            </w:r>
          </w:hyperlink>
        </w:p>
        <w:p w14:paraId="74351FE6" w14:textId="75BE0DDE" w:rsidR="00286DD4" w:rsidRPr="00286DD4" w:rsidRDefault="00EE443E">
          <w:pPr>
            <w:pStyle w:val="TDC1"/>
            <w:rPr>
              <w:rFonts w:cstheme="minorBidi"/>
              <w:noProof/>
            </w:rPr>
          </w:pPr>
          <w:hyperlink w:anchor="_Toc131109329" w:history="1">
            <w:r w:rsidR="00286DD4" w:rsidRPr="00286DD4">
              <w:rPr>
                <w:rStyle w:val="Hipervnculo"/>
                <w:rFonts w:ascii="Trebuchet MS" w:hAnsi="Trebuchet MS"/>
                <w:noProof/>
              </w:rPr>
              <w:t>2.</w:t>
            </w:r>
            <w:r w:rsidR="00286DD4" w:rsidRPr="00286DD4">
              <w:rPr>
                <w:rFonts w:cstheme="minorBidi"/>
                <w:noProof/>
              </w:rPr>
              <w:tab/>
            </w:r>
            <w:r w:rsidR="00286DD4" w:rsidRPr="00286DD4">
              <w:rPr>
                <w:rStyle w:val="Hipervnculo"/>
                <w:rFonts w:ascii="Trebuchet MS" w:hAnsi="Trebuchet MS"/>
                <w:noProof/>
              </w:rPr>
              <w:t>PLAN DE INVERSIONES 2020 – 2025</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_Toc131109329 \h </w:instrText>
            </w:r>
            <w:r w:rsidR="00286DD4" w:rsidRPr="00286DD4">
              <w:rPr>
                <w:noProof/>
                <w:webHidden/>
              </w:rPr>
            </w:r>
            <w:r w:rsidR="00286DD4" w:rsidRPr="00286DD4">
              <w:rPr>
                <w:noProof/>
                <w:webHidden/>
              </w:rPr>
              <w:fldChar w:fldCharType="separate"/>
            </w:r>
            <w:r w:rsidR="00C944CB">
              <w:rPr>
                <w:noProof/>
                <w:webHidden/>
              </w:rPr>
              <w:t>9</w:t>
            </w:r>
            <w:r w:rsidR="00286DD4" w:rsidRPr="00286DD4">
              <w:rPr>
                <w:noProof/>
                <w:webHidden/>
              </w:rPr>
              <w:fldChar w:fldCharType="end"/>
            </w:r>
          </w:hyperlink>
        </w:p>
        <w:p w14:paraId="3515B391" w14:textId="4D94E990" w:rsidR="00286DD4" w:rsidRPr="00286DD4" w:rsidRDefault="00EE443E">
          <w:pPr>
            <w:pStyle w:val="TDC2"/>
            <w:tabs>
              <w:tab w:val="left" w:pos="880"/>
            </w:tabs>
            <w:rPr>
              <w:rFonts w:cstheme="minorBidi"/>
              <w:noProof/>
            </w:rPr>
          </w:pPr>
          <w:hyperlink w:anchor="_Toc131109331" w:history="1">
            <w:r w:rsidR="00286DD4" w:rsidRPr="00286DD4">
              <w:rPr>
                <w:rStyle w:val="Hipervnculo"/>
                <w:rFonts w:ascii="Trebuchet MS" w:hAnsi="Trebuchet MS"/>
                <w:noProof/>
              </w:rPr>
              <w:t>2.1.</w:t>
            </w:r>
            <w:r w:rsidR="00286DD4" w:rsidRPr="00286DD4">
              <w:rPr>
                <w:rFonts w:cstheme="minorBidi"/>
                <w:noProof/>
              </w:rPr>
              <w:tab/>
            </w:r>
            <w:r w:rsidR="00286DD4" w:rsidRPr="00286DD4">
              <w:rPr>
                <w:rStyle w:val="Hipervnculo"/>
                <w:rFonts w:ascii="Trebuchet MS" w:hAnsi="Trebuchet MS"/>
                <w:noProof/>
              </w:rPr>
              <w:t>Acciones encaminadas al beneficio de los usuarios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_Toc131109331 \h </w:instrText>
            </w:r>
            <w:r w:rsidR="00286DD4" w:rsidRPr="00286DD4">
              <w:rPr>
                <w:noProof/>
                <w:webHidden/>
              </w:rPr>
            </w:r>
            <w:r w:rsidR="00286DD4" w:rsidRPr="00286DD4">
              <w:rPr>
                <w:noProof/>
                <w:webHidden/>
              </w:rPr>
              <w:fldChar w:fldCharType="separate"/>
            </w:r>
            <w:r w:rsidR="00C944CB">
              <w:rPr>
                <w:noProof/>
                <w:webHidden/>
              </w:rPr>
              <w:t>9</w:t>
            </w:r>
            <w:r w:rsidR="00286DD4" w:rsidRPr="00286DD4">
              <w:rPr>
                <w:noProof/>
                <w:webHidden/>
              </w:rPr>
              <w:fldChar w:fldCharType="end"/>
            </w:r>
          </w:hyperlink>
        </w:p>
        <w:p w14:paraId="1C9682A4" w14:textId="44DE2512" w:rsidR="00286DD4" w:rsidRPr="00286DD4" w:rsidRDefault="00EE443E">
          <w:pPr>
            <w:pStyle w:val="TDC2"/>
            <w:tabs>
              <w:tab w:val="left" w:pos="880"/>
            </w:tabs>
            <w:rPr>
              <w:rFonts w:cstheme="minorBidi"/>
              <w:noProof/>
            </w:rPr>
          </w:pPr>
          <w:hyperlink w:anchor="_Toc131109332" w:history="1">
            <w:r w:rsidR="00286DD4" w:rsidRPr="00286DD4">
              <w:rPr>
                <w:rStyle w:val="Hipervnculo"/>
                <w:rFonts w:ascii="Trebuchet MS" w:hAnsi="Trebuchet MS"/>
                <w:noProof/>
              </w:rPr>
              <w:t>2.2.</w:t>
            </w:r>
            <w:r w:rsidR="00286DD4" w:rsidRPr="00286DD4">
              <w:rPr>
                <w:rFonts w:cstheme="minorBidi"/>
                <w:noProof/>
              </w:rPr>
              <w:tab/>
            </w:r>
            <w:r w:rsidR="00286DD4" w:rsidRPr="00286DD4">
              <w:rPr>
                <w:rStyle w:val="Hipervnculo"/>
                <w:rFonts w:ascii="Trebuchet MS" w:hAnsi="Trebuchet MS"/>
                <w:noProof/>
              </w:rPr>
              <w:t>Descripción del sistema operado por EPM</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_Toc131109332 \h </w:instrText>
            </w:r>
            <w:r w:rsidR="00286DD4" w:rsidRPr="00286DD4">
              <w:rPr>
                <w:noProof/>
                <w:webHidden/>
              </w:rPr>
            </w:r>
            <w:r w:rsidR="00286DD4" w:rsidRPr="00286DD4">
              <w:rPr>
                <w:noProof/>
                <w:webHidden/>
              </w:rPr>
              <w:fldChar w:fldCharType="separate"/>
            </w:r>
            <w:r w:rsidR="00C944CB">
              <w:rPr>
                <w:noProof/>
                <w:webHidden/>
              </w:rPr>
              <w:t>10</w:t>
            </w:r>
            <w:r w:rsidR="00286DD4" w:rsidRPr="00286DD4">
              <w:rPr>
                <w:noProof/>
                <w:webHidden/>
              </w:rPr>
              <w:fldChar w:fldCharType="end"/>
            </w:r>
          </w:hyperlink>
        </w:p>
        <w:p w14:paraId="551E938F" w14:textId="6E7E95D0" w:rsidR="00286DD4" w:rsidRPr="00286DD4" w:rsidRDefault="00EE443E">
          <w:pPr>
            <w:pStyle w:val="TDC3"/>
            <w:tabs>
              <w:tab w:val="left" w:pos="1320"/>
              <w:tab w:val="right" w:leader="dot" w:pos="8828"/>
            </w:tabs>
            <w:rPr>
              <w:rFonts w:cstheme="minorBidi"/>
              <w:noProof/>
            </w:rPr>
          </w:pPr>
          <w:hyperlink w:anchor="_Toc131109333" w:history="1">
            <w:r w:rsidR="00286DD4" w:rsidRPr="00286DD4">
              <w:rPr>
                <w:rStyle w:val="Hipervnculo"/>
                <w:rFonts w:ascii="Trebuchet MS" w:hAnsi="Trebuchet MS"/>
                <w:noProof/>
              </w:rPr>
              <w:t>2.2.1.</w:t>
            </w:r>
            <w:r w:rsidR="00286DD4" w:rsidRPr="00286DD4">
              <w:rPr>
                <w:rFonts w:cstheme="minorBidi"/>
                <w:noProof/>
              </w:rPr>
              <w:tab/>
            </w:r>
            <w:r w:rsidR="00286DD4" w:rsidRPr="00286DD4">
              <w:rPr>
                <w:rStyle w:val="Hipervnculo"/>
                <w:rFonts w:ascii="Trebuchet MS" w:hAnsi="Trebuchet MS"/>
                <w:noProof/>
              </w:rPr>
              <w:t>Área de influencia</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_Toc131109333 \h </w:instrText>
            </w:r>
            <w:r w:rsidR="00286DD4" w:rsidRPr="00286DD4">
              <w:rPr>
                <w:noProof/>
                <w:webHidden/>
              </w:rPr>
            </w:r>
            <w:r w:rsidR="00286DD4" w:rsidRPr="00286DD4">
              <w:rPr>
                <w:noProof/>
                <w:webHidden/>
              </w:rPr>
              <w:fldChar w:fldCharType="separate"/>
            </w:r>
            <w:r w:rsidR="00C944CB">
              <w:rPr>
                <w:noProof/>
                <w:webHidden/>
              </w:rPr>
              <w:t>11</w:t>
            </w:r>
            <w:r w:rsidR="00286DD4" w:rsidRPr="00286DD4">
              <w:rPr>
                <w:noProof/>
                <w:webHidden/>
              </w:rPr>
              <w:fldChar w:fldCharType="end"/>
            </w:r>
          </w:hyperlink>
        </w:p>
        <w:p w14:paraId="110FC7D1" w14:textId="64D71CBF" w:rsidR="00286DD4" w:rsidRPr="00286DD4" w:rsidRDefault="00EE443E">
          <w:pPr>
            <w:pStyle w:val="TDC3"/>
            <w:tabs>
              <w:tab w:val="left" w:pos="1320"/>
              <w:tab w:val="right" w:leader="dot" w:pos="8828"/>
            </w:tabs>
            <w:rPr>
              <w:rFonts w:cstheme="minorBidi"/>
              <w:noProof/>
            </w:rPr>
          </w:pPr>
          <w:hyperlink w:anchor="_Toc131109334" w:history="1">
            <w:r w:rsidR="00286DD4" w:rsidRPr="00286DD4">
              <w:rPr>
                <w:rStyle w:val="Hipervnculo"/>
                <w:rFonts w:ascii="Trebuchet MS" w:hAnsi="Trebuchet MS"/>
                <w:noProof/>
              </w:rPr>
              <w:t>2.2.2.</w:t>
            </w:r>
            <w:r w:rsidR="00286DD4" w:rsidRPr="00286DD4">
              <w:rPr>
                <w:rFonts w:cstheme="minorBidi"/>
                <w:noProof/>
              </w:rPr>
              <w:tab/>
            </w:r>
            <w:r w:rsidR="00286DD4" w:rsidRPr="00286DD4">
              <w:rPr>
                <w:rStyle w:val="Hipervnculo"/>
                <w:rFonts w:ascii="Trebuchet MS" w:hAnsi="Trebuchet MS"/>
                <w:noProof/>
              </w:rPr>
              <w:t>Activos operados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_Toc131109334 \h </w:instrText>
            </w:r>
            <w:r w:rsidR="00286DD4" w:rsidRPr="00286DD4">
              <w:rPr>
                <w:noProof/>
                <w:webHidden/>
              </w:rPr>
            </w:r>
            <w:r w:rsidR="00286DD4" w:rsidRPr="00286DD4">
              <w:rPr>
                <w:noProof/>
                <w:webHidden/>
              </w:rPr>
              <w:fldChar w:fldCharType="separate"/>
            </w:r>
            <w:r w:rsidR="00C944CB">
              <w:rPr>
                <w:noProof/>
                <w:webHidden/>
              </w:rPr>
              <w:t>11</w:t>
            </w:r>
            <w:r w:rsidR="00286DD4" w:rsidRPr="00286DD4">
              <w:rPr>
                <w:noProof/>
                <w:webHidden/>
              </w:rPr>
              <w:fldChar w:fldCharType="end"/>
            </w:r>
          </w:hyperlink>
        </w:p>
        <w:p w14:paraId="257161DD" w14:textId="019F1465" w:rsidR="00286DD4" w:rsidRPr="00286DD4" w:rsidRDefault="00EE443E">
          <w:pPr>
            <w:pStyle w:val="TDC3"/>
            <w:tabs>
              <w:tab w:val="left" w:pos="1320"/>
              <w:tab w:val="right" w:leader="dot" w:pos="8828"/>
            </w:tabs>
            <w:rPr>
              <w:rFonts w:cstheme="minorBidi"/>
              <w:noProof/>
            </w:rPr>
          </w:pPr>
          <w:hyperlink w:anchor="_Toc131109335" w:history="1">
            <w:r w:rsidR="00286DD4" w:rsidRPr="00286DD4">
              <w:rPr>
                <w:rStyle w:val="Hipervnculo"/>
                <w:rFonts w:ascii="Trebuchet MS" w:hAnsi="Trebuchet MS"/>
                <w:noProof/>
              </w:rPr>
              <w:t>2.2.3.</w:t>
            </w:r>
            <w:r w:rsidR="00286DD4" w:rsidRPr="00286DD4">
              <w:rPr>
                <w:rFonts w:cstheme="minorBidi"/>
                <w:noProof/>
              </w:rPr>
              <w:tab/>
            </w:r>
            <w:r w:rsidR="00286DD4" w:rsidRPr="00286DD4">
              <w:rPr>
                <w:rStyle w:val="Hipervnculo"/>
                <w:rFonts w:ascii="Trebuchet MS" w:hAnsi="Trebuchet MS"/>
                <w:noProof/>
              </w:rPr>
              <w:t>Cantidad de usuarios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_Toc131109335 \h </w:instrText>
            </w:r>
            <w:r w:rsidR="00286DD4" w:rsidRPr="00286DD4">
              <w:rPr>
                <w:noProof/>
                <w:webHidden/>
              </w:rPr>
            </w:r>
            <w:r w:rsidR="00286DD4" w:rsidRPr="00286DD4">
              <w:rPr>
                <w:noProof/>
                <w:webHidden/>
              </w:rPr>
              <w:fldChar w:fldCharType="separate"/>
            </w:r>
            <w:r w:rsidR="00C944CB">
              <w:rPr>
                <w:noProof/>
                <w:webHidden/>
              </w:rPr>
              <w:t>11</w:t>
            </w:r>
            <w:r w:rsidR="00286DD4" w:rsidRPr="00286DD4">
              <w:rPr>
                <w:noProof/>
                <w:webHidden/>
              </w:rPr>
              <w:fldChar w:fldCharType="end"/>
            </w:r>
          </w:hyperlink>
        </w:p>
        <w:p w14:paraId="09C412F6" w14:textId="36E434B9" w:rsidR="00286DD4" w:rsidRPr="00286DD4" w:rsidRDefault="00EE443E">
          <w:pPr>
            <w:pStyle w:val="TDC3"/>
            <w:tabs>
              <w:tab w:val="left" w:pos="1320"/>
              <w:tab w:val="right" w:leader="dot" w:pos="8828"/>
            </w:tabs>
            <w:rPr>
              <w:rFonts w:cstheme="minorBidi"/>
              <w:noProof/>
            </w:rPr>
          </w:pPr>
          <w:hyperlink w:anchor="_Toc131109336" w:history="1">
            <w:r w:rsidR="00286DD4" w:rsidRPr="00286DD4">
              <w:rPr>
                <w:rStyle w:val="Hipervnculo"/>
                <w:rFonts w:ascii="Trebuchet MS" w:hAnsi="Trebuchet MS"/>
                <w:noProof/>
              </w:rPr>
              <w:t>2.2.4.</w:t>
            </w:r>
            <w:r w:rsidR="00286DD4" w:rsidRPr="00286DD4">
              <w:rPr>
                <w:rFonts w:cstheme="minorBidi"/>
                <w:noProof/>
              </w:rPr>
              <w:tab/>
            </w:r>
            <w:r w:rsidR="00286DD4" w:rsidRPr="00286DD4">
              <w:rPr>
                <w:rStyle w:val="Hipervnculo"/>
                <w:rFonts w:ascii="Trebuchet MS" w:hAnsi="Trebuchet MS"/>
                <w:noProof/>
              </w:rPr>
              <w:t>Demanda de energía</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_Toc131109336 \h </w:instrText>
            </w:r>
            <w:r w:rsidR="00286DD4" w:rsidRPr="00286DD4">
              <w:rPr>
                <w:noProof/>
                <w:webHidden/>
              </w:rPr>
            </w:r>
            <w:r w:rsidR="00286DD4" w:rsidRPr="00286DD4">
              <w:rPr>
                <w:noProof/>
                <w:webHidden/>
              </w:rPr>
              <w:fldChar w:fldCharType="separate"/>
            </w:r>
            <w:r w:rsidR="00C944CB">
              <w:rPr>
                <w:noProof/>
                <w:webHidden/>
              </w:rPr>
              <w:t>11</w:t>
            </w:r>
            <w:r w:rsidR="00286DD4" w:rsidRPr="00286DD4">
              <w:rPr>
                <w:noProof/>
                <w:webHidden/>
              </w:rPr>
              <w:fldChar w:fldCharType="end"/>
            </w:r>
          </w:hyperlink>
        </w:p>
        <w:p w14:paraId="42181945" w14:textId="5AAE0161" w:rsidR="00286DD4" w:rsidRPr="00286DD4" w:rsidRDefault="00EE443E">
          <w:pPr>
            <w:pStyle w:val="TDC3"/>
            <w:tabs>
              <w:tab w:val="left" w:pos="1320"/>
              <w:tab w:val="right" w:leader="dot" w:pos="8828"/>
            </w:tabs>
            <w:rPr>
              <w:rFonts w:cstheme="minorBidi"/>
              <w:noProof/>
            </w:rPr>
          </w:pPr>
          <w:hyperlink w:anchor="_Toc131109337" w:history="1">
            <w:r w:rsidR="00286DD4" w:rsidRPr="00286DD4">
              <w:rPr>
                <w:rStyle w:val="Hipervnculo"/>
                <w:rFonts w:ascii="Trebuchet MS" w:hAnsi="Trebuchet MS"/>
                <w:noProof/>
              </w:rPr>
              <w:t>2.2.5.</w:t>
            </w:r>
            <w:r w:rsidR="00286DD4" w:rsidRPr="00286DD4">
              <w:rPr>
                <w:rFonts w:cstheme="minorBidi"/>
                <w:noProof/>
              </w:rPr>
              <w:tab/>
            </w:r>
            <w:r w:rsidR="00286DD4" w:rsidRPr="00286DD4">
              <w:rPr>
                <w:rStyle w:val="Hipervnculo"/>
                <w:rFonts w:ascii="Trebuchet MS" w:hAnsi="Trebuchet MS"/>
                <w:noProof/>
              </w:rPr>
              <w:t>Demanda de potencia</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_Toc131109337 \h </w:instrText>
            </w:r>
            <w:r w:rsidR="00286DD4" w:rsidRPr="00286DD4">
              <w:rPr>
                <w:noProof/>
                <w:webHidden/>
              </w:rPr>
            </w:r>
            <w:r w:rsidR="00286DD4" w:rsidRPr="00286DD4">
              <w:rPr>
                <w:noProof/>
                <w:webHidden/>
              </w:rPr>
              <w:fldChar w:fldCharType="separate"/>
            </w:r>
            <w:r w:rsidR="00C944CB">
              <w:rPr>
                <w:noProof/>
                <w:webHidden/>
              </w:rPr>
              <w:t>12</w:t>
            </w:r>
            <w:r w:rsidR="00286DD4" w:rsidRPr="00286DD4">
              <w:rPr>
                <w:noProof/>
                <w:webHidden/>
              </w:rPr>
              <w:fldChar w:fldCharType="end"/>
            </w:r>
          </w:hyperlink>
        </w:p>
        <w:p w14:paraId="318E44DC" w14:textId="6FFBEF4F" w:rsidR="00286DD4" w:rsidRPr="00286DD4" w:rsidRDefault="00EE443E">
          <w:pPr>
            <w:pStyle w:val="TDC3"/>
            <w:tabs>
              <w:tab w:val="left" w:pos="1320"/>
              <w:tab w:val="right" w:leader="dot" w:pos="8828"/>
            </w:tabs>
            <w:rPr>
              <w:rFonts w:cstheme="minorBidi"/>
              <w:noProof/>
            </w:rPr>
          </w:pPr>
          <w:hyperlink w:anchor="_Toc131109338" w:history="1">
            <w:r w:rsidR="00286DD4" w:rsidRPr="00286DD4">
              <w:rPr>
                <w:rStyle w:val="Hipervnculo"/>
                <w:rFonts w:ascii="Trebuchet MS" w:hAnsi="Trebuchet MS"/>
                <w:noProof/>
              </w:rPr>
              <w:t>2.2.6.</w:t>
            </w:r>
            <w:r w:rsidR="00286DD4" w:rsidRPr="00286DD4">
              <w:rPr>
                <w:rFonts w:cstheme="minorBidi"/>
                <w:noProof/>
              </w:rPr>
              <w:tab/>
            </w:r>
            <w:r w:rsidR="00286DD4" w:rsidRPr="00286DD4">
              <w:rPr>
                <w:rStyle w:val="Hipervnculo"/>
                <w:rFonts w:ascii="Trebuchet MS" w:hAnsi="Trebuchet MS"/>
                <w:noProof/>
              </w:rPr>
              <w:t>Indicadores de calidad del servicio</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_Toc131109338 \h </w:instrText>
            </w:r>
            <w:r w:rsidR="00286DD4" w:rsidRPr="00286DD4">
              <w:rPr>
                <w:noProof/>
                <w:webHidden/>
              </w:rPr>
            </w:r>
            <w:r w:rsidR="00286DD4" w:rsidRPr="00286DD4">
              <w:rPr>
                <w:noProof/>
                <w:webHidden/>
              </w:rPr>
              <w:fldChar w:fldCharType="separate"/>
            </w:r>
            <w:r w:rsidR="00C944CB">
              <w:rPr>
                <w:noProof/>
                <w:webHidden/>
              </w:rPr>
              <w:t>12</w:t>
            </w:r>
            <w:r w:rsidR="00286DD4" w:rsidRPr="00286DD4">
              <w:rPr>
                <w:noProof/>
                <w:webHidden/>
              </w:rPr>
              <w:fldChar w:fldCharType="end"/>
            </w:r>
          </w:hyperlink>
        </w:p>
        <w:p w14:paraId="39F468C4" w14:textId="609110C9" w:rsidR="00286DD4" w:rsidRPr="00286DD4" w:rsidRDefault="00EE443E">
          <w:pPr>
            <w:pStyle w:val="TDC3"/>
            <w:tabs>
              <w:tab w:val="left" w:pos="1320"/>
              <w:tab w:val="right" w:leader="dot" w:pos="8828"/>
            </w:tabs>
            <w:rPr>
              <w:rFonts w:cstheme="minorBidi"/>
              <w:noProof/>
            </w:rPr>
          </w:pPr>
          <w:hyperlink w:anchor="_Toc131109339" w:history="1">
            <w:r w:rsidR="00286DD4" w:rsidRPr="00286DD4">
              <w:rPr>
                <w:rStyle w:val="Hipervnculo"/>
                <w:rFonts w:ascii="Trebuchet MS" w:hAnsi="Trebuchet MS"/>
                <w:noProof/>
              </w:rPr>
              <w:t>2.2.7.</w:t>
            </w:r>
            <w:r w:rsidR="00286DD4" w:rsidRPr="00286DD4">
              <w:rPr>
                <w:rFonts w:cstheme="minorBidi"/>
                <w:noProof/>
              </w:rPr>
              <w:tab/>
            </w:r>
            <w:r w:rsidR="00286DD4" w:rsidRPr="00286DD4">
              <w:rPr>
                <w:rStyle w:val="Hipervnculo"/>
                <w:rFonts w:ascii="Trebuchet MS" w:hAnsi="Trebuchet MS"/>
                <w:noProof/>
              </w:rPr>
              <w:t>Solicitudes de Conexión</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_Toc131109339 \h </w:instrText>
            </w:r>
            <w:r w:rsidR="00286DD4" w:rsidRPr="00286DD4">
              <w:rPr>
                <w:noProof/>
                <w:webHidden/>
              </w:rPr>
            </w:r>
            <w:r w:rsidR="00286DD4" w:rsidRPr="00286DD4">
              <w:rPr>
                <w:noProof/>
                <w:webHidden/>
              </w:rPr>
              <w:fldChar w:fldCharType="separate"/>
            </w:r>
            <w:r w:rsidR="00C944CB">
              <w:rPr>
                <w:noProof/>
                <w:webHidden/>
              </w:rPr>
              <w:t>13</w:t>
            </w:r>
            <w:r w:rsidR="00286DD4" w:rsidRPr="00286DD4">
              <w:rPr>
                <w:noProof/>
                <w:webHidden/>
              </w:rPr>
              <w:fldChar w:fldCharType="end"/>
            </w:r>
          </w:hyperlink>
        </w:p>
        <w:p w14:paraId="7063ED8F" w14:textId="3501D516" w:rsidR="00286DD4" w:rsidRPr="00286DD4" w:rsidRDefault="00EE443E">
          <w:pPr>
            <w:pStyle w:val="TDC2"/>
            <w:tabs>
              <w:tab w:val="left" w:pos="880"/>
            </w:tabs>
            <w:rPr>
              <w:rFonts w:cstheme="minorBidi"/>
              <w:noProof/>
            </w:rPr>
          </w:pPr>
          <w:hyperlink w:anchor="_Toc131109340" w:history="1">
            <w:r w:rsidR="00286DD4" w:rsidRPr="00286DD4">
              <w:rPr>
                <w:rStyle w:val="Hipervnculo"/>
                <w:rFonts w:ascii="Trebuchet MS" w:hAnsi="Trebuchet MS"/>
                <w:noProof/>
              </w:rPr>
              <w:t>2.3.</w:t>
            </w:r>
            <w:r w:rsidR="00286DD4" w:rsidRPr="00286DD4">
              <w:rPr>
                <w:rFonts w:cstheme="minorBidi"/>
                <w:noProof/>
              </w:rPr>
              <w:tab/>
            </w:r>
            <w:r w:rsidR="00286DD4" w:rsidRPr="00286DD4">
              <w:rPr>
                <w:rStyle w:val="Hipervnculo"/>
                <w:rFonts w:ascii="Trebuchet MS" w:hAnsi="Trebuchet MS"/>
                <w:noProof/>
              </w:rPr>
              <w:t>Plan de inversiones aprobado para el periodo 2020 – 2025</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_Toc131109340 \h </w:instrText>
            </w:r>
            <w:r w:rsidR="00286DD4" w:rsidRPr="00286DD4">
              <w:rPr>
                <w:noProof/>
                <w:webHidden/>
              </w:rPr>
            </w:r>
            <w:r w:rsidR="00286DD4" w:rsidRPr="00286DD4">
              <w:rPr>
                <w:noProof/>
                <w:webHidden/>
              </w:rPr>
              <w:fldChar w:fldCharType="separate"/>
            </w:r>
            <w:r w:rsidR="00C944CB">
              <w:rPr>
                <w:noProof/>
                <w:webHidden/>
              </w:rPr>
              <w:t>13</w:t>
            </w:r>
            <w:r w:rsidR="00286DD4" w:rsidRPr="00286DD4">
              <w:rPr>
                <w:noProof/>
                <w:webHidden/>
              </w:rPr>
              <w:fldChar w:fldCharType="end"/>
            </w:r>
          </w:hyperlink>
        </w:p>
        <w:p w14:paraId="449D764B" w14:textId="3895926C" w:rsidR="00286DD4" w:rsidRPr="00286DD4" w:rsidRDefault="00EE443E">
          <w:pPr>
            <w:pStyle w:val="TDC3"/>
            <w:tabs>
              <w:tab w:val="left" w:pos="1320"/>
              <w:tab w:val="right" w:leader="dot" w:pos="8828"/>
            </w:tabs>
            <w:rPr>
              <w:rFonts w:cstheme="minorBidi"/>
              <w:noProof/>
            </w:rPr>
          </w:pPr>
          <w:hyperlink w:anchor="_Toc131109341" w:history="1">
            <w:r w:rsidR="00286DD4" w:rsidRPr="00286DD4">
              <w:rPr>
                <w:rStyle w:val="Hipervnculo"/>
                <w:rFonts w:ascii="Trebuchet MS" w:hAnsi="Trebuchet MS"/>
                <w:noProof/>
              </w:rPr>
              <w:t>2.3.1.</w:t>
            </w:r>
            <w:r w:rsidR="00286DD4" w:rsidRPr="00286DD4">
              <w:rPr>
                <w:rFonts w:cstheme="minorBidi"/>
                <w:noProof/>
              </w:rPr>
              <w:tab/>
            </w:r>
            <w:r w:rsidR="00286DD4" w:rsidRPr="00286DD4">
              <w:rPr>
                <w:rStyle w:val="Hipervnculo"/>
                <w:rFonts w:ascii="Trebuchet MS" w:hAnsi="Trebuchet MS"/>
                <w:noProof/>
              </w:rPr>
              <w:t>Inversiones por municipio</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_Toc131109341 \h </w:instrText>
            </w:r>
            <w:r w:rsidR="00286DD4" w:rsidRPr="00286DD4">
              <w:rPr>
                <w:noProof/>
                <w:webHidden/>
              </w:rPr>
            </w:r>
            <w:r w:rsidR="00286DD4" w:rsidRPr="00286DD4">
              <w:rPr>
                <w:noProof/>
                <w:webHidden/>
              </w:rPr>
              <w:fldChar w:fldCharType="separate"/>
            </w:r>
            <w:r w:rsidR="00C944CB">
              <w:rPr>
                <w:noProof/>
                <w:webHidden/>
              </w:rPr>
              <w:t>14</w:t>
            </w:r>
            <w:r w:rsidR="00286DD4" w:rsidRPr="00286DD4">
              <w:rPr>
                <w:noProof/>
                <w:webHidden/>
              </w:rPr>
              <w:fldChar w:fldCharType="end"/>
            </w:r>
          </w:hyperlink>
        </w:p>
        <w:p w14:paraId="67CFF216" w14:textId="0CCF6A35" w:rsidR="00286DD4" w:rsidRPr="00286DD4" w:rsidRDefault="00EE443E">
          <w:pPr>
            <w:pStyle w:val="TDC3"/>
            <w:tabs>
              <w:tab w:val="left" w:pos="1320"/>
              <w:tab w:val="right" w:leader="dot" w:pos="8828"/>
            </w:tabs>
            <w:rPr>
              <w:rFonts w:cstheme="minorBidi"/>
              <w:noProof/>
            </w:rPr>
          </w:pPr>
          <w:hyperlink w:anchor="_Toc131109342" w:history="1">
            <w:r w:rsidR="00286DD4" w:rsidRPr="00286DD4">
              <w:rPr>
                <w:rStyle w:val="Hipervnculo"/>
                <w:rFonts w:ascii="Trebuchet MS" w:hAnsi="Trebuchet MS"/>
                <w:noProof/>
              </w:rPr>
              <w:t>2.3.2.</w:t>
            </w:r>
            <w:r w:rsidR="00286DD4" w:rsidRPr="00286DD4">
              <w:rPr>
                <w:rFonts w:cstheme="minorBidi"/>
                <w:noProof/>
              </w:rPr>
              <w:tab/>
            </w:r>
            <w:r w:rsidR="00286DD4" w:rsidRPr="00286DD4">
              <w:rPr>
                <w:rStyle w:val="Hipervnculo"/>
                <w:rFonts w:ascii="Trebuchet MS" w:hAnsi="Trebuchet MS"/>
                <w:noProof/>
              </w:rPr>
              <w:t>Inversiones por departamento</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_Toc131109342 \h </w:instrText>
            </w:r>
            <w:r w:rsidR="00286DD4" w:rsidRPr="00286DD4">
              <w:rPr>
                <w:noProof/>
                <w:webHidden/>
              </w:rPr>
            </w:r>
            <w:r w:rsidR="00286DD4" w:rsidRPr="00286DD4">
              <w:rPr>
                <w:noProof/>
                <w:webHidden/>
              </w:rPr>
              <w:fldChar w:fldCharType="separate"/>
            </w:r>
            <w:r w:rsidR="00C944CB">
              <w:rPr>
                <w:noProof/>
                <w:webHidden/>
              </w:rPr>
              <w:t>15</w:t>
            </w:r>
            <w:r w:rsidR="00286DD4" w:rsidRPr="00286DD4">
              <w:rPr>
                <w:noProof/>
                <w:webHidden/>
              </w:rPr>
              <w:fldChar w:fldCharType="end"/>
            </w:r>
          </w:hyperlink>
        </w:p>
        <w:p w14:paraId="2F8723D7" w14:textId="47564E87" w:rsidR="00286DD4" w:rsidRPr="00286DD4" w:rsidRDefault="00EE443E">
          <w:pPr>
            <w:pStyle w:val="TDC3"/>
            <w:tabs>
              <w:tab w:val="left" w:pos="1320"/>
              <w:tab w:val="right" w:leader="dot" w:pos="8828"/>
            </w:tabs>
            <w:rPr>
              <w:rFonts w:cstheme="minorBidi"/>
              <w:noProof/>
            </w:rPr>
          </w:pPr>
          <w:hyperlink w:anchor="_Toc131109343" w:history="1">
            <w:r w:rsidR="00286DD4" w:rsidRPr="00286DD4">
              <w:rPr>
                <w:rStyle w:val="Hipervnculo"/>
                <w:rFonts w:ascii="Trebuchet MS" w:hAnsi="Trebuchet MS"/>
                <w:noProof/>
              </w:rPr>
              <w:t>2.3.3.</w:t>
            </w:r>
            <w:r w:rsidR="00286DD4" w:rsidRPr="00286DD4">
              <w:rPr>
                <w:rFonts w:cstheme="minorBidi"/>
                <w:noProof/>
              </w:rPr>
              <w:tab/>
            </w:r>
            <w:r w:rsidR="00286DD4" w:rsidRPr="00286DD4">
              <w:rPr>
                <w:rStyle w:val="Hipervnculo"/>
                <w:rFonts w:ascii="Trebuchet MS" w:hAnsi="Trebuchet MS"/>
                <w:noProof/>
              </w:rPr>
              <w:t>Inversiones por tipo de inversión</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_Toc131109343 \h </w:instrText>
            </w:r>
            <w:r w:rsidR="00286DD4" w:rsidRPr="00286DD4">
              <w:rPr>
                <w:noProof/>
                <w:webHidden/>
              </w:rPr>
            </w:r>
            <w:r w:rsidR="00286DD4" w:rsidRPr="00286DD4">
              <w:rPr>
                <w:noProof/>
                <w:webHidden/>
              </w:rPr>
              <w:fldChar w:fldCharType="separate"/>
            </w:r>
            <w:r w:rsidR="00C944CB">
              <w:rPr>
                <w:noProof/>
                <w:webHidden/>
              </w:rPr>
              <w:t>15</w:t>
            </w:r>
            <w:r w:rsidR="00286DD4" w:rsidRPr="00286DD4">
              <w:rPr>
                <w:noProof/>
                <w:webHidden/>
              </w:rPr>
              <w:fldChar w:fldCharType="end"/>
            </w:r>
          </w:hyperlink>
        </w:p>
        <w:p w14:paraId="6E76AD85" w14:textId="4DD17743" w:rsidR="00286DD4" w:rsidRPr="00286DD4" w:rsidRDefault="00EE443E">
          <w:pPr>
            <w:pStyle w:val="TDC3"/>
            <w:tabs>
              <w:tab w:val="left" w:pos="1320"/>
              <w:tab w:val="right" w:leader="dot" w:pos="8828"/>
            </w:tabs>
            <w:rPr>
              <w:rFonts w:cstheme="minorBidi"/>
              <w:noProof/>
            </w:rPr>
          </w:pPr>
          <w:hyperlink w:anchor="_Toc131109344" w:history="1">
            <w:r w:rsidR="00286DD4" w:rsidRPr="00286DD4">
              <w:rPr>
                <w:rStyle w:val="Hipervnculo"/>
                <w:rFonts w:ascii="Trebuchet MS" w:hAnsi="Trebuchet MS"/>
                <w:noProof/>
              </w:rPr>
              <w:t>2.3.4.</w:t>
            </w:r>
            <w:r w:rsidR="00286DD4" w:rsidRPr="00286DD4">
              <w:rPr>
                <w:rFonts w:cstheme="minorBidi"/>
                <w:noProof/>
              </w:rPr>
              <w:tab/>
            </w:r>
            <w:r w:rsidR="00286DD4" w:rsidRPr="00286DD4">
              <w:rPr>
                <w:rStyle w:val="Hipervnculo"/>
                <w:rFonts w:ascii="Trebuchet MS" w:hAnsi="Trebuchet MS"/>
                <w:noProof/>
              </w:rPr>
              <w:t>Inversiones por nivel de tensión</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_Toc131109344 \h </w:instrText>
            </w:r>
            <w:r w:rsidR="00286DD4" w:rsidRPr="00286DD4">
              <w:rPr>
                <w:noProof/>
                <w:webHidden/>
              </w:rPr>
            </w:r>
            <w:r w:rsidR="00286DD4" w:rsidRPr="00286DD4">
              <w:rPr>
                <w:noProof/>
                <w:webHidden/>
              </w:rPr>
              <w:fldChar w:fldCharType="separate"/>
            </w:r>
            <w:r w:rsidR="00C944CB">
              <w:rPr>
                <w:noProof/>
                <w:webHidden/>
              </w:rPr>
              <w:t>16</w:t>
            </w:r>
            <w:r w:rsidR="00286DD4" w:rsidRPr="00286DD4">
              <w:rPr>
                <w:noProof/>
                <w:webHidden/>
              </w:rPr>
              <w:fldChar w:fldCharType="end"/>
            </w:r>
          </w:hyperlink>
        </w:p>
        <w:p w14:paraId="59EBACEB" w14:textId="5F5D1B94" w:rsidR="00286DD4" w:rsidRPr="00286DD4" w:rsidRDefault="00EE443E">
          <w:pPr>
            <w:pStyle w:val="TDC3"/>
            <w:tabs>
              <w:tab w:val="left" w:pos="1320"/>
              <w:tab w:val="right" w:leader="dot" w:pos="8828"/>
            </w:tabs>
            <w:rPr>
              <w:rFonts w:cstheme="minorBidi"/>
              <w:noProof/>
            </w:rPr>
          </w:pPr>
          <w:hyperlink w:anchor="_Toc131109345" w:history="1">
            <w:r w:rsidR="00286DD4" w:rsidRPr="00286DD4">
              <w:rPr>
                <w:rStyle w:val="Hipervnculo"/>
                <w:rFonts w:ascii="Trebuchet MS" w:hAnsi="Trebuchet MS"/>
                <w:noProof/>
              </w:rPr>
              <w:t>2.3.5.</w:t>
            </w:r>
            <w:r w:rsidR="00286DD4" w:rsidRPr="00286DD4">
              <w:rPr>
                <w:rFonts w:cstheme="minorBidi"/>
                <w:noProof/>
              </w:rPr>
              <w:tab/>
            </w:r>
            <w:r w:rsidR="00286DD4" w:rsidRPr="00286DD4">
              <w:rPr>
                <w:rStyle w:val="Hipervnculo"/>
                <w:rFonts w:ascii="Trebuchet MS" w:hAnsi="Trebuchet MS"/>
                <w:noProof/>
              </w:rPr>
              <w:t>Inversiones por categoría de activos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_Toc131109345 \h </w:instrText>
            </w:r>
            <w:r w:rsidR="00286DD4" w:rsidRPr="00286DD4">
              <w:rPr>
                <w:noProof/>
                <w:webHidden/>
              </w:rPr>
            </w:r>
            <w:r w:rsidR="00286DD4" w:rsidRPr="00286DD4">
              <w:rPr>
                <w:noProof/>
                <w:webHidden/>
              </w:rPr>
              <w:fldChar w:fldCharType="separate"/>
            </w:r>
            <w:r w:rsidR="00C944CB">
              <w:rPr>
                <w:noProof/>
                <w:webHidden/>
              </w:rPr>
              <w:t>16</w:t>
            </w:r>
            <w:r w:rsidR="00286DD4" w:rsidRPr="00286DD4">
              <w:rPr>
                <w:noProof/>
                <w:webHidden/>
              </w:rPr>
              <w:fldChar w:fldCharType="end"/>
            </w:r>
          </w:hyperlink>
        </w:p>
        <w:p w14:paraId="415598E6" w14:textId="70A253EB" w:rsidR="00286DD4" w:rsidRPr="00286DD4" w:rsidRDefault="00EE443E">
          <w:pPr>
            <w:pStyle w:val="TDC3"/>
            <w:tabs>
              <w:tab w:val="left" w:pos="1320"/>
              <w:tab w:val="right" w:leader="dot" w:pos="8828"/>
            </w:tabs>
            <w:rPr>
              <w:rFonts w:cstheme="minorBidi"/>
              <w:noProof/>
            </w:rPr>
          </w:pPr>
          <w:hyperlink w:anchor="_Toc131109346" w:history="1">
            <w:r w:rsidR="00286DD4" w:rsidRPr="00286DD4">
              <w:rPr>
                <w:rStyle w:val="Hipervnculo"/>
                <w:rFonts w:ascii="Trebuchet MS" w:hAnsi="Trebuchet MS"/>
                <w:noProof/>
              </w:rPr>
              <w:t>2.3.6.</w:t>
            </w:r>
            <w:r w:rsidR="00286DD4" w:rsidRPr="00286DD4">
              <w:rPr>
                <w:rFonts w:cstheme="minorBidi"/>
                <w:noProof/>
              </w:rPr>
              <w:tab/>
            </w:r>
            <w:r w:rsidR="00286DD4" w:rsidRPr="00286DD4">
              <w:rPr>
                <w:rStyle w:val="Hipervnculo"/>
                <w:rFonts w:ascii="Trebuchet MS" w:hAnsi="Trebuchet MS"/>
                <w:noProof/>
              </w:rPr>
              <w:t>Inversiones por expansión, reposición, calidad y pérdidas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_Toc131109346 \h </w:instrText>
            </w:r>
            <w:r w:rsidR="00286DD4" w:rsidRPr="00286DD4">
              <w:rPr>
                <w:noProof/>
                <w:webHidden/>
              </w:rPr>
            </w:r>
            <w:r w:rsidR="00286DD4" w:rsidRPr="00286DD4">
              <w:rPr>
                <w:noProof/>
                <w:webHidden/>
              </w:rPr>
              <w:fldChar w:fldCharType="separate"/>
            </w:r>
            <w:r w:rsidR="00C944CB">
              <w:rPr>
                <w:noProof/>
                <w:webHidden/>
              </w:rPr>
              <w:t>17</w:t>
            </w:r>
            <w:r w:rsidR="00286DD4" w:rsidRPr="00286DD4">
              <w:rPr>
                <w:noProof/>
                <w:webHidden/>
              </w:rPr>
              <w:fldChar w:fldCharType="end"/>
            </w:r>
          </w:hyperlink>
        </w:p>
        <w:p w14:paraId="0BD78E1E" w14:textId="58097975" w:rsidR="00286DD4" w:rsidRPr="00286DD4" w:rsidRDefault="00EE443E">
          <w:pPr>
            <w:pStyle w:val="TDC3"/>
            <w:tabs>
              <w:tab w:val="left" w:pos="1320"/>
              <w:tab w:val="right" w:leader="dot" w:pos="8828"/>
            </w:tabs>
            <w:rPr>
              <w:rFonts w:cstheme="minorBidi"/>
              <w:noProof/>
            </w:rPr>
          </w:pPr>
          <w:hyperlink w:anchor="_Toc131109347" w:history="1">
            <w:r w:rsidR="00286DD4" w:rsidRPr="00286DD4">
              <w:rPr>
                <w:rStyle w:val="Hipervnculo"/>
                <w:rFonts w:ascii="Trebuchet MS" w:hAnsi="Trebuchet MS"/>
                <w:noProof/>
              </w:rPr>
              <w:t>2.3.7.</w:t>
            </w:r>
            <w:r w:rsidR="00286DD4" w:rsidRPr="00286DD4">
              <w:rPr>
                <w:rFonts w:cstheme="minorBidi"/>
                <w:noProof/>
              </w:rPr>
              <w:tab/>
            </w:r>
            <w:r w:rsidR="00286DD4" w:rsidRPr="00286DD4">
              <w:rPr>
                <w:rStyle w:val="Hipervnculo"/>
                <w:rFonts w:ascii="Trebuchet MS" w:hAnsi="Trebuchet MS"/>
                <w:noProof/>
              </w:rPr>
              <w:t>Inversiones en los proyectos más relevantes para EPM y sus usuarios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_Toc131109347 \h </w:instrText>
            </w:r>
            <w:r w:rsidR="00286DD4" w:rsidRPr="00286DD4">
              <w:rPr>
                <w:noProof/>
                <w:webHidden/>
              </w:rPr>
            </w:r>
            <w:r w:rsidR="00286DD4" w:rsidRPr="00286DD4">
              <w:rPr>
                <w:noProof/>
                <w:webHidden/>
              </w:rPr>
              <w:fldChar w:fldCharType="separate"/>
            </w:r>
            <w:r w:rsidR="00C944CB">
              <w:rPr>
                <w:noProof/>
                <w:webHidden/>
              </w:rPr>
              <w:t>17</w:t>
            </w:r>
            <w:r w:rsidR="00286DD4" w:rsidRPr="00286DD4">
              <w:rPr>
                <w:noProof/>
                <w:webHidden/>
              </w:rPr>
              <w:fldChar w:fldCharType="end"/>
            </w:r>
          </w:hyperlink>
        </w:p>
        <w:p w14:paraId="6773D137" w14:textId="5F011F48" w:rsidR="00286DD4" w:rsidRPr="00286DD4" w:rsidRDefault="00EE443E">
          <w:pPr>
            <w:pStyle w:val="TDC3"/>
            <w:tabs>
              <w:tab w:val="left" w:pos="1320"/>
              <w:tab w:val="right" w:leader="dot" w:pos="8828"/>
            </w:tabs>
            <w:rPr>
              <w:rFonts w:cstheme="minorBidi"/>
              <w:noProof/>
            </w:rPr>
          </w:pPr>
          <w:hyperlink w:anchor="_Toc131109348" w:history="1">
            <w:r w:rsidR="00286DD4" w:rsidRPr="00286DD4">
              <w:rPr>
                <w:rStyle w:val="Hipervnculo"/>
                <w:rFonts w:ascii="Trebuchet MS" w:hAnsi="Trebuchet MS"/>
                <w:noProof/>
              </w:rPr>
              <w:t>2.3.8.</w:t>
            </w:r>
            <w:r w:rsidR="00286DD4" w:rsidRPr="00286DD4">
              <w:rPr>
                <w:rFonts w:cstheme="minorBidi"/>
                <w:noProof/>
              </w:rPr>
              <w:tab/>
            </w:r>
            <w:r w:rsidR="00286DD4" w:rsidRPr="00286DD4">
              <w:rPr>
                <w:rStyle w:val="Hipervnculo"/>
                <w:rFonts w:ascii="Trebuchet MS" w:hAnsi="Trebuchet MS"/>
                <w:noProof/>
              </w:rPr>
              <w:t>Costo de reposición de referencia aprobado</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_Toc131109348 \h </w:instrText>
            </w:r>
            <w:r w:rsidR="00286DD4" w:rsidRPr="00286DD4">
              <w:rPr>
                <w:noProof/>
                <w:webHidden/>
              </w:rPr>
            </w:r>
            <w:r w:rsidR="00286DD4" w:rsidRPr="00286DD4">
              <w:rPr>
                <w:noProof/>
                <w:webHidden/>
              </w:rPr>
              <w:fldChar w:fldCharType="separate"/>
            </w:r>
            <w:r w:rsidR="00C944CB">
              <w:rPr>
                <w:noProof/>
                <w:webHidden/>
              </w:rPr>
              <w:t>19</w:t>
            </w:r>
            <w:r w:rsidR="00286DD4" w:rsidRPr="00286DD4">
              <w:rPr>
                <w:noProof/>
                <w:webHidden/>
              </w:rPr>
              <w:fldChar w:fldCharType="end"/>
            </w:r>
          </w:hyperlink>
        </w:p>
        <w:p w14:paraId="612E0D49" w14:textId="053AAE39" w:rsidR="00286DD4" w:rsidRPr="00286DD4" w:rsidRDefault="00EE443E">
          <w:pPr>
            <w:pStyle w:val="TDC3"/>
            <w:tabs>
              <w:tab w:val="left" w:pos="1320"/>
              <w:tab w:val="right" w:leader="dot" w:pos="8828"/>
            </w:tabs>
            <w:rPr>
              <w:rFonts w:cstheme="minorBidi"/>
              <w:noProof/>
            </w:rPr>
          </w:pPr>
          <w:hyperlink w:anchor="_Toc131109349" w:history="1">
            <w:r w:rsidR="00286DD4" w:rsidRPr="00286DD4">
              <w:rPr>
                <w:rStyle w:val="Hipervnculo"/>
                <w:rFonts w:ascii="Trebuchet MS" w:hAnsi="Trebuchet MS"/>
                <w:noProof/>
              </w:rPr>
              <w:t>2.3.9.</w:t>
            </w:r>
            <w:r w:rsidR="00286DD4" w:rsidRPr="00286DD4">
              <w:rPr>
                <w:rFonts w:cstheme="minorBidi"/>
                <w:noProof/>
              </w:rPr>
              <w:tab/>
            </w:r>
            <w:r w:rsidR="00286DD4" w:rsidRPr="00286DD4">
              <w:rPr>
                <w:rStyle w:val="Hipervnculo"/>
                <w:rFonts w:ascii="Trebuchet MS" w:hAnsi="Trebuchet MS"/>
                <w:noProof/>
              </w:rPr>
              <w:t>Metas de calidad del servicio, pérdidas de energía e inversiones aprobadas en un horizonte de 5 años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_Toc131109349 \h </w:instrText>
            </w:r>
            <w:r w:rsidR="00286DD4" w:rsidRPr="00286DD4">
              <w:rPr>
                <w:noProof/>
                <w:webHidden/>
              </w:rPr>
            </w:r>
            <w:r w:rsidR="00286DD4" w:rsidRPr="00286DD4">
              <w:rPr>
                <w:noProof/>
                <w:webHidden/>
              </w:rPr>
              <w:fldChar w:fldCharType="separate"/>
            </w:r>
            <w:r w:rsidR="00C944CB">
              <w:rPr>
                <w:noProof/>
                <w:webHidden/>
              </w:rPr>
              <w:t>19</w:t>
            </w:r>
            <w:r w:rsidR="00286DD4" w:rsidRPr="00286DD4">
              <w:rPr>
                <w:noProof/>
                <w:webHidden/>
              </w:rPr>
              <w:fldChar w:fldCharType="end"/>
            </w:r>
          </w:hyperlink>
        </w:p>
        <w:p w14:paraId="3EC08F59" w14:textId="56BC1570" w:rsidR="00286DD4" w:rsidRPr="00286DD4" w:rsidRDefault="00EE443E">
          <w:pPr>
            <w:pStyle w:val="TDC2"/>
            <w:tabs>
              <w:tab w:val="left" w:pos="880"/>
            </w:tabs>
            <w:rPr>
              <w:rFonts w:cstheme="minorBidi"/>
              <w:noProof/>
            </w:rPr>
          </w:pPr>
          <w:hyperlink w:anchor="_Toc131109350" w:history="1">
            <w:r w:rsidR="00286DD4" w:rsidRPr="00286DD4">
              <w:rPr>
                <w:rStyle w:val="Hipervnculo"/>
                <w:rFonts w:ascii="Trebuchet MS" w:hAnsi="Trebuchet MS"/>
                <w:noProof/>
              </w:rPr>
              <w:t>2.4.</w:t>
            </w:r>
            <w:r w:rsidR="00286DD4" w:rsidRPr="00286DD4">
              <w:rPr>
                <w:rFonts w:cstheme="minorBidi"/>
                <w:noProof/>
              </w:rPr>
              <w:tab/>
            </w:r>
            <w:r w:rsidR="00286DD4" w:rsidRPr="00286DD4">
              <w:rPr>
                <w:rStyle w:val="Hipervnculo"/>
                <w:rFonts w:ascii="Trebuchet MS" w:hAnsi="Trebuchet MS"/>
                <w:noProof/>
              </w:rPr>
              <w:t>Plan de inversiones aprobado para el año 2022</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_Toc131109350 \h </w:instrText>
            </w:r>
            <w:r w:rsidR="00286DD4" w:rsidRPr="00286DD4">
              <w:rPr>
                <w:noProof/>
                <w:webHidden/>
              </w:rPr>
            </w:r>
            <w:r w:rsidR="00286DD4" w:rsidRPr="00286DD4">
              <w:rPr>
                <w:noProof/>
                <w:webHidden/>
              </w:rPr>
              <w:fldChar w:fldCharType="separate"/>
            </w:r>
            <w:r w:rsidR="00C944CB">
              <w:rPr>
                <w:noProof/>
                <w:webHidden/>
              </w:rPr>
              <w:t>23</w:t>
            </w:r>
            <w:r w:rsidR="00286DD4" w:rsidRPr="00286DD4">
              <w:rPr>
                <w:noProof/>
                <w:webHidden/>
              </w:rPr>
              <w:fldChar w:fldCharType="end"/>
            </w:r>
          </w:hyperlink>
        </w:p>
        <w:p w14:paraId="7C481D66" w14:textId="7C211812" w:rsidR="00286DD4" w:rsidRPr="00286DD4" w:rsidRDefault="00EE443E">
          <w:pPr>
            <w:pStyle w:val="TDC3"/>
            <w:tabs>
              <w:tab w:val="left" w:pos="1320"/>
              <w:tab w:val="right" w:leader="dot" w:pos="8828"/>
            </w:tabs>
            <w:rPr>
              <w:rFonts w:cstheme="minorBidi"/>
              <w:noProof/>
            </w:rPr>
          </w:pPr>
          <w:hyperlink w:anchor="_Toc131109351" w:history="1">
            <w:r w:rsidR="00286DD4" w:rsidRPr="00286DD4">
              <w:rPr>
                <w:rStyle w:val="Hipervnculo"/>
                <w:rFonts w:ascii="Trebuchet MS" w:hAnsi="Trebuchet MS"/>
                <w:noProof/>
              </w:rPr>
              <w:t>2.4.1.</w:t>
            </w:r>
            <w:r w:rsidR="00286DD4" w:rsidRPr="00286DD4">
              <w:rPr>
                <w:rFonts w:cstheme="minorBidi"/>
                <w:noProof/>
              </w:rPr>
              <w:tab/>
            </w:r>
            <w:r w:rsidR="00286DD4" w:rsidRPr="00286DD4">
              <w:rPr>
                <w:rStyle w:val="Hipervnculo"/>
                <w:rFonts w:ascii="Trebuchet MS" w:hAnsi="Trebuchet MS"/>
                <w:noProof/>
              </w:rPr>
              <w:t>Proyectos aprobados para el año 2022</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_Toc131109351 \h </w:instrText>
            </w:r>
            <w:r w:rsidR="00286DD4" w:rsidRPr="00286DD4">
              <w:rPr>
                <w:noProof/>
                <w:webHidden/>
              </w:rPr>
            </w:r>
            <w:r w:rsidR="00286DD4" w:rsidRPr="00286DD4">
              <w:rPr>
                <w:noProof/>
                <w:webHidden/>
              </w:rPr>
              <w:fldChar w:fldCharType="separate"/>
            </w:r>
            <w:r w:rsidR="00C944CB">
              <w:rPr>
                <w:noProof/>
                <w:webHidden/>
              </w:rPr>
              <w:t>23</w:t>
            </w:r>
            <w:r w:rsidR="00286DD4" w:rsidRPr="00286DD4">
              <w:rPr>
                <w:noProof/>
                <w:webHidden/>
              </w:rPr>
              <w:fldChar w:fldCharType="end"/>
            </w:r>
          </w:hyperlink>
        </w:p>
        <w:p w14:paraId="759CCA9D" w14:textId="12D43790" w:rsidR="00286DD4" w:rsidRPr="00286DD4" w:rsidRDefault="00EE443E">
          <w:pPr>
            <w:pStyle w:val="TDC3"/>
            <w:tabs>
              <w:tab w:val="left" w:pos="1320"/>
              <w:tab w:val="right" w:leader="dot" w:pos="8828"/>
            </w:tabs>
            <w:rPr>
              <w:rFonts w:cstheme="minorBidi"/>
              <w:noProof/>
            </w:rPr>
          </w:pPr>
          <w:hyperlink w:anchor="_Toc131109352" w:history="1">
            <w:r w:rsidR="00286DD4" w:rsidRPr="00286DD4">
              <w:rPr>
                <w:rStyle w:val="Hipervnculo"/>
                <w:rFonts w:ascii="Trebuchet MS" w:hAnsi="Trebuchet MS"/>
                <w:noProof/>
              </w:rPr>
              <w:t>2.4.2.</w:t>
            </w:r>
            <w:r w:rsidR="00286DD4" w:rsidRPr="00286DD4">
              <w:rPr>
                <w:rFonts w:cstheme="minorBidi"/>
                <w:noProof/>
              </w:rPr>
              <w:tab/>
            </w:r>
            <w:r w:rsidR="00286DD4" w:rsidRPr="00286DD4">
              <w:rPr>
                <w:rStyle w:val="Hipervnculo"/>
                <w:rFonts w:ascii="Trebuchet MS" w:hAnsi="Trebuchet MS"/>
                <w:noProof/>
              </w:rPr>
              <w:t>Inversiones aprobadas para el año 2022</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_Toc131109352 \h </w:instrText>
            </w:r>
            <w:r w:rsidR="00286DD4" w:rsidRPr="00286DD4">
              <w:rPr>
                <w:noProof/>
                <w:webHidden/>
              </w:rPr>
            </w:r>
            <w:r w:rsidR="00286DD4" w:rsidRPr="00286DD4">
              <w:rPr>
                <w:noProof/>
                <w:webHidden/>
              </w:rPr>
              <w:fldChar w:fldCharType="separate"/>
            </w:r>
            <w:r w:rsidR="00C944CB">
              <w:rPr>
                <w:noProof/>
                <w:webHidden/>
              </w:rPr>
              <w:t>24</w:t>
            </w:r>
            <w:r w:rsidR="00286DD4" w:rsidRPr="00286DD4">
              <w:rPr>
                <w:noProof/>
                <w:webHidden/>
              </w:rPr>
              <w:fldChar w:fldCharType="end"/>
            </w:r>
          </w:hyperlink>
        </w:p>
        <w:p w14:paraId="1B15CCEB" w14:textId="0E908C75" w:rsidR="00286DD4" w:rsidRPr="00286DD4" w:rsidRDefault="00EE443E">
          <w:pPr>
            <w:pStyle w:val="TDC3"/>
            <w:tabs>
              <w:tab w:val="left" w:pos="1320"/>
              <w:tab w:val="right" w:leader="dot" w:pos="8828"/>
            </w:tabs>
            <w:rPr>
              <w:rFonts w:cstheme="minorBidi"/>
              <w:noProof/>
            </w:rPr>
          </w:pPr>
          <w:hyperlink w:anchor="_Toc131109353" w:history="1">
            <w:r w:rsidR="00286DD4" w:rsidRPr="00286DD4">
              <w:rPr>
                <w:rStyle w:val="Hipervnculo"/>
                <w:rFonts w:ascii="Trebuchet MS" w:hAnsi="Trebuchet MS"/>
                <w:noProof/>
              </w:rPr>
              <w:t>2.4.3.</w:t>
            </w:r>
            <w:r w:rsidR="00286DD4" w:rsidRPr="00286DD4">
              <w:rPr>
                <w:rFonts w:cstheme="minorBidi"/>
                <w:noProof/>
              </w:rPr>
              <w:tab/>
            </w:r>
            <w:r w:rsidR="00286DD4" w:rsidRPr="00286DD4">
              <w:rPr>
                <w:rStyle w:val="Hipervnculo"/>
                <w:rFonts w:ascii="Trebuchet MS" w:hAnsi="Trebuchet MS"/>
                <w:noProof/>
              </w:rPr>
              <w:t>Metas de calidad del servicio aprobadas para el año 2022</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_Toc131109353 \h </w:instrText>
            </w:r>
            <w:r w:rsidR="00286DD4" w:rsidRPr="00286DD4">
              <w:rPr>
                <w:noProof/>
                <w:webHidden/>
              </w:rPr>
            </w:r>
            <w:r w:rsidR="00286DD4" w:rsidRPr="00286DD4">
              <w:rPr>
                <w:noProof/>
                <w:webHidden/>
              </w:rPr>
              <w:fldChar w:fldCharType="separate"/>
            </w:r>
            <w:r w:rsidR="00C944CB">
              <w:rPr>
                <w:noProof/>
                <w:webHidden/>
              </w:rPr>
              <w:t>25</w:t>
            </w:r>
            <w:r w:rsidR="00286DD4" w:rsidRPr="00286DD4">
              <w:rPr>
                <w:noProof/>
                <w:webHidden/>
              </w:rPr>
              <w:fldChar w:fldCharType="end"/>
            </w:r>
          </w:hyperlink>
        </w:p>
        <w:p w14:paraId="2E630BCB" w14:textId="102DE2CD" w:rsidR="00286DD4" w:rsidRPr="00286DD4" w:rsidRDefault="00EE443E">
          <w:pPr>
            <w:pStyle w:val="TDC3"/>
            <w:tabs>
              <w:tab w:val="left" w:pos="1320"/>
              <w:tab w:val="right" w:leader="dot" w:pos="8828"/>
            </w:tabs>
            <w:rPr>
              <w:rFonts w:cstheme="minorBidi"/>
              <w:noProof/>
            </w:rPr>
          </w:pPr>
          <w:hyperlink w:anchor="_Toc131109354" w:history="1">
            <w:r w:rsidR="00286DD4" w:rsidRPr="00286DD4">
              <w:rPr>
                <w:rStyle w:val="Hipervnculo"/>
                <w:rFonts w:ascii="Trebuchet MS" w:hAnsi="Trebuchet MS"/>
                <w:noProof/>
              </w:rPr>
              <w:t>2.4.4.</w:t>
            </w:r>
            <w:r w:rsidR="00286DD4" w:rsidRPr="00286DD4">
              <w:rPr>
                <w:rFonts w:cstheme="minorBidi"/>
                <w:noProof/>
              </w:rPr>
              <w:tab/>
            </w:r>
            <w:r w:rsidR="00286DD4" w:rsidRPr="00286DD4">
              <w:rPr>
                <w:rStyle w:val="Hipervnculo"/>
                <w:rFonts w:ascii="Trebuchet MS" w:hAnsi="Trebuchet MS"/>
                <w:noProof/>
              </w:rPr>
              <w:t>Metas de índices de pérdidas aprobados para el año 2022</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_Toc131109354 \h </w:instrText>
            </w:r>
            <w:r w:rsidR="00286DD4" w:rsidRPr="00286DD4">
              <w:rPr>
                <w:noProof/>
                <w:webHidden/>
              </w:rPr>
            </w:r>
            <w:r w:rsidR="00286DD4" w:rsidRPr="00286DD4">
              <w:rPr>
                <w:noProof/>
                <w:webHidden/>
              </w:rPr>
              <w:fldChar w:fldCharType="separate"/>
            </w:r>
            <w:r w:rsidR="00C944CB">
              <w:rPr>
                <w:noProof/>
                <w:webHidden/>
              </w:rPr>
              <w:t>26</w:t>
            </w:r>
            <w:r w:rsidR="00286DD4" w:rsidRPr="00286DD4">
              <w:rPr>
                <w:noProof/>
                <w:webHidden/>
              </w:rPr>
              <w:fldChar w:fldCharType="end"/>
            </w:r>
          </w:hyperlink>
        </w:p>
        <w:p w14:paraId="28C83BF8" w14:textId="20DE68BD" w:rsidR="00286DD4" w:rsidRPr="00286DD4" w:rsidRDefault="00EE443E">
          <w:pPr>
            <w:pStyle w:val="TDC1"/>
            <w:rPr>
              <w:rFonts w:cstheme="minorBidi"/>
              <w:noProof/>
            </w:rPr>
          </w:pPr>
          <w:hyperlink w:anchor="_Toc131109355" w:history="1">
            <w:r w:rsidR="00286DD4" w:rsidRPr="00286DD4">
              <w:rPr>
                <w:rStyle w:val="Hipervnculo"/>
                <w:rFonts w:ascii="Trebuchet MS" w:hAnsi="Trebuchet MS"/>
                <w:noProof/>
              </w:rPr>
              <w:t>3.</w:t>
            </w:r>
            <w:r w:rsidR="00286DD4" w:rsidRPr="00286DD4">
              <w:rPr>
                <w:rFonts w:cstheme="minorBidi"/>
                <w:noProof/>
              </w:rPr>
              <w:tab/>
            </w:r>
            <w:r w:rsidR="00286DD4" w:rsidRPr="00286DD4">
              <w:rPr>
                <w:rStyle w:val="Hipervnculo"/>
                <w:rFonts w:ascii="Trebuchet MS" w:hAnsi="Trebuchet MS"/>
                <w:noProof/>
              </w:rPr>
              <w:t>SEGUIMIENTO A LA EJECUCIÓN DEL PLAN DE INVERSIONES AÑO 2022</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_Toc131109355 \h </w:instrText>
            </w:r>
            <w:r w:rsidR="00286DD4" w:rsidRPr="00286DD4">
              <w:rPr>
                <w:noProof/>
                <w:webHidden/>
              </w:rPr>
            </w:r>
            <w:r w:rsidR="00286DD4" w:rsidRPr="00286DD4">
              <w:rPr>
                <w:noProof/>
                <w:webHidden/>
              </w:rPr>
              <w:fldChar w:fldCharType="separate"/>
            </w:r>
            <w:r w:rsidR="00C944CB">
              <w:rPr>
                <w:noProof/>
                <w:webHidden/>
              </w:rPr>
              <w:t>27</w:t>
            </w:r>
            <w:r w:rsidR="00286DD4" w:rsidRPr="00286DD4">
              <w:rPr>
                <w:noProof/>
                <w:webHidden/>
              </w:rPr>
              <w:fldChar w:fldCharType="end"/>
            </w:r>
          </w:hyperlink>
        </w:p>
        <w:p w14:paraId="24B16F0A" w14:textId="2E806A1F" w:rsidR="00286DD4" w:rsidRPr="00286DD4" w:rsidRDefault="00EE443E">
          <w:pPr>
            <w:pStyle w:val="TDC2"/>
            <w:tabs>
              <w:tab w:val="left" w:pos="880"/>
            </w:tabs>
            <w:rPr>
              <w:rFonts w:cstheme="minorBidi"/>
              <w:noProof/>
            </w:rPr>
          </w:pPr>
          <w:hyperlink w:anchor="_Toc131109357" w:history="1">
            <w:r w:rsidR="00286DD4" w:rsidRPr="00286DD4">
              <w:rPr>
                <w:rStyle w:val="Hipervnculo"/>
                <w:rFonts w:ascii="Trebuchet MS" w:hAnsi="Trebuchet MS"/>
                <w:noProof/>
              </w:rPr>
              <w:t>3.1.</w:t>
            </w:r>
            <w:r w:rsidR="00286DD4" w:rsidRPr="00286DD4">
              <w:rPr>
                <w:rFonts w:cstheme="minorBidi"/>
                <w:noProof/>
              </w:rPr>
              <w:tab/>
            </w:r>
            <w:r w:rsidR="00286DD4" w:rsidRPr="00286DD4">
              <w:rPr>
                <w:rStyle w:val="Hipervnculo"/>
                <w:rFonts w:ascii="Trebuchet MS" w:hAnsi="Trebuchet MS"/>
                <w:noProof/>
              </w:rPr>
              <w:t>Inversiones ejecutadas en el año 2022</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_Toc131109357 \h </w:instrText>
            </w:r>
            <w:r w:rsidR="00286DD4" w:rsidRPr="00286DD4">
              <w:rPr>
                <w:noProof/>
                <w:webHidden/>
              </w:rPr>
            </w:r>
            <w:r w:rsidR="00286DD4" w:rsidRPr="00286DD4">
              <w:rPr>
                <w:noProof/>
                <w:webHidden/>
              </w:rPr>
              <w:fldChar w:fldCharType="separate"/>
            </w:r>
            <w:r w:rsidR="00C944CB">
              <w:rPr>
                <w:noProof/>
                <w:webHidden/>
              </w:rPr>
              <w:t>27</w:t>
            </w:r>
            <w:r w:rsidR="00286DD4" w:rsidRPr="00286DD4">
              <w:rPr>
                <w:noProof/>
                <w:webHidden/>
              </w:rPr>
              <w:fldChar w:fldCharType="end"/>
            </w:r>
          </w:hyperlink>
        </w:p>
        <w:p w14:paraId="45FD9339" w14:textId="6FF398C5" w:rsidR="00286DD4" w:rsidRPr="00286DD4" w:rsidRDefault="00EE443E">
          <w:pPr>
            <w:pStyle w:val="TDC3"/>
            <w:tabs>
              <w:tab w:val="left" w:pos="1320"/>
              <w:tab w:val="right" w:leader="dot" w:pos="8828"/>
            </w:tabs>
            <w:rPr>
              <w:rFonts w:cstheme="minorBidi"/>
              <w:noProof/>
            </w:rPr>
          </w:pPr>
          <w:hyperlink w:anchor="_Toc131109358" w:history="1">
            <w:r w:rsidR="00286DD4" w:rsidRPr="00286DD4">
              <w:rPr>
                <w:rStyle w:val="Hipervnculo"/>
                <w:rFonts w:ascii="Trebuchet MS" w:hAnsi="Trebuchet MS"/>
                <w:noProof/>
              </w:rPr>
              <w:t>3.1.1.</w:t>
            </w:r>
            <w:r w:rsidR="00286DD4" w:rsidRPr="00286DD4">
              <w:rPr>
                <w:rFonts w:cstheme="minorBidi"/>
                <w:noProof/>
              </w:rPr>
              <w:tab/>
            </w:r>
            <w:r w:rsidR="00286DD4" w:rsidRPr="00286DD4">
              <w:rPr>
                <w:rStyle w:val="Hipervnculo"/>
                <w:rFonts w:ascii="Trebuchet MS" w:hAnsi="Trebuchet MS"/>
                <w:noProof/>
              </w:rPr>
              <w:t>Inversiones en activos puestos en operación, por nivel de tensión y categorías de activos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_Toc131109358 \h </w:instrText>
            </w:r>
            <w:r w:rsidR="00286DD4" w:rsidRPr="00286DD4">
              <w:rPr>
                <w:noProof/>
                <w:webHidden/>
              </w:rPr>
            </w:r>
            <w:r w:rsidR="00286DD4" w:rsidRPr="00286DD4">
              <w:rPr>
                <w:noProof/>
                <w:webHidden/>
              </w:rPr>
              <w:fldChar w:fldCharType="separate"/>
            </w:r>
            <w:r w:rsidR="00C944CB">
              <w:rPr>
                <w:noProof/>
                <w:webHidden/>
              </w:rPr>
              <w:t>27</w:t>
            </w:r>
            <w:r w:rsidR="00286DD4" w:rsidRPr="00286DD4">
              <w:rPr>
                <w:noProof/>
                <w:webHidden/>
              </w:rPr>
              <w:fldChar w:fldCharType="end"/>
            </w:r>
          </w:hyperlink>
        </w:p>
        <w:p w14:paraId="2C05BB37" w14:textId="6E0049E1" w:rsidR="00286DD4" w:rsidRPr="00286DD4" w:rsidRDefault="00EE443E">
          <w:pPr>
            <w:pStyle w:val="TDC3"/>
            <w:tabs>
              <w:tab w:val="left" w:pos="1320"/>
              <w:tab w:val="right" w:leader="dot" w:pos="8828"/>
            </w:tabs>
            <w:rPr>
              <w:rFonts w:cstheme="minorBidi"/>
              <w:noProof/>
            </w:rPr>
          </w:pPr>
          <w:hyperlink w:anchor="_Toc131109359" w:history="1">
            <w:r w:rsidR="00286DD4" w:rsidRPr="00286DD4">
              <w:rPr>
                <w:rStyle w:val="Hipervnculo"/>
                <w:rFonts w:ascii="Trebuchet MS" w:hAnsi="Trebuchet MS"/>
                <w:noProof/>
              </w:rPr>
              <w:t>3.1.2.</w:t>
            </w:r>
            <w:r w:rsidR="00286DD4" w:rsidRPr="00286DD4">
              <w:rPr>
                <w:rFonts w:cstheme="minorBidi"/>
                <w:noProof/>
              </w:rPr>
              <w:tab/>
            </w:r>
            <w:r w:rsidR="00286DD4" w:rsidRPr="00286DD4">
              <w:rPr>
                <w:rStyle w:val="Hipervnculo"/>
                <w:rFonts w:ascii="Trebuchet MS" w:hAnsi="Trebuchet MS"/>
                <w:noProof/>
              </w:rPr>
              <w:t>Inversiones ejecutadas por proyectos del plan</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_Toc131109359 \h </w:instrText>
            </w:r>
            <w:r w:rsidR="00286DD4" w:rsidRPr="00286DD4">
              <w:rPr>
                <w:noProof/>
                <w:webHidden/>
              </w:rPr>
            </w:r>
            <w:r w:rsidR="00286DD4" w:rsidRPr="00286DD4">
              <w:rPr>
                <w:noProof/>
                <w:webHidden/>
              </w:rPr>
              <w:fldChar w:fldCharType="separate"/>
            </w:r>
            <w:r w:rsidR="00C944CB">
              <w:rPr>
                <w:noProof/>
                <w:webHidden/>
              </w:rPr>
              <w:t>31</w:t>
            </w:r>
            <w:r w:rsidR="00286DD4" w:rsidRPr="00286DD4">
              <w:rPr>
                <w:noProof/>
                <w:webHidden/>
              </w:rPr>
              <w:fldChar w:fldCharType="end"/>
            </w:r>
          </w:hyperlink>
        </w:p>
        <w:p w14:paraId="72EBE7B9" w14:textId="7623F347" w:rsidR="00286DD4" w:rsidRPr="00286DD4" w:rsidRDefault="00EE443E">
          <w:pPr>
            <w:pStyle w:val="TDC3"/>
            <w:tabs>
              <w:tab w:val="left" w:pos="1320"/>
              <w:tab w:val="right" w:leader="dot" w:pos="8828"/>
            </w:tabs>
            <w:rPr>
              <w:rFonts w:cstheme="minorBidi"/>
              <w:noProof/>
            </w:rPr>
          </w:pPr>
          <w:hyperlink w:anchor="_Toc131109360" w:history="1">
            <w:r w:rsidR="00286DD4" w:rsidRPr="00286DD4">
              <w:rPr>
                <w:rStyle w:val="Hipervnculo"/>
                <w:rFonts w:ascii="Trebuchet MS" w:hAnsi="Trebuchet MS"/>
                <w:noProof/>
              </w:rPr>
              <w:t>3.1.3.</w:t>
            </w:r>
            <w:r w:rsidR="00286DD4" w:rsidRPr="00286DD4">
              <w:rPr>
                <w:rFonts w:cstheme="minorBidi"/>
                <w:noProof/>
              </w:rPr>
              <w:tab/>
            </w:r>
            <w:r w:rsidR="00286DD4" w:rsidRPr="00286DD4">
              <w:rPr>
                <w:rStyle w:val="Hipervnculo"/>
                <w:rFonts w:ascii="Trebuchet MS" w:hAnsi="Trebuchet MS"/>
                <w:noProof/>
              </w:rPr>
              <w:t>Inversiones asociadas al plan de expansión de cobertura</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_Toc131109360 \h </w:instrText>
            </w:r>
            <w:r w:rsidR="00286DD4" w:rsidRPr="00286DD4">
              <w:rPr>
                <w:noProof/>
                <w:webHidden/>
              </w:rPr>
            </w:r>
            <w:r w:rsidR="00286DD4" w:rsidRPr="00286DD4">
              <w:rPr>
                <w:noProof/>
                <w:webHidden/>
              </w:rPr>
              <w:fldChar w:fldCharType="separate"/>
            </w:r>
            <w:r w:rsidR="00C944CB">
              <w:rPr>
                <w:noProof/>
                <w:webHidden/>
              </w:rPr>
              <w:t>31</w:t>
            </w:r>
            <w:r w:rsidR="00286DD4" w:rsidRPr="00286DD4">
              <w:rPr>
                <w:noProof/>
                <w:webHidden/>
              </w:rPr>
              <w:fldChar w:fldCharType="end"/>
            </w:r>
          </w:hyperlink>
        </w:p>
        <w:p w14:paraId="5F258DA1" w14:textId="0BCA8AC6" w:rsidR="00286DD4" w:rsidRPr="00286DD4" w:rsidRDefault="00EE443E">
          <w:pPr>
            <w:pStyle w:val="TDC3"/>
            <w:tabs>
              <w:tab w:val="left" w:pos="1320"/>
              <w:tab w:val="right" w:leader="dot" w:pos="8828"/>
            </w:tabs>
            <w:rPr>
              <w:rFonts w:cstheme="minorBidi"/>
              <w:noProof/>
            </w:rPr>
          </w:pPr>
          <w:hyperlink w:anchor="_Toc131109361" w:history="1">
            <w:r w:rsidR="00286DD4" w:rsidRPr="00286DD4">
              <w:rPr>
                <w:rStyle w:val="Hipervnculo"/>
                <w:rFonts w:ascii="Trebuchet MS" w:hAnsi="Trebuchet MS"/>
                <w:noProof/>
              </w:rPr>
              <w:t>3.1.4.</w:t>
            </w:r>
            <w:r w:rsidR="00286DD4" w:rsidRPr="00286DD4">
              <w:rPr>
                <w:rFonts w:cstheme="minorBidi"/>
                <w:noProof/>
              </w:rPr>
              <w:tab/>
            </w:r>
            <w:r w:rsidR="00286DD4" w:rsidRPr="00286DD4">
              <w:rPr>
                <w:rStyle w:val="Hipervnculo"/>
                <w:rFonts w:ascii="Trebuchet MS" w:hAnsi="Trebuchet MS"/>
                <w:noProof/>
              </w:rPr>
              <w:t>Inversiones asociadas al esquema de calidad del servicio</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_Toc131109361 \h </w:instrText>
            </w:r>
            <w:r w:rsidR="00286DD4" w:rsidRPr="00286DD4">
              <w:rPr>
                <w:noProof/>
                <w:webHidden/>
              </w:rPr>
            </w:r>
            <w:r w:rsidR="00286DD4" w:rsidRPr="00286DD4">
              <w:rPr>
                <w:noProof/>
                <w:webHidden/>
              </w:rPr>
              <w:fldChar w:fldCharType="separate"/>
            </w:r>
            <w:r w:rsidR="00C944CB">
              <w:rPr>
                <w:noProof/>
                <w:webHidden/>
              </w:rPr>
              <w:t>31</w:t>
            </w:r>
            <w:r w:rsidR="00286DD4" w:rsidRPr="00286DD4">
              <w:rPr>
                <w:noProof/>
                <w:webHidden/>
              </w:rPr>
              <w:fldChar w:fldCharType="end"/>
            </w:r>
          </w:hyperlink>
        </w:p>
        <w:p w14:paraId="3EB74935" w14:textId="033B67B1" w:rsidR="00286DD4" w:rsidRPr="00286DD4" w:rsidRDefault="00EE443E">
          <w:pPr>
            <w:pStyle w:val="TDC3"/>
            <w:tabs>
              <w:tab w:val="left" w:pos="1320"/>
              <w:tab w:val="right" w:leader="dot" w:pos="8828"/>
            </w:tabs>
            <w:rPr>
              <w:rFonts w:cstheme="minorBidi"/>
              <w:noProof/>
            </w:rPr>
          </w:pPr>
          <w:hyperlink w:anchor="_Toc131109362" w:history="1">
            <w:r w:rsidR="00286DD4" w:rsidRPr="00286DD4">
              <w:rPr>
                <w:rStyle w:val="Hipervnculo"/>
                <w:rFonts w:ascii="Trebuchet MS" w:hAnsi="Trebuchet MS"/>
                <w:noProof/>
              </w:rPr>
              <w:t>3.1.5.</w:t>
            </w:r>
            <w:r w:rsidR="00286DD4" w:rsidRPr="00286DD4">
              <w:rPr>
                <w:rFonts w:cstheme="minorBidi"/>
                <w:noProof/>
              </w:rPr>
              <w:tab/>
            </w:r>
            <w:r w:rsidR="00286DD4" w:rsidRPr="00286DD4">
              <w:rPr>
                <w:rStyle w:val="Hipervnculo"/>
                <w:rFonts w:ascii="Trebuchet MS" w:hAnsi="Trebuchet MS"/>
                <w:noProof/>
              </w:rPr>
              <w:t>Inversiones en gestión de activos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_Toc131109362 \h </w:instrText>
            </w:r>
            <w:r w:rsidR="00286DD4" w:rsidRPr="00286DD4">
              <w:rPr>
                <w:noProof/>
                <w:webHidden/>
              </w:rPr>
            </w:r>
            <w:r w:rsidR="00286DD4" w:rsidRPr="00286DD4">
              <w:rPr>
                <w:noProof/>
                <w:webHidden/>
              </w:rPr>
              <w:fldChar w:fldCharType="separate"/>
            </w:r>
            <w:r w:rsidR="00C944CB">
              <w:rPr>
                <w:noProof/>
                <w:webHidden/>
              </w:rPr>
              <w:t>32</w:t>
            </w:r>
            <w:r w:rsidR="00286DD4" w:rsidRPr="00286DD4">
              <w:rPr>
                <w:noProof/>
                <w:webHidden/>
              </w:rPr>
              <w:fldChar w:fldCharType="end"/>
            </w:r>
          </w:hyperlink>
        </w:p>
        <w:p w14:paraId="1880496D" w14:textId="06B20D70" w:rsidR="00286DD4" w:rsidRPr="00286DD4" w:rsidRDefault="00EE443E">
          <w:pPr>
            <w:pStyle w:val="TDC3"/>
            <w:tabs>
              <w:tab w:val="left" w:pos="1320"/>
              <w:tab w:val="right" w:leader="dot" w:pos="8828"/>
            </w:tabs>
            <w:rPr>
              <w:rFonts w:cstheme="minorBidi"/>
              <w:noProof/>
            </w:rPr>
          </w:pPr>
          <w:hyperlink w:anchor="_Toc131109363" w:history="1">
            <w:r w:rsidR="00286DD4" w:rsidRPr="00286DD4">
              <w:rPr>
                <w:rStyle w:val="Hipervnculo"/>
                <w:rFonts w:ascii="Trebuchet MS" w:hAnsi="Trebuchet MS"/>
                <w:noProof/>
              </w:rPr>
              <w:t>3.1.6.</w:t>
            </w:r>
            <w:r w:rsidR="00286DD4" w:rsidRPr="00286DD4">
              <w:rPr>
                <w:rFonts w:cstheme="minorBidi"/>
                <w:noProof/>
              </w:rPr>
              <w:tab/>
            </w:r>
            <w:r w:rsidR="00286DD4" w:rsidRPr="00286DD4">
              <w:rPr>
                <w:rStyle w:val="Hipervnculo"/>
                <w:rFonts w:ascii="Trebuchet MS" w:hAnsi="Trebuchet MS"/>
                <w:noProof/>
              </w:rPr>
              <w:t>Inversiones en unidades constructivas especiales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_Toc131109363 \h </w:instrText>
            </w:r>
            <w:r w:rsidR="00286DD4" w:rsidRPr="00286DD4">
              <w:rPr>
                <w:noProof/>
                <w:webHidden/>
              </w:rPr>
            </w:r>
            <w:r w:rsidR="00286DD4" w:rsidRPr="00286DD4">
              <w:rPr>
                <w:noProof/>
                <w:webHidden/>
              </w:rPr>
              <w:fldChar w:fldCharType="separate"/>
            </w:r>
            <w:r w:rsidR="00C944CB">
              <w:rPr>
                <w:noProof/>
                <w:webHidden/>
              </w:rPr>
              <w:t>32</w:t>
            </w:r>
            <w:r w:rsidR="00286DD4" w:rsidRPr="00286DD4">
              <w:rPr>
                <w:noProof/>
                <w:webHidden/>
              </w:rPr>
              <w:fldChar w:fldCharType="end"/>
            </w:r>
          </w:hyperlink>
        </w:p>
        <w:p w14:paraId="0C8DA5E7" w14:textId="40006220" w:rsidR="00286DD4" w:rsidRPr="00286DD4" w:rsidRDefault="00EE443E">
          <w:pPr>
            <w:pStyle w:val="TDC3"/>
            <w:tabs>
              <w:tab w:val="left" w:pos="1320"/>
              <w:tab w:val="right" w:leader="dot" w:pos="8828"/>
            </w:tabs>
            <w:rPr>
              <w:rFonts w:cstheme="minorBidi"/>
              <w:noProof/>
            </w:rPr>
          </w:pPr>
          <w:hyperlink w:anchor="_Toc131109364" w:history="1">
            <w:r w:rsidR="00286DD4" w:rsidRPr="00286DD4">
              <w:rPr>
                <w:rStyle w:val="Hipervnculo"/>
                <w:rFonts w:ascii="Trebuchet MS" w:hAnsi="Trebuchet MS"/>
                <w:noProof/>
              </w:rPr>
              <w:t>3.1.7.</w:t>
            </w:r>
            <w:r w:rsidR="00286DD4" w:rsidRPr="00286DD4">
              <w:rPr>
                <w:rFonts w:cstheme="minorBidi"/>
                <w:noProof/>
              </w:rPr>
              <w:tab/>
            </w:r>
            <w:r w:rsidR="00286DD4" w:rsidRPr="00286DD4">
              <w:rPr>
                <w:rStyle w:val="Hipervnculo"/>
                <w:rFonts w:ascii="Trebuchet MS" w:hAnsi="Trebuchet MS"/>
                <w:noProof/>
              </w:rPr>
              <w:t>Inversiones en componentes socioambientales y de servidumbre asociadas a los proyectos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_Toc131109364 \h </w:instrText>
            </w:r>
            <w:r w:rsidR="00286DD4" w:rsidRPr="00286DD4">
              <w:rPr>
                <w:noProof/>
                <w:webHidden/>
              </w:rPr>
            </w:r>
            <w:r w:rsidR="00286DD4" w:rsidRPr="00286DD4">
              <w:rPr>
                <w:noProof/>
                <w:webHidden/>
              </w:rPr>
              <w:fldChar w:fldCharType="separate"/>
            </w:r>
            <w:r w:rsidR="00C944CB">
              <w:rPr>
                <w:noProof/>
                <w:webHidden/>
              </w:rPr>
              <w:t>33</w:t>
            </w:r>
            <w:r w:rsidR="00286DD4" w:rsidRPr="00286DD4">
              <w:rPr>
                <w:noProof/>
                <w:webHidden/>
              </w:rPr>
              <w:fldChar w:fldCharType="end"/>
            </w:r>
          </w:hyperlink>
        </w:p>
        <w:p w14:paraId="31225773" w14:textId="351150E3" w:rsidR="00286DD4" w:rsidRPr="00286DD4" w:rsidRDefault="00EE443E">
          <w:pPr>
            <w:pStyle w:val="TDC3"/>
            <w:tabs>
              <w:tab w:val="left" w:pos="1320"/>
              <w:tab w:val="right" w:leader="dot" w:pos="8828"/>
            </w:tabs>
            <w:rPr>
              <w:rFonts w:cstheme="minorBidi"/>
              <w:noProof/>
            </w:rPr>
          </w:pPr>
          <w:hyperlink w:anchor="_Toc131109365" w:history="1">
            <w:r w:rsidR="00286DD4" w:rsidRPr="00286DD4">
              <w:rPr>
                <w:rStyle w:val="Hipervnculo"/>
                <w:rFonts w:ascii="Trebuchet MS" w:hAnsi="Trebuchet MS"/>
                <w:noProof/>
              </w:rPr>
              <w:t>3.1.8.</w:t>
            </w:r>
            <w:r w:rsidR="00286DD4" w:rsidRPr="00286DD4">
              <w:rPr>
                <w:rFonts w:cstheme="minorBidi"/>
                <w:noProof/>
              </w:rPr>
              <w:tab/>
            </w:r>
            <w:r w:rsidR="00286DD4" w:rsidRPr="00286DD4">
              <w:rPr>
                <w:rStyle w:val="Hipervnculo"/>
                <w:rFonts w:ascii="Trebuchet MS" w:hAnsi="Trebuchet MS"/>
                <w:noProof/>
              </w:rPr>
              <w:t>Diagramas unifilares actualizados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_Toc131109365 \h </w:instrText>
            </w:r>
            <w:r w:rsidR="00286DD4" w:rsidRPr="00286DD4">
              <w:rPr>
                <w:noProof/>
                <w:webHidden/>
              </w:rPr>
            </w:r>
            <w:r w:rsidR="00286DD4" w:rsidRPr="00286DD4">
              <w:rPr>
                <w:noProof/>
                <w:webHidden/>
              </w:rPr>
              <w:fldChar w:fldCharType="separate"/>
            </w:r>
            <w:r w:rsidR="00C944CB">
              <w:rPr>
                <w:noProof/>
                <w:webHidden/>
              </w:rPr>
              <w:t>35</w:t>
            </w:r>
            <w:r w:rsidR="00286DD4" w:rsidRPr="00286DD4">
              <w:rPr>
                <w:noProof/>
                <w:webHidden/>
              </w:rPr>
              <w:fldChar w:fldCharType="end"/>
            </w:r>
          </w:hyperlink>
        </w:p>
        <w:p w14:paraId="0D81AA07" w14:textId="118485FA" w:rsidR="00286DD4" w:rsidRPr="00286DD4" w:rsidRDefault="00EE443E">
          <w:pPr>
            <w:pStyle w:val="TDC2"/>
            <w:tabs>
              <w:tab w:val="left" w:pos="880"/>
            </w:tabs>
            <w:rPr>
              <w:rFonts w:cstheme="minorBidi"/>
              <w:noProof/>
            </w:rPr>
          </w:pPr>
          <w:hyperlink w:anchor="_Toc131109366" w:history="1">
            <w:r w:rsidR="00286DD4" w:rsidRPr="00286DD4">
              <w:rPr>
                <w:rStyle w:val="Hipervnculo"/>
                <w:rFonts w:ascii="Trebuchet MS" w:hAnsi="Trebuchet MS"/>
                <w:noProof/>
              </w:rPr>
              <w:t>3.2.</w:t>
            </w:r>
            <w:r w:rsidR="00286DD4" w:rsidRPr="00286DD4">
              <w:rPr>
                <w:rFonts w:cstheme="minorBidi"/>
                <w:noProof/>
              </w:rPr>
              <w:tab/>
            </w:r>
            <w:r w:rsidR="00286DD4" w:rsidRPr="00286DD4">
              <w:rPr>
                <w:rStyle w:val="Hipervnculo"/>
                <w:rFonts w:ascii="Trebuchet MS" w:hAnsi="Trebuchet MS"/>
                <w:noProof/>
              </w:rPr>
              <w:t>Avance en el cumplimiento de las Metas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_Toc131109366 \h </w:instrText>
            </w:r>
            <w:r w:rsidR="00286DD4" w:rsidRPr="00286DD4">
              <w:rPr>
                <w:noProof/>
                <w:webHidden/>
              </w:rPr>
            </w:r>
            <w:r w:rsidR="00286DD4" w:rsidRPr="00286DD4">
              <w:rPr>
                <w:noProof/>
                <w:webHidden/>
              </w:rPr>
              <w:fldChar w:fldCharType="separate"/>
            </w:r>
            <w:r w:rsidR="00C944CB">
              <w:rPr>
                <w:noProof/>
                <w:webHidden/>
              </w:rPr>
              <w:t>35</w:t>
            </w:r>
            <w:r w:rsidR="00286DD4" w:rsidRPr="00286DD4">
              <w:rPr>
                <w:noProof/>
                <w:webHidden/>
              </w:rPr>
              <w:fldChar w:fldCharType="end"/>
            </w:r>
          </w:hyperlink>
        </w:p>
        <w:p w14:paraId="42647A73" w14:textId="4434BCF7" w:rsidR="00286DD4" w:rsidRPr="00286DD4" w:rsidRDefault="00EE443E">
          <w:pPr>
            <w:pStyle w:val="TDC3"/>
            <w:tabs>
              <w:tab w:val="left" w:pos="1320"/>
              <w:tab w:val="right" w:leader="dot" w:pos="8828"/>
            </w:tabs>
            <w:rPr>
              <w:rFonts w:cstheme="minorBidi"/>
              <w:noProof/>
            </w:rPr>
          </w:pPr>
          <w:hyperlink w:anchor="_Toc131109367" w:history="1">
            <w:r w:rsidR="00286DD4" w:rsidRPr="00286DD4">
              <w:rPr>
                <w:rStyle w:val="Hipervnculo"/>
                <w:rFonts w:ascii="Trebuchet MS" w:hAnsi="Trebuchet MS"/>
                <w:noProof/>
              </w:rPr>
              <w:t>3.2.1.</w:t>
            </w:r>
            <w:r w:rsidR="00286DD4" w:rsidRPr="00286DD4">
              <w:rPr>
                <w:rFonts w:cstheme="minorBidi"/>
                <w:noProof/>
              </w:rPr>
              <w:tab/>
            </w:r>
            <w:r w:rsidR="00286DD4" w:rsidRPr="00286DD4">
              <w:rPr>
                <w:rStyle w:val="Hipervnculo"/>
                <w:rFonts w:ascii="Trebuchet MS" w:hAnsi="Trebuchet MS"/>
                <w:noProof/>
              </w:rPr>
              <w:t>Cumplimiento de las inversiones en activos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_Toc131109367 \h </w:instrText>
            </w:r>
            <w:r w:rsidR="00286DD4" w:rsidRPr="00286DD4">
              <w:rPr>
                <w:noProof/>
                <w:webHidden/>
              </w:rPr>
            </w:r>
            <w:r w:rsidR="00286DD4" w:rsidRPr="00286DD4">
              <w:rPr>
                <w:noProof/>
                <w:webHidden/>
              </w:rPr>
              <w:fldChar w:fldCharType="separate"/>
            </w:r>
            <w:r w:rsidR="00C944CB">
              <w:rPr>
                <w:noProof/>
                <w:webHidden/>
              </w:rPr>
              <w:t>35</w:t>
            </w:r>
            <w:r w:rsidR="00286DD4" w:rsidRPr="00286DD4">
              <w:rPr>
                <w:noProof/>
                <w:webHidden/>
              </w:rPr>
              <w:fldChar w:fldCharType="end"/>
            </w:r>
          </w:hyperlink>
        </w:p>
        <w:p w14:paraId="23BA788D" w14:textId="252A41BA" w:rsidR="00286DD4" w:rsidRPr="00286DD4" w:rsidRDefault="00EE443E">
          <w:pPr>
            <w:pStyle w:val="TDC3"/>
            <w:tabs>
              <w:tab w:val="left" w:pos="1320"/>
              <w:tab w:val="right" w:leader="dot" w:pos="8828"/>
            </w:tabs>
            <w:rPr>
              <w:rFonts w:cstheme="minorBidi"/>
              <w:noProof/>
            </w:rPr>
          </w:pPr>
          <w:hyperlink w:anchor="_Toc131109368" w:history="1">
            <w:r w:rsidR="00286DD4" w:rsidRPr="00286DD4">
              <w:rPr>
                <w:rStyle w:val="Hipervnculo"/>
                <w:rFonts w:ascii="Trebuchet MS" w:hAnsi="Trebuchet MS"/>
                <w:noProof/>
              </w:rPr>
              <w:t>3.2.2.</w:t>
            </w:r>
            <w:r w:rsidR="00286DD4" w:rsidRPr="00286DD4">
              <w:rPr>
                <w:rFonts w:cstheme="minorBidi"/>
                <w:noProof/>
              </w:rPr>
              <w:tab/>
            </w:r>
            <w:r w:rsidR="00286DD4" w:rsidRPr="00286DD4">
              <w:rPr>
                <w:rStyle w:val="Hipervnculo"/>
                <w:rFonts w:ascii="Trebuchet MS" w:hAnsi="Trebuchet MS"/>
                <w:noProof/>
              </w:rPr>
              <w:t>Desviaciones respecto al plan de inversiones aprobado</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_Toc131109368 \h </w:instrText>
            </w:r>
            <w:r w:rsidR="00286DD4" w:rsidRPr="00286DD4">
              <w:rPr>
                <w:noProof/>
                <w:webHidden/>
              </w:rPr>
            </w:r>
            <w:r w:rsidR="00286DD4" w:rsidRPr="00286DD4">
              <w:rPr>
                <w:noProof/>
                <w:webHidden/>
              </w:rPr>
              <w:fldChar w:fldCharType="separate"/>
            </w:r>
            <w:r w:rsidR="00C944CB">
              <w:rPr>
                <w:noProof/>
                <w:webHidden/>
              </w:rPr>
              <w:t>37</w:t>
            </w:r>
            <w:r w:rsidR="00286DD4" w:rsidRPr="00286DD4">
              <w:rPr>
                <w:noProof/>
                <w:webHidden/>
              </w:rPr>
              <w:fldChar w:fldCharType="end"/>
            </w:r>
          </w:hyperlink>
        </w:p>
        <w:p w14:paraId="43AF8CD8" w14:textId="61F55DEC" w:rsidR="00286DD4" w:rsidRPr="00286DD4" w:rsidRDefault="00EE443E">
          <w:pPr>
            <w:pStyle w:val="TDC3"/>
            <w:tabs>
              <w:tab w:val="left" w:pos="1320"/>
              <w:tab w:val="right" w:leader="dot" w:pos="8828"/>
            </w:tabs>
            <w:rPr>
              <w:rFonts w:cstheme="minorBidi"/>
              <w:noProof/>
            </w:rPr>
          </w:pPr>
          <w:hyperlink w:anchor="_Toc131109369" w:history="1">
            <w:r w:rsidR="00286DD4" w:rsidRPr="00286DD4">
              <w:rPr>
                <w:rStyle w:val="Hipervnculo"/>
                <w:rFonts w:ascii="Trebuchet MS" w:hAnsi="Trebuchet MS"/>
                <w:noProof/>
              </w:rPr>
              <w:t>3.2.3.</w:t>
            </w:r>
            <w:r w:rsidR="00286DD4" w:rsidRPr="00286DD4">
              <w:rPr>
                <w:rFonts w:cstheme="minorBidi"/>
                <w:noProof/>
              </w:rPr>
              <w:tab/>
            </w:r>
            <w:r w:rsidR="00286DD4" w:rsidRPr="00286DD4">
              <w:rPr>
                <w:rStyle w:val="Hipervnculo"/>
                <w:rFonts w:ascii="Trebuchet MS" w:hAnsi="Trebuchet MS"/>
                <w:noProof/>
              </w:rPr>
              <w:t>Cumplimiento de las metas de calidad del servicio</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_Toc131109369 \h </w:instrText>
            </w:r>
            <w:r w:rsidR="00286DD4" w:rsidRPr="00286DD4">
              <w:rPr>
                <w:noProof/>
                <w:webHidden/>
              </w:rPr>
            </w:r>
            <w:r w:rsidR="00286DD4" w:rsidRPr="00286DD4">
              <w:rPr>
                <w:noProof/>
                <w:webHidden/>
              </w:rPr>
              <w:fldChar w:fldCharType="separate"/>
            </w:r>
            <w:r w:rsidR="00C944CB">
              <w:rPr>
                <w:noProof/>
                <w:webHidden/>
              </w:rPr>
              <w:t>38</w:t>
            </w:r>
            <w:r w:rsidR="00286DD4" w:rsidRPr="00286DD4">
              <w:rPr>
                <w:noProof/>
                <w:webHidden/>
              </w:rPr>
              <w:fldChar w:fldCharType="end"/>
            </w:r>
          </w:hyperlink>
        </w:p>
        <w:p w14:paraId="40BB0938" w14:textId="16481744" w:rsidR="00286DD4" w:rsidRPr="00286DD4" w:rsidRDefault="00EE443E">
          <w:pPr>
            <w:pStyle w:val="TDC3"/>
            <w:tabs>
              <w:tab w:val="left" w:pos="1320"/>
              <w:tab w:val="right" w:leader="dot" w:pos="8828"/>
            </w:tabs>
            <w:rPr>
              <w:rFonts w:cstheme="minorBidi"/>
              <w:noProof/>
            </w:rPr>
          </w:pPr>
          <w:hyperlink w:anchor="_Toc131109370" w:history="1">
            <w:r w:rsidR="00286DD4" w:rsidRPr="00286DD4">
              <w:rPr>
                <w:rStyle w:val="Hipervnculo"/>
                <w:rFonts w:ascii="Trebuchet MS" w:hAnsi="Trebuchet MS"/>
                <w:noProof/>
              </w:rPr>
              <w:t>3.2.4.</w:t>
            </w:r>
            <w:r w:rsidR="00286DD4" w:rsidRPr="00286DD4">
              <w:rPr>
                <w:rFonts w:cstheme="minorBidi"/>
                <w:noProof/>
              </w:rPr>
              <w:tab/>
            </w:r>
            <w:r w:rsidR="00286DD4" w:rsidRPr="00286DD4">
              <w:rPr>
                <w:rStyle w:val="Hipervnculo"/>
                <w:rFonts w:ascii="Trebuchet MS" w:hAnsi="Trebuchet MS"/>
                <w:noProof/>
              </w:rPr>
              <w:t>Cumplimiento de los índices de pérdidas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_Toc131109370 \h </w:instrText>
            </w:r>
            <w:r w:rsidR="00286DD4" w:rsidRPr="00286DD4">
              <w:rPr>
                <w:noProof/>
                <w:webHidden/>
              </w:rPr>
            </w:r>
            <w:r w:rsidR="00286DD4" w:rsidRPr="00286DD4">
              <w:rPr>
                <w:noProof/>
                <w:webHidden/>
              </w:rPr>
              <w:fldChar w:fldCharType="separate"/>
            </w:r>
            <w:r w:rsidR="00C944CB">
              <w:rPr>
                <w:noProof/>
                <w:webHidden/>
              </w:rPr>
              <w:t>38</w:t>
            </w:r>
            <w:r w:rsidR="00286DD4" w:rsidRPr="00286DD4">
              <w:rPr>
                <w:noProof/>
                <w:webHidden/>
              </w:rPr>
              <w:fldChar w:fldCharType="end"/>
            </w:r>
          </w:hyperlink>
        </w:p>
        <w:p w14:paraId="625D7F82" w14:textId="3B9A7950" w:rsidR="00286DD4" w:rsidRPr="00286DD4" w:rsidRDefault="00EE443E">
          <w:pPr>
            <w:pStyle w:val="TDC3"/>
            <w:tabs>
              <w:tab w:val="left" w:pos="1320"/>
              <w:tab w:val="right" w:leader="dot" w:pos="8828"/>
            </w:tabs>
            <w:rPr>
              <w:rFonts w:cstheme="minorBidi"/>
              <w:noProof/>
            </w:rPr>
          </w:pPr>
          <w:hyperlink w:anchor="_Toc131109371" w:history="1">
            <w:r w:rsidR="00286DD4" w:rsidRPr="00286DD4">
              <w:rPr>
                <w:rStyle w:val="Hipervnculo"/>
                <w:rFonts w:ascii="Trebuchet MS" w:hAnsi="Trebuchet MS"/>
                <w:noProof/>
              </w:rPr>
              <w:t>3.2.5.</w:t>
            </w:r>
            <w:r w:rsidR="00286DD4" w:rsidRPr="00286DD4">
              <w:rPr>
                <w:rFonts w:cstheme="minorBidi"/>
                <w:noProof/>
              </w:rPr>
              <w:tab/>
            </w:r>
            <w:r w:rsidR="00286DD4" w:rsidRPr="00286DD4">
              <w:rPr>
                <w:rStyle w:val="Hipervnculo"/>
                <w:rFonts w:ascii="Trebuchet MS" w:hAnsi="Trebuchet MS"/>
                <w:noProof/>
              </w:rPr>
              <w:t>Avance en la implementación del Sistema de Gestión de Activos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_Toc131109371 \h </w:instrText>
            </w:r>
            <w:r w:rsidR="00286DD4" w:rsidRPr="00286DD4">
              <w:rPr>
                <w:noProof/>
                <w:webHidden/>
              </w:rPr>
            </w:r>
            <w:r w:rsidR="00286DD4" w:rsidRPr="00286DD4">
              <w:rPr>
                <w:noProof/>
                <w:webHidden/>
              </w:rPr>
              <w:fldChar w:fldCharType="separate"/>
            </w:r>
            <w:r w:rsidR="00C944CB">
              <w:rPr>
                <w:noProof/>
                <w:webHidden/>
              </w:rPr>
              <w:t>39</w:t>
            </w:r>
            <w:r w:rsidR="00286DD4" w:rsidRPr="00286DD4">
              <w:rPr>
                <w:noProof/>
                <w:webHidden/>
              </w:rPr>
              <w:fldChar w:fldCharType="end"/>
            </w:r>
          </w:hyperlink>
        </w:p>
        <w:p w14:paraId="37F19A15" w14:textId="3DD719C9" w:rsidR="00286DD4" w:rsidRPr="00286DD4" w:rsidRDefault="00EE443E">
          <w:pPr>
            <w:pStyle w:val="TDC2"/>
            <w:tabs>
              <w:tab w:val="left" w:pos="880"/>
            </w:tabs>
            <w:rPr>
              <w:rFonts w:cstheme="minorBidi"/>
              <w:noProof/>
            </w:rPr>
          </w:pPr>
          <w:hyperlink w:anchor="_Toc131109372" w:history="1">
            <w:r w:rsidR="00286DD4" w:rsidRPr="00286DD4">
              <w:rPr>
                <w:rStyle w:val="Hipervnculo"/>
                <w:rFonts w:ascii="Trebuchet MS" w:hAnsi="Trebuchet MS"/>
                <w:noProof/>
              </w:rPr>
              <w:t>3.3.</w:t>
            </w:r>
            <w:r w:rsidR="00286DD4" w:rsidRPr="00286DD4">
              <w:rPr>
                <w:rFonts w:cstheme="minorBidi"/>
                <w:noProof/>
              </w:rPr>
              <w:tab/>
            </w:r>
            <w:r w:rsidR="00286DD4" w:rsidRPr="00286DD4">
              <w:rPr>
                <w:rStyle w:val="Hipervnculo"/>
                <w:rFonts w:ascii="Trebuchet MS" w:hAnsi="Trebuchet MS"/>
                <w:noProof/>
              </w:rPr>
              <w:t>Seguimiento a las bases de activos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_Toc131109372 \h </w:instrText>
            </w:r>
            <w:r w:rsidR="00286DD4" w:rsidRPr="00286DD4">
              <w:rPr>
                <w:noProof/>
                <w:webHidden/>
              </w:rPr>
            </w:r>
            <w:r w:rsidR="00286DD4" w:rsidRPr="00286DD4">
              <w:rPr>
                <w:noProof/>
                <w:webHidden/>
              </w:rPr>
              <w:fldChar w:fldCharType="separate"/>
            </w:r>
            <w:r w:rsidR="00C944CB">
              <w:rPr>
                <w:noProof/>
                <w:webHidden/>
              </w:rPr>
              <w:t>39</w:t>
            </w:r>
            <w:r w:rsidR="00286DD4" w:rsidRPr="00286DD4">
              <w:rPr>
                <w:noProof/>
                <w:webHidden/>
              </w:rPr>
              <w:fldChar w:fldCharType="end"/>
            </w:r>
          </w:hyperlink>
        </w:p>
        <w:p w14:paraId="4AB0FB22" w14:textId="5C2E0B63" w:rsidR="00286DD4" w:rsidRPr="00286DD4" w:rsidRDefault="00EE443E">
          <w:pPr>
            <w:pStyle w:val="TDC3"/>
            <w:tabs>
              <w:tab w:val="left" w:pos="1320"/>
              <w:tab w:val="right" w:leader="dot" w:pos="8828"/>
            </w:tabs>
            <w:rPr>
              <w:rFonts w:cstheme="minorBidi"/>
              <w:noProof/>
            </w:rPr>
          </w:pPr>
          <w:hyperlink w:anchor="_Toc131109373" w:history="1">
            <w:r w:rsidR="00286DD4" w:rsidRPr="00286DD4">
              <w:rPr>
                <w:rStyle w:val="Hipervnculo"/>
                <w:rFonts w:ascii="Trebuchet MS" w:hAnsi="Trebuchet MS"/>
                <w:noProof/>
              </w:rPr>
              <w:t>3.3.1.</w:t>
            </w:r>
            <w:r w:rsidR="00286DD4" w:rsidRPr="00286DD4">
              <w:rPr>
                <w:rFonts w:cstheme="minorBidi"/>
                <w:noProof/>
              </w:rPr>
              <w:tab/>
            </w:r>
            <w:r w:rsidR="00286DD4" w:rsidRPr="00286DD4">
              <w:rPr>
                <w:rStyle w:val="Hipervnculo"/>
                <w:rFonts w:ascii="Trebuchet MS" w:hAnsi="Trebuchet MS"/>
                <w:noProof/>
              </w:rPr>
              <w:t>Base de activos fuera de operación</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_Toc131109373 \h </w:instrText>
            </w:r>
            <w:r w:rsidR="00286DD4" w:rsidRPr="00286DD4">
              <w:rPr>
                <w:noProof/>
                <w:webHidden/>
              </w:rPr>
            </w:r>
            <w:r w:rsidR="00286DD4" w:rsidRPr="00286DD4">
              <w:rPr>
                <w:noProof/>
                <w:webHidden/>
              </w:rPr>
              <w:fldChar w:fldCharType="separate"/>
            </w:r>
            <w:r w:rsidR="00C944CB">
              <w:rPr>
                <w:noProof/>
                <w:webHidden/>
              </w:rPr>
              <w:t>39</w:t>
            </w:r>
            <w:r w:rsidR="00286DD4" w:rsidRPr="00286DD4">
              <w:rPr>
                <w:noProof/>
                <w:webHidden/>
              </w:rPr>
              <w:fldChar w:fldCharType="end"/>
            </w:r>
          </w:hyperlink>
        </w:p>
        <w:p w14:paraId="029F2996" w14:textId="252920F9" w:rsidR="00286DD4" w:rsidRPr="00286DD4" w:rsidRDefault="00EE443E">
          <w:pPr>
            <w:pStyle w:val="TDC3"/>
            <w:tabs>
              <w:tab w:val="left" w:pos="1320"/>
              <w:tab w:val="right" w:leader="dot" w:pos="8828"/>
            </w:tabs>
            <w:rPr>
              <w:rFonts w:cstheme="minorBidi"/>
              <w:noProof/>
            </w:rPr>
          </w:pPr>
          <w:hyperlink w:anchor="_Toc131109374" w:history="1">
            <w:r w:rsidR="00286DD4" w:rsidRPr="00286DD4">
              <w:rPr>
                <w:rStyle w:val="Hipervnculo"/>
                <w:rFonts w:ascii="Trebuchet MS" w:hAnsi="Trebuchet MS"/>
                <w:noProof/>
              </w:rPr>
              <w:t>3.3.2.</w:t>
            </w:r>
            <w:r w:rsidR="00286DD4" w:rsidRPr="00286DD4">
              <w:rPr>
                <w:rFonts w:cstheme="minorBidi"/>
                <w:noProof/>
              </w:rPr>
              <w:tab/>
            </w:r>
            <w:r w:rsidR="00286DD4" w:rsidRPr="00286DD4">
              <w:rPr>
                <w:rStyle w:val="Hipervnculo"/>
                <w:rFonts w:ascii="Trebuchet MS" w:hAnsi="Trebuchet MS"/>
                <w:noProof/>
              </w:rPr>
              <w:t>Base de terrenos al año 2022</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_Toc131109374 \h </w:instrText>
            </w:r>
            <w:r w:rsidR="00286DD4" w:rsidRPr="00286DD4">
              <w:rPr>
                <w:noProof/>
                <w:webHidden/>
              </w:rPr>
            </w:r>
            <w:r w:rsidR="00286DD4" w:rsidRPr="00286DD4">
              <w:rPr>
                <w:noProof/>
                <w:webHidden/>
              </w:rPr>
              <w:fldChar w:fldCharType="separate"/>
            </w:r>
            <w:r w:rsidR="00C944CB">
              <w:rPr>
                <w:noProof/>
                <w:webHidden/>
              </w:rPr>
              <w:t>40</w:t>
            </w:r>
            <w:r w:rsidR="00286DD4" w:rsidRPr="00286DD4">
              <w:rPr>
                <w:noProof/>
                <w:webHidden/>
              </w:rPr>
              <w:fldChar w:fldCharType="end"/>
            </w:r>
          </w:hyperlink>
        </w:p>
        <w:p w14:paraId="2F0B17FD" w14:textId="557AF9AE" w:rsidR="00286DD4" w:rsidRPr="00286DD4" w:rsidRDefault="00EE443E">
          <w:pPr>
            <w:pStyle w:val="TDC1"/>
            <w:rPr>
              <w:rFonts w:cstheme="minorBidi"/>
              <w:noProof/>
            </w:rPr>
          </w:pPr>
          <w:hyperlink w:anchor="_Toc131109375" w:history="1">
            <w:r w:rsidR="00286DD4" w:rsidRPr="00286DD4">
              <w:rPr>
                <w:rStyle w:val="Hipervnculo"/>
                <w:rFonts w:ascii="Trebuchet MS" w:hAnsi="Trebuchet MS"/>
                <w:noProof/>
              </w:rPr>
              <w:t>4.</w:t>
            </w:r>
            <w:r w:rsidR="00286DD4" w:rsidRPr="00286DD4">
              <w:rPr>
                <w:rFonts w:cstheme="minorBidi"/>
                <w:noProof/>
              </w:rPr>
              <w:tab/>
            </w:r>
            <w:r w:rsidR="00286DD4" w:rsidRPr="00286DD4">
              <w:rPr>
                <w:rStyle w:val="Hipervnculo"/>
                <w:rFonts w:ascii="Trebuchet MS" w:hAnsi="Trebuchet MS"/>
                <w:noProof/>
              </w:rPr>
              <w:t>DOCUMENTOS DE REFERENCIA</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_Toc131109375 \h </w:instrText>
            </w:r>
            <w:r w:rsidR="00286DD4" w:rsidRPr="00286DD4">
              <w:rPr>
                <w:noProof/>
                <w:webHidden/>
              </w:rPr>
            </w:r>
            <w:r w:rsidR="00286DD4" w:rsidRPr="00286DD4">
              <w:rPr>
                <w:noProof/>
                <w:webHidden/>
              </w:rPr>
              <w:fldChar w:fldCharType="separate"/>
            </w:r>
            <w:r w:rsidR="00C944CB">
              <w:rPr>
                <w:noProof/>
                <w:webHidden/>
              </w:rPr>
              <w:t>41</w:t>
            </w:r>
            <w:r w:rsidR="00286DD4" w:rsidRPr="00286DD4">
              <w:rPr>
                <w:noProof/>
                <w:webHidden/>
              </w:rPr>
              <w:fldChar w:fldCharType="end"/>
            </w:r>
          </w:hyperlink>
        </w:p>
        <w:p w14:paraId="57A41D1A" w14:textId="70FF3925" w:rsidR="00286DD4" w:rsidRDefault="00EE443E">
          <w:pPr>
            <w:pStyle w:val="TDC1"/>
            <w:rPr>
              <w:rFonts w:cstheme="minorBidi"/>
              <w:noProof/>
            </w:rPr>
          </w:pPr>
          <w:hyperlink w:anchor="_Toc131109376" w:history="1">
            <w:r w:rsidR="00286DD4" w:rsidRPr="00286DD4">
              <w:rPr>
                <w:rStyle w:val="Hipervnculo"/>
                <w:rFonts w:ascii="Trebuchet MS" w:hAnsi="Trebuchet MS"/>
                <w:noProof/>
              </w:rPr>
              <w:t>5.</w:t>
            </w:r>
            <w:r w:rsidR="00286DD4" w:rsidRPr="00286DD4">
              <w:rPr>
                <w:rFonts w:cstheme="minorBidi"/>
                <w:noProof/>
              </w:rPr>
              <w:tab/>
            </w:r>
            <w:r w:rsidR="00286DD4" w:rsidRPr="00286DD4">
              <w:rPr>
                <w:rStyle w:val="Hipervnculo"/>
                <w:rFonts w:ascii="Trebuchet MS" w:hAnsi="Trebuchet MS"/>
                <w:noProof/>
              </w:rPr>
              <w:t>ANEXOS</w:t>
            </w:r>
            <w:r w:rsidR="00286DD4" w:rsidRPr="00286DD4">
              <w:rPr>
                <w:noProof/>
                <w:webHidden/>
              </w:rPr>
              <w:tab/>
            </w:r>
            <w:r w:rsidR="00286DD4" w:rsidRPr="00286DD4">
              <w:rPr>
                <w:noProof/>
                <w:webHidden/>
              </w:rPr>
              <w:fldChar w:fldCharType="begin"/>
            </w:r>
            <w:r w:rsidR="00286DD4" w:rsidRPr="00286DD4">
              <w:rPr>
                <w:noProof/>
                <w:webHidden/>
              </w:rPr>
              <w:instrText xml:space="preserve"> PAGEREF _Toc131109376 \h </w:instrText>
            </w:r>
            <w:r w:rsidR="00286DD4" w:rsidRPr="00286DD4">
              <w:rPr>
                <w:noProof/>
                <w:webHidden/>
              </w:rPr>
            </w:r>
            <w:r w:rsidR="00286DD4" w:rsidRPr="00286DD4">
              <w:rPr>
                <w:noProof/>
                <w:webHidden/>
              </w:rPr>
              <w:fldChar w:fldCharType="separate"/>
            </w:r>
            <w:r w:rsidR="00C944CB">
              <w:rPr>
                <w:noProof/>
                <w:webHidden/>
              </w:rPr>
              <w:t>42</w:t>
            </w:r>
            <w:r w:rsidR="00286DD4" w:rsidRPr="00286DD4">
              <w:rPr>
                <w:noProof/>
                <w:webHidden/>
              </w:rPr>
              <w:fldChar w:fldCharType="end"/>
            </w:r>
          </w:hyperlink>
        </w:p>
        <w:p w14:paraId="548E0454" w14:textId="4DFD5745" w:rsidR="00203D99" w:rsidRPr="002946A9" w:rsidRDefault="00203D99" w:rsidP="00DF29CB">
          <w:pPr>
            <w:jc w:val="both"/>
          </w:pPr>
          <w:r w:rsidRPr="00072928">
            <w:rPr>
              <w:lang w:val="es-ES"/>
            </w:rPr>
            <w:fldChar w:fldCharType="end"/>
          </w:r>
        </w:p>
      </w:sdtContent>
    </w:sdt>
    <w:p w14:paraId="1CAB2872" w14:textId="77777777" w:rsidR="00727D1D" w:rsidRPr="002946A9" w:rsidRDefault="00727D1D" w:rsidP="00DF29CB">
      <w:pPr>
        <w:jc w:val="both"/>
        <w:rPr>
          <w:lang w:val="es-ES" w:eastAsia="es-CO"/>
        </w:rPr>
        <w:sectPr w:rsidR="00727D1D" w:rsidRPr="002946A9" w:rsidSect="0081120D">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NumType w:fmt="upperRoman"/>
          <w:cols w:space="708"/>
          <w:titlePg/>
          <w:docGrid w:linePitch="360"/>
        </w:sectPr>
      </w:pPr>
    </w:p>
    <w:p w14:paraId="7CF4B9FE" w14:textId="77777777" w:rsidR="005403AF" w:rsidRDefault="005403AF" w:rsidP="00DF29CB">
      <w:pPr>
        <w:pStyle w:val="TtuloTDC"/>
        <w:jc w:val="both"/>
        <w:rPr>
          <w:rFonts w:ascii="Trebuchet MS" w:hAnsi="Trebuchet MS"/>
          <w:lang w:val="es-ES"/>
        </w:rPr>
      </w:pPr>
    </w:p>
    <w:p w14:paraId="26A5A043" w14:textId="4ED315EB" w:rsidR="005403AF" w:rsidRDefault="00E31BC4" w:rsidP="00DF29CB">
      <w:pPr>
        <w:pStyle w:val="TtuloTDC"/>
        <w:jc w:val="both"/>
        <w:rPr>
          <w:rFonts w:ascii="Trebuchet MS" w:hAnsi="Trebuchet MS"/>
          <w:lang w:val="es-ES"/>
        </w:rPr>
      </w:pPr>
      <w:r>
        <w:rPr>
          <w:rFonts w:ascii="Trebuchet MS" w:hAnsi="Trebuchet MS"/>
          <w:lang w:val="es-ES"/>
        </w:rPr>
        <w:br w:type="page"/>
      </w:r>
    </w:p>
    <w:p w14:paraId="4053DC6D" w14:textId="2DEB7FF6" w:rsidR="00757641" w:rsidRPr="002946A9" w:rsidRDefault="00406C94" w:rsidP="00DF29CB">
      <w:pPr>
        <w:pStyle w:val="TtuloTDC"/>
        <w:jc w:val="both"/>
        <w:rPr>
          <w:rFonts w:ascii="Trebuchet MS" w:hAnsi="Trebuchet MS"/>
          <w:lang w:val="es-ES"/>
        </w:rPr>
      </w:pPr>
      <w:r w:rsidRPr="002946A9">
        <w:rPr>
          <w:rFonts w:ascii="Trebuchet MS" w:hAnsi="Trebuchet MS"/>
          <w:lang w:val="es-ES"/>
        </w:rPr>
        <w:t>Lista de figuras</w:t>
      </w:r>
    </w:p>
    <w:p w14:paraId="67DBDB29" w14:textId="77777777" w:rsidR="00406C94" w:rsidRPr="002946A9" w:rsidRDefault="00406C94" w:rsidP="00DF29CB">
      <w:pPr>
        <w:jc w:val="both"/>
        <w:rPr>
          <w:lang w:val="es-ES" w:eastAsia="es-CO"/>
        </w:rPr>
      </w:pPr>
    </w:p>
    <w:p w14:paraId="2F094A06" w14:textId="7EF0E509" w:rsidR="007C2F24" w:rsidRDefault="00757641">
      <w:pPr>
        <w:pStyle w:val="Tabladeilustraciones"/>
        <w:tabs>
          <w:tab w:val="right" w:leader="dot" w:pos="8828"/>
        </w:tabs>
        <w:rPr>
          <w:rFonts w:asciiTheme="minorHAnsi" w:eastAsiaTheme="minorEastAsia" w:hAnsiTheme="minorHAnsi"/>
          <w:noProof/>
          <w:lang w:eastAsia="es-CO"/>
        </w:rPr>
      </w:pPr>
      <w:r w:rsidRPr="002946A9">
        <w:fldChar w:fldCharType="begin"/>
      </w:r>
      <w:r w:rsidRPr="002946A9">
        <w:instrText xml:space="preserve"> TOC \h \z \c "Figura" </w:instrText>
      </w:r>
      <w:r w:rsidRPr="002946A9">
        <w:fldChar w:fldCharType="separate"/>
      </w:r>
      <w:hyperlink w:anchor="_Toc131031368" w:history="1">
        <w:r w:rsidR="007C2F24" w:rsidRPr="00CC2A6A">
          <w:rPr>
            <w:rStyle w:val="Hipervnculo"/>
            <w:noProof/>
          </w:rPr>
          <w:t>Figura 2.1  Índices de pérdidas eficientes aprobados para EPM en el periodo 2019-2023.</w:t>
        </w:r>
        <w:r w:rsidR="007C2F24">
          <w:rPr>
            <w:noProof/>
            <w:webHidden/>
          </w:rPr>
          <w:tab/>
        </w:r>
        <w:r w:rsidR="007C2F24">
          <w:rPr>
            <w:noProof/>
            <w:webHidden/>
          </w:rPr>
          <w:fldChar w:fldCharType="begin"/>
        </w:r>
        <w:r w:rsidR="007C2F24">
          <w:rPr>
            <w:noProof/>
            <w:webHidden/>
          </w:rPr>
          <w:instrText xml:space="preserve"> PAGEREF _Toc131031368 \h </w:instrText>
        </w:r>
        <w:r w:rsidR="007C2F24">
          <w:rPr>
            <w:noProof/>
            <w:webHidden/>
          </w:rPr>
        </w:r>
        <w:r w:rsidR="007C2F24">
          <w:rPr>
            <w:noProof/>
            <w:webHidden/>
          </w:rPr>
          <w:fldChar w:fldCharType="separate"/>
        </w:r>
        <w:r w:rsidR="00C944CB">
          <w:rPr>
            <w:noProof/>
            <w:webHidden/>
          </w:rPr>
          <w:t>21</w:t>
        </w:r>
        <w:r w:rsidR="007C2F24">
          <w:rPr>
            <w:noProof/>
            <w:webHidden/>
          </w:rPr>
          <w:fldChar w:fldCharType="end"/>
        </w:r>
      </w:hyperlink>
    </w:p>
    <w:p w14:paraId="0F821471" w14:textId="12698E64" w:rsidR="00ED4354" w:rsidRPr="002946A9" w:rsidRDefault="00757641" w:rsidP="00DF29CB">
      <w:pPr>
        <w:jc w:val="both"/>
      </w:pPr>
      <w:r w:rsidRPr="002946A9">
        <w:fldChar w:fldCharType="end"/>
      </w:r>
    </w:p>
    <w:p w14:paraId="4E61A20B" w14:textId="1579EFCB" w:rsidR="00ED4354" w:rsidRPr="002946A9" w:rsidRDefault="00ED4354" w:rsidP="00DF29CB">
      <w:pPr>
        <w:jc w:val="both"/>
      </w:pPr>
    </w:p>
    <w:p w14:paraId="3B7255D0" w14:textId="46C73F7D" w:rsidR="00727D1D" w:rsidRPr="002946A9" w:rsidRDefault="00727D1D" w:rsidP="00DF29CB">
      <w:pPr>
        <w:pStyle w:val="TtuloTDC"/>
        <w:jc w:val="both"/>
        <w:rPr>
          <w:rFonts w:ascii="Trebuchet MS" w:hAnsi="Trebuchet MS"/>
          <w:lang w:val="es-ES"/>
        </w:rPr>
      </w:pPr>
      <w:r w:rsidRPr="002946A9">
        <w:rPr>
          <w:rFonts w:ascii="Trebuchet MS" w:hAnsi="Trebuchet MS"/>
          <w:lang w:val="es-ES"/>
        </w:rPr>
        <w:t>Lista de tablas</w:t>
      </w:r>
    </w:p>
    <w:p w14:paraId="2C52CECE" w14:textId="77777777" w:rsidR="00727D1D" w:rsidRPr="002946A9" w:rsidRDefault="00727D1D" w:rsidP="00DF29CB">
      <w:pPr>
        <w:jc w:val="both"/>
        <w:rPr>
          <w:lang w:val="es-ES" w:eastAsia="es-CO"/>
        </w:rPr>
      </w:pPr>
    </w:p>
    <w:p w14:paraId="4EC4D829" w14:textId="71528398" w:rsidR="009E2A6C" w:rsidRDefault="00727D1D">
      <w:pPr>
        <w:pStyle w:val="Tabladeilustraciones"/>
        <w:tabs>
          <w:tab w:val="left" w:pos="1320"/>
          <w:tab w:val="right" w:leader="dot" w:pos="8828"/>
        </w:tabs>
        <w:rPr>
          <w:rFonts w:asciiTheme="minorHAnsi" w:eastAsiaTheme="minorEastAsia" w:hAnsiTheme="minorHAnsi"/>
          <w:noProof/>
          <w:lang w:eastAsia="es-CO"/>
        </w:rPr>
      </w:pPr>
      <w:r w:rsidRPr="002946A9">
        <w:fldChar w:fldCharType="begin"/>
      </w:r>
      <w:r w:rsidRPr="002946A9">
        <w:instrText xml:space="preserve"> TOC \h \z \c "Tabla" </w:instrText>
      </w:r>
      <w:r w:rsidRPr="002946A9">
        <w:fldChar w:fldCharType="separate"/>
      </w:r>
      <w:hyperlink w:anchor="_Toc131032769" w:history="1">
        <w:r w:rsidR="009E2A6C" w:rsidRPr="00B64D5F">
          <w:rPr>
            <w:rStyle w:val="Hipervnculo"/>
            <w:noProof/>
          </w:rPr>
          <w:t xml:space="preserve">Tabla 2.1 </w:t>
        </w:r>
        <w:r w:rsidR="009E2A6C">
          <w:rPr>
            <w:rFonts w:asciiTheme="minorHAnsi" w:eastAsiaTheme="minorEastAsia" w:hAnsiTheme="minorHAnsi"/>
            <w:noProof/>
            <w:lang w:eastAsia="es-CO"/>
          </w:rPr>
          <w:tab/>
        </w:r>
        <w:r w:rsidR="009E2A6C" w:rsidRPr="00B64D5F">
          <w:rPr>
            <w:rStyle w:val="Hipervnculo"/>
            <w:noProof/>
          </w:rPr>
          <w:t>Cantidad de usuarios en el sistema de EPM en un horizonte de 5 años.</w:t>
        </w:r>
        <w:r w:rsidR="009E2A6C">
          <w:rPr>
            <w:noProof/>
            <w:webHidden/>
          </w:rPr>
          <w:tab/>
        </w:r>
        <w:r w:rsidR="009E2A6C">
          <w:rPr>
            <w:noProof/>
            <w:webHidden/>
          </w:rPr>
          <w:fldChar w:fldCharType="begin"/>
        </w:r>
        <w:r w:rsidR="009E2A6C">
          <w:rPr>
            <w:noProof/>
            <w:webHidden/>
          </w:rPr>
          <w:instrText xml:space="preserve"> PAGEREF _Toc131032769 \h </w:instrText>
        </w:r>
        <w:r w:rsidR="009E2A6C">
          <w:rPr>
            <w:noProof/>
            <w:webHidden/>
          </w:rPr>
        </w:r>
        <w:r w:rsidR="009E2A6C">
          <w:rPr>
            <w:noProof/>
            <w:webHidden/>
          </w:rPr>
          <w:fldChar w:fldCharType="separate"/>
        </w:r>
        <w:r w:rsidR="00C944CB">
          <w:rPr>
            <w:noProof/>
            <w:webHidden/>
          </w:rPr>
          <w:t>11</w:t>
        </w:r>
        <w:r w:rsidR="009E2A6C">
          <w:rPr>
            <w:noProof/>
            <w:webHidden/>
          </w:rPr>
          <w:fldChar w:fldCharType="end"/>
        </w:r>
      </w:hyperlink>
    </w:p>
    <w:p w14:paraId="70A56A5E" w14:textId="68E99E2F" w:rsidR="009E2A6C" w:rsidRDefault="00EE443E">
      <w:pPr>
        <w:pStyle w:val="Tabladeilustraciones"/>
        <w:tabs>
          <w:tab w:val="left" w:pos="1320"/>
          <w:tab w:val="right" w:leader="dot" w:pos="8828"/>
        </w:tabs>
        <w:rPr>
          <w:rFonts w:asciiTheme="minorHAnsi" w:eastAsiaTheme="minorEastAsia" w:hAnsiTheme="minorHAnsi"/>
          <w:noProof/>
          <w:lang w:eastAsia="es-CO"/>
        </w:rPr>
      </w:pPr>
      <w:hyperlink w:anchor="_Toc131032770" w:history="1">
        <w:r w:rsidR="009E2A6C" w:rsidRPr="00B64D5F">
          <w:rPr>
            <w:rStyle w:val="Hipervnculo"/>
            <w:noProof/>
          </w:rPr>
          <w:t xml:space="preserve">Tabla 2.2 </w:t>
        </w:r>
        <w:r w:rsidR="009E2A6C">
          <w:rPr>
            <w:rFonts w:asciiTheme="minorHAnsi" w:eastAsiaTheme="minorEastAsia" w:hAnsiTheme="minorHAnsi"/>
            <w:noProof/>
            <w:lang w:eastAsia="es-CO"/>
          </w:rPr>
          <w:tab/>
        </w:r>
        <w:r w:rsidR="009E2A6C" w:rsidRPr="00B64D5F">
          <w:rPr>
            <w:rStyle w:val="Hipervnculo"/>
            <w:noProof/>
          </w:rPr>
          <w:t>Demanda de energía en el sistema de EPM en un horizonte de 5 años.</w:t>
        </w:r>
        <w:r w:rsidR="009E2A6C">
          <w:rPr>
            <w:noProof/>
            <w:webHidden/>
          </w:rPr>
          <w:tab/>
        </w:r>
        <w:r w:rsidR="009E2A6C">
          <w:rPr>
            <w:noProof/>
            <w:webHidden/>
          </w:rPr>
          <w:fldChar w:fldCharType="begin"/>
        </w:r>
        <w:r w:rsidR="009E2A6C">
          <w:rPr>
            <w:noProof/>
            <w:webHidden/>
          </w:rPr>
          <w:instrText xml:space="preserve"> PAGEREF _Toc131032770 \h </w:instrText>
        </w:r>
        <w:r w:rsidR="009E2A6C">
          <w:rPr>
            <w:noProof/>
            <w:webHidden/>
          </w:rPr>
        </w:r>
        <w:r w:rsidR="009E2A6C">
          <w:rPr>
            <w:noProof/>
            <w:webHidden/>
          </w:rPr>
          <w:fldChar w:fldCharType="separate"/>
        </w:r>
        <w:r w:rsidR="00C944CB">
          <w:rPr>
            <w:noProof/>
            <w:webHidden/>
          </w:rPr>
          <w:t>12</w:t>
        </w:r>
        <w:r w:rsidR="009E2A6C">
          <w:rPr>
            <w:noProof/>
            <w:webHidden/>
          </w:rPr>
          <w:fldChar w:fldCharType="end"/>
        </w:r>
      </w:hyperlink>
    </w:p>
    <w:p w14:paraId="14EE914F" w14:textId="254E2B64" w:rsidR="009E2A6C" w:rsidRDefault="00EE443E">
      <w:pPr>
        <w:pStyle w:val="Tabladeilustraciones"/>
        <w:tabs>
          <w:tab w:val="left" w:pos="1320"/>
          <w:tab w:val="right" w:leader="dot" w:pos="8828"/>
        </w:tabs>
        <w:rPr>
          <w:rFonts w:asciiTheme="minorHAnsi" w:eastAsiaTheme="minorEastAsia" w:hAnsiTheme="minorHAnsi"/>
          <w:noProof/>
          <w:lang w:eastAsia="es-CO"/>
        </w:rPr>
      </w:pPr>
      <w:hyperlink w:anchor="_Toc131032771" w:history="1">
        <w:r w:rsidR="009E2A6C" w:rsidRPr="00B64D5F">
          <w:rPr>
            <w:rStyle w:val="Hipervnculo"/>
            <w:noProof/>
          </w:rPr>
          <w:t xml:space="preserve">Tabla 2.3 </w:t>
        </w:r>
        <w:r w:rsidR="009E2A6C">
          <w:rPr>
            <w:rFonts w:asciiTheme="minorHAnsi" w:eastAsiaTheme="minorEastAsia" w:hAnsiTheme="minorHAnsi"/>
            <w:noProof/>
            <w:lang w:eastAsia="es-CO"/>
          </w:rPr>
          <w:tab/>
        </w:r>
        <w:r w:rsidR="009E2A6C" w:rsidRPr="00B64D5F">
          <w:rPr>
            <w:rStyle w:val="Hipervnculo"/>
            <w:noProof/>
          </w:rPr>
          <w:t>Metas de calidad del servicio de EPM en un horizonte de 5 años.</w:t>
        </w:r>
        <w:r w:rsidR="009E2A6C">
          <w:rPr>
            <w:noProof/>
            <w:webHidden/>
          </w:rPr>
          <w:tab/>
        </w:r>
        <w:r w:rsidR="009E2A6C">
          <w:rPr>
            <w:noProof/>
            <w:webHidden/>
          </w:rPr>
          <w:fldChar w:fldCharType="begin"/>
        </w:r>
        <w:r w:rsidR="009E2A6C">
          <w:rPr>
            <w:noProof/>
            <w:webHidden/>
          </w:rPr>
          <w:instrText xml:space="preserve"> PAGEREF _Toc131032771 \h </w:instrText>
        </w:r>
        <w:r w:rsidR="009E2A6C">
          <w:rPr>
            <w:noProof/>
            <w:webHidden/>
          </w:rPr>
        </w:r>
        <w:r w:rsidR="009E2A6C">
          <w:rPr>
            <w:noProof/>
            <w:webHidden/>
          </w:rPr>
          <w:fldChar w:fldCharType="separate"/>
        </w:r>
        <w:r w:rsidR="00C944CB">
          <w:rPr>
            <w:noProof/>
            <w:webHidden/>
          </w:rPr>
          <w:t>13</w:t>
        </w:r>
        <w:r w:rsidR="009E2A6C">
          <w:rPr>
            <w:noProof/>
            <w:webHidden/>
          </w:rPr>
          <w:fldChar w:fldCharType="end"/>
        </w:r>
      </w:hyperlink>
    </w:p>
    <w:p w14:paraId="1F49529A" w14:textId="27A04BFF" w:rsidR="009E2A6C" w:rsidRDefault="00EE443E">
      <w:pPr>
        <w:pStyle w:val="Tabladeilustraciones"/>
        <w:tabs>
          <w:tab w:val="left" w:pos="1320"/>
          <w:tab w:val="right" w:leader="dot" w:pos="8828"/>
        </w:tabs>
        <w:rPr>
          <w:rFonts w:asciiTheme="minorHAnsi" w:eastAsiaTheme="minorEastAsia" w:hAnsiTheme="minorHAnsi"/>
          <w:noProof/>
          <w:lang w:eastAsia="es-CO"/>
        </w:rPr>
      </w:pPr>
      <w:hyperlink w:anchor="_Toc131032772" w:history="1">
        <w:r w:rsidR="009E2A6C" w:rsidRPr="00B64D5F">
          <w:rPr>
            <w:rStyle w:val="Hipervnculo"/>
            <w:noProof/>
          </w:rPr>
          <w:t xml:space="preserve">Tabla 2.4 </w:t>
        </w:r>
        <w:r w:rsidR="009E2A6C">
          <w:rPr>
            <w:rFonts w:asciiTheme="minorHAnsi" w:eastAsiaTheme="minorEastAsia" w:hAnsiTheme="minorHAnsi"/>
            <w:noProof/>
            <w:lang w:eastAsia="es-CO"/>
          </w:rPr>
          <w:tab/>
        </w:r>
        <w:r w:rsidR="009E2A6C" w:rsidRPr="00B64D5F">
          <w:rPr>
            <w:rStyle w:val="Hipervnculo"/>
            <w:noProof/>
          </w:rPr>
          <w:t>Inversiones plan 2020 – 2025 por municipio [</w:t>
        </w:r>
        <w:r w:rsidR="009E2A6C" w:rsidRPr="00B64D5F">
          <w:rPr>
            <w:rStyle w:val="Hipervnculo"/>
            <w:i/>
            <w:iCs/>
            <w:noProof/>
          </w:rPr>
          <w:t>valores en millones de pesos a dic 2017</w:t>
        </w:r>
        <w:r w:rsidR="009E2A6C" w:rsidRPr="00B64D5F">
          <w:rPr>
            <w:rStyle w:val="Hipervnculo"/>
            <w:noProof/>
          </w:rPr>
          <w:t>].</w:t>
        </w:r>
        <w:r w:rsidR="009E2A6C">
          <w:rPr>
            <w:noProof/>
            <w:webHidden/>
          </w:rPr>
          <w:tab/>
        </w:r>
        <w:r w:rsidR="009E2A6C">
          <w:rPr>
            <w:noProof/>
            <w:webHidden/>
          </w:rPr>
          <w:fldChar w:fldCharType="begin"/>
        </w:r>
        <w:r w:rsidR="009E2A6C">
          <w:rPr>
            <w:noProof/>
            <w:webHidden/>
          </w:rPr>
          <w:instrText xml:space="preserve"> PAGEREF _Toc131032772 \h </w:instrText>
        </w:r>
        <w:r w:rsidR="009E2A6C">
          <w:rPr>
            <w:noProof/>
            <w:webHidden/>
          </w:rPr>
        </w:r>
        <w:r w:rsidR="009E2A6C">
          <w:rPr>
            <w:noProof/>
            <w:webHidden/>
          </w:rPr>
          <w:fldChar w:fldCharType="separate"/>
        </w:r>
        <w:r w:rsidR="00C944CB">
          <w:rPr>
            <w:noProof/>
            <w:webHidden/>
          </w:rPr>
          <w:t>14</w:t>
        </w:r>
        <w:r w:rsidR="009E2A6C">
          <w:rPr>
            <w:noProof/>
            <w:webHidden/>
          </w:rPr>
          <w:fldChar w:fldCharType="end"/>
        </w:r>
      </w:hyperlink>
    </w:p>
    <w:p w14:paraId="5AF29BAF" w14:textId="7A14EF30" w:rsidR="009E2A6C" w:rsidRDefault="00EE443E">
      <w:pPr>
        <w:pStyle w:val="Tabladeilustraciones"/>
        <w:tabs>
          <w:tab w:val="left" w:pos="1320"/>
          <w:tab w:val="right" w:leader="dot" w:pos="8828"/>
        </w:tabs>
        <w:rPr>
          <w:rFonts w:asciiTheme="minorHAnsi" w:eastAsiaTheme="minorEastAsia" w:hAnsiTheme="minorHAnsi"/>
          <w:noProof/>
          <w:lang w:eastAsia="es-CO"/>
        </w:rPr>
      </w:pPr>
      <w:hyperlink w:anchor="_Toc131032773" w:history="1">
        <w:r w:rsidR="009E2A6C" w:rsidRPr="00B64D5F">
          <w:rPr>
            <w:rStyle w:val="Hipervnculo"/>
            <w:noProof/>
          </w:rPr>
          <w:t xml:space="preserve">Tabla 2.5 </w:t>
        </w:r>
        <w:r w:rsidR="009E2A6C">
          <w:rPr>
            <w:rFonts w:asciiTheme="minorHAnsi" w:eastAsiaTheme="minorEastAsia" w:hAnsiTheme="minorHAnsi"/>
            <w:noProof/>
            <w:lang w:eastAsia="es-CO"/>
          </w:rPr>
          <w:tab/>
        </w:r>
        <w:r w:rsidR="009E2A6C" w:rsidRPr="00B64D5F">
          <w:rPr>
            <w:rStyle w:val="Hipervnculo"/>
            <w:noProof/>
          </w:rPr>
          <w:t>Inversiones plan 2020 – 2025 por departamentos.</w:t>
        </w:r>
        <w:r w:rsidR="009E2A6C">
          <w:rPr>
            <w:noProof/>
            <w:webHidden/>
          </w:rPr>
          <w:tab/>
        </w:r>
        <w:r w:rsidR="009E2A6C">
          <w:rPr>
            <w:noProof/>
            <w:webHidden/>
          </w:rPr>
          <w:fldChar w:fldCharType="begin"/>
        </w:r>
        <w:r w:rsidR="009E2A6C">
          <w:rPr>
            <w:noProof/>
            <w:webHidden/>
          </w:rPr>
          <w:instrText xml:space="preserve"> PAGEREF _Toc131032773 \h </w:instrText>
        </w:r>
        <w:r w:rsidR="009E2A6C">
          <w:rPr>
            <w:noProof/>
            <w:webHidden/>
          </w:rPr>
        </w:r>
        <w:r w:rsidR="009E2A6C">
          <w:rPr>
            <w:noProof/>
            <w:webHidden/>
          </w:rPr>
          <w:fldChar w:fldCharType="separate"/>
        </w:r>
        <w:r w:rsidR="00C944CB">
          <w:rPr>
            <w:noProof/>
            <w:webHidden/>
          </w:rPr>
          <w:t>15</w:t>
        </w:r>
        <w:r w:rsidR="009E2A6C">
          <w:rPr>
            <w:noProof/>
            <w:webHidden/>
          </w:rPr>
          <w:fldChar w:fldCharType="end"/>
        </w:r>
      </w:hyperlink>
    </w:p>
    <w:p w14:paraId="284B7C31" w14:textId="0F92C58A" w:rsidR="009E2A6C" w:rsidRDefault="00EE443E">
      <w:pPr>
        <w:pStyle w:val="Tabladeilustraciones"/>
        <w:tabs>
          <w:tab w:val="left" w:pos="1320"/>
          <w:tab w:val="right" w:leader="dot" w:pos="8828"/>
        </w:tabs>
        <w:rPr>
          <w:rFonts w:asciiTheme="minorHAnsi" w:eastAsiaTheme="minorEastAsia" w:hAnsiTheme="minorHAnsi"/>
          <w:noProof/>
          <w:lang w:eastAsia="es-CO"/>
        </w:rPr>
      </w:pPr>
      <w:hyperlink w:anchor="_Toc131032774" w:history="1">
        <w:r w:rsidR="009E2A6C" w:rsidRPr="00B64D5F">
          <w:rPr>
            <w:rStyle w:val="Hipervnculo"/>
            <w:noProof/>
          </w:rPr>
          <w:t xml:space="preserve">Tabla 2.6 </w:t>
        </w:r>
        <w:r w:rsidR="009E2A6C">
          <w:rPr>
            <w:rFonts w:asciiTheme="minorHAnsi" w:eastAsiaTheme="minorEastAsia" w:hAnsiTheme="minorHAnsi"/>
            <w:noProof/>
            <w:lang w:eastAsia="es-CO"/>
          </w:rPr>
          <w:tab/>
        </w:r>
        <w:r w:rsidR="009E2A6C" w:rsidRPr="00B64D5F">
          <w:rPr>
            <w:rStyle w:val="Hipervnculo"/>
            <w:noProof/>
          </w:rPr>
          <w:t>Inversiones plan 2020 – 2025 por tipo de inversión.</w:t>
        </w:r>
        <w:r w:rsidR="009E2A6C">
          <w:rPr>
            <w:noProof/>
            <w:webHidden/>
          </w:rPr>
          <w:tab/>
        </w:r>
        <w:r w:rsidR="009E2A6C">
          <w:rPr>
            <w:noProof/>
            <w:webHidden/>
          </w:rPr>
          <w:fldChar w:fldCharType="begin"/>
        </w:r>
        <w:r w:rsidR="009E2A6C">
          <w:rPr>
            <w:noProof/>
            <w:webHidden/>
          </w:rPr>
          <w:instrText xml:space="preserve"> PAGEREF _Toc131032774 \h </w:instrText>
        </w:r>
        <w:r w:rsidR="009E2A6C">
          <w:rPr>
            <w:noProof/>
            <w:webHidden/>
          </w:rPr>
        </w:r>
        <w:r w:rsidR="009E2A6C">
          <w:rPr>
            <w:noProof/>
            <w:webHidden/>
          </w:rPr>
          <w:fldChar w:fldCharType="separate"/>
        </w:r>
        <w:r w:rsidR="00C944CB">
          <w:rPr>
            <w:noProof/>
            <w:webHidden/>
          </w:rPr>
          <w:t>16</w:t>
        </w:r>
        <w:r w:rsidR="009E2A6C">
          <w:rPr>
            <w:noProof/>
            <w:webHidden/>
          </w:rPr>
          <w:fldChar w:fldCharType="end"/>
        </w:r>
      </w:hyperlink>
    </w:p>
    <w:p w14:paraId="72E821B0" w14:textId="7C74AF89" w:rsidR="009E2A6C" w:rsidRDefault="00EE443E">
      <w:pPr>
        <w:pStyle w:val="Tabladeilustraciones"/>
        <w:tabs>
          <w:tab w:val="left" w:pos="1320"/>
          <w:tab w:val="right" w:leader="dot" w:pos="8828"/>
        </w:tabs>
        <w:rPr>
          <w:rFonts w:asciiTheme="minorHAnsi" w:eastAsiaTheme="minorEastAsia" w:hAnsiTheme="minorHAnsi"/>
          <w:noProof/>
          <w:lang w:eastAsia="es-CO"/>
        </w:rPr>
      </w:pPr>
      <w:hyperlink w:anchor="_Toc131032775" w:history="1">
        <w:r w:rsidR="009E2A6C" w:rsidRPr="00B64D5F">
          <w:rPr>
            <w:rStyle w:val="Hipervnculo"/>
            <w:noProof/>
          </w:rPr>
          <w:t xml:space="preserve">Tabla 2.7 </w:t>
        </w:r>
        <w:r w:rsidR="009E2A6C">
          <w:rPr>
            <w:rFonts w:asciiTheme="minorHAnsi" w:eastAsiaTheme="minorEastAsia" w:hAnsiTheme="minorHAnsi"/>
            <w:noProof/>
            <w:lang w:eastAsia="es-CO"/>
          </w:rPr>
          <w:tab/>
        </w:r>
        <w:r w:rsidR="009E2A6C" w:rsidRPr="00B64D5F">
          <w:rPr>
            <w:rStyle w:val="Hipervnculo"/>
            <w:noProof/>
          </w:rPr>
          <w:t>Inversiones plan 2020 – 2025 por nivel de tensión.</w:t>
        </w:r>
        <w:r w:rsidR="009E2A6C">
          <w:rPr>
            <w:noProof/>
            <w:webHidden/>
          </w:rPr>
          <w:tab/>
        </w:r>
        <w:r w:rsidR="009E2A6C">
          <w:rPr>
            <w:noProof/>
            <w:webHidden/>
          </w:rPr>
          <w:fldChar w:fldCharType="begin"/>
        </w:r>
        <w:r w:rsidR="009E2A6C">
          <w:rPr>
            <w:noProof/>
            <w:webHidden/>
          </w:rPr>
          <w:instrText xml:space="preserve"> PAGEREF _Toc131032775 \h </w:instrText>
        </w:r>
        <w:r w:rsidR="009E2A6C">
          <w:rPr>
            <w:noProof/>
            <w:webHidden/>
          </w:rPr>
        </w:r>
        <w:r w:rsidR="009E2A6C">
          <w:rPr>
            <w:noProof/>
            <w:webHidden/>
          </w:rPr>
          <w:fldChar w:fldCharType="separate"/>
        </w:r>
        <w:r w:rsidR="00C944CB">
          <w:rPr>
            <w:noProof/>
            <w:webHidden/>
          </w:rPr>
          <w:t>16</w:t>
        </w:r>
        <w:r w:rsidR="009E2A6C">
          <w:rPr>
            <w:noProof/>
            <w:webHidden/>
          </w:rPr>
          <w:fldChar w:fldCharType="end"/>
        </w:r>
      </w:hyperlink>
    </w:p>
    <w:p w14:paraId="4E615E7D" w14:textId="6042DCB8" w:rsidR="009E2A6C" w:rsidRDefault="00EE443E">
      <w:pPr>
        <w:pStyle w:val="Tabladeilustraciones"/>
        <w:tabs>
          <w:tab w:val="right" w:leader="dot" w:pos="8828"/>
        </w:tabs>
        <w:rPr>
          <w:rFonts w:asciiTheme="minorHAnsi" w:eastAsiaTheme="minorEastAsia" w:hAnsiTheme="minorHAnsi"/>
          <w:noProof/>
          <w:lang w:eastAsia="es-CO"/>
        </w:rPr>
      </w:pPr>
      <w:hyperlink w:anchor="_Toc131032776" w:history="1">
        <w:r w:rsidR="009E2A6C" w:rsidRPr="00B64D5F">
          <w:rPr>
            <w:rStyle w:val="Hipervnculo"/>
            <w:noProof/>
          </w:rPr>
          <w:t>Tabla 2.8  Inversiones plan 2020 – 2025 por categoría de activos.</w:t>
        </w:r>
        <w:r w:rsidR="009E2A6C">
          <w:rPr>
            <w:noProof/>
            <w:webHidden/>
          </w:rPr>
          <w:tab/>
        </w:r>
        <w:r w:rsidR="009E2A6C">
          <w:rPr>
            <w:noProof/>
            <w:webHidden/>
          </w:rPr>
          <w:fldChar w:fldCharType="begin"/>
        </w:r>
        <w:r w:rsidR="009E2A6C">
          <w:rPr>
            <w:noProof/>
            <w:webHidden/>
          </w:rPr>
          <w:instrText xml:space="preserve"> PAGEREF _Toc131032776 \h </w:instrText>
        </w:r>
        <w:r w:rsidR="009E2A6C">
          <w:rPr>
            <w:noProof/>
            <w:webHidden/>
          </w:rPr>
        </w:r>
        <w:r w:rsidR="009E2A6C">
          <w:rPr>
            <w:noProof/>
            <w:webHidden/>
          </w:rPr>
          <w:fldChar w:fldCharType="separate"/>
        </w:r>
        <w:r w:rsidR="00C944CB">
          <w:rPr>
            <w:noProof/>
            <w:webHidden/>
          </w:rPr>
          <w:t>17</w:t>
        </w:r>
        <w:r w:rsidR="009E2A6C">
          <w:rPr>
            <w:noProof/>
            <w:webHidden/>
          </w:rPr>
          <w:fldChar w:fldCharType="end"/>
        </w:r>
      </w:hyperlink>
    </w:p>
    <w:p w14:paraId="0872BD80" w14:textId="10EAFF2B" w:rsidR="009E2A6C" w:rsidRDefault="00EE443E">
      <w:pPr>
        <w:pStyle w:val="Tabladeilustraciones"/>
        <w:tabs>
          <w:tab w:val="right" w:leader="dot" w:pos="8828"/>
        </w:tabs>
        <w:rPr>
          <w:rFonts w:asciiTheme="minorHAnsi" w:eastAsiaTheme="minorEastAsia" w:hAnsiTheme="minorHAnsi"/>
          <w:noProof/>
          <w:lang w:eastAsia="es-CO"/>
        </w:rPr>
      </w:pPr>
      <w:hyperlink w:anchor="_Toc131032777" w:history="1">
        <w:r w:rsidR="009E2A6C" w:rsidRPr="00B64D5F">
          <w:rPr>
            <w:rStyle w:val="Hipervnculo"/>
            <w:noProof/>
          </w:rPr>
          <w:t>Tabla 2.9  Inversiones plan 2020 – 2025 según su clasificación.</w:t>
        </w:r>
        <w:r w:rsidR="009E2A6C">
          <w:rPr>
            <w:noProof/>
            <w:webHidden/>
          </w:rPr>
          <w:tab/>
        </w:r>
        <w:r w:rsidR="009E2A6C">
          <w:rPr>
            <w:noProof/>
            <w:webHidden/>
          </w:rPr>
          <w:fldChar w:fldCharType="begin"/>
        </w:r>
        <w:r w:rsidR="009E2A6C">
          <w:rPr>
            <w:noProof/>
            <w:webHidden/>
          </w:rPr>
          <w:instrText xml:space="preserve"> PAGEREF _Toc131032777 \h </w:instrText>
        </w:r>
        <w:r w:rsidR="009E2A6C">
          <w:rPr>
            <w:noProof/>
            <w:webHidden/>
          </w:rPr>
        </w:r>
        <w:r w:rsidR="009E2A6C">
          <w:rPr>
            <w:noProof/>
            <w:webHidden/>
          </w:rPr>
          <w:fldChar w:fldCharType="separate"/>
        </w:r>
        <w:r w:rsidR="00C944CB">
          <w:rPr>
            <w:noProof/>
            <w:webHidden/>
          </w:rPr>
          <w:t>17</w:t>
        </w:r>
        <w:r w:rsidR="009E2A6C">
          <w:rPr>
            <w:noProof/>
            <w:webHidden/>
          </w:rPr>
          <w:fldChar w:fldCharType="end"/>
        </w:r>
      </w:hyperlink>
    </w:p>
    <w:p w14:paraId="34DC940B" w14:textId="506225F5" w:rsidR="009E2A6C" w:rsidRDefault="00EE443E">
      <w:pPr>
        <w:pStyle w:val="Tabladeilustraciones"/>
        <w:tabs>
          <w:tab w:val="right" w:leader="dot" w:pos="8828"/>
        </w:tabs>
        <w:rPr>
          <w:rFonts w:asciiTheme="minorHAnsi" w:eastAsiaTheme="minorEastAsia" w:hAnsiTheme="minorHAnsi"/>
          <w:noProof/>
          <w:lang w:eastAsia="es-CO"/>
        </w:rPr>
      </w:pPr>
      <w:hyperlink w:anchor="_Toc131032778" w:history="1">
        <w:r w:rsidR="009E2A6C" w:rsidRPr="00B64D5F">
          <w:rPr>
            <w:rStyle w:val="Hipervnculo"/>
            <w:noProof/>
          </w:rPr>
          <w:t>Tabla 2.10  Inversiones en los proyectos más relevantes del plan 2020 – 2025.</w:t>
        </w:r>
        <w:r w:rsidR="009E2A6C">
          <w:rPr>
            <w:noProof/>
            <w:webHidden/>
          </w:rPr>
          <w:tab/>
        </w:r>
        <w:r w:rsidR="009E2A6C">
          <w:rPr>
            <w:noProof/>
            <w:webHidden/>
          </w:rPr>
          <w:fldChar w:fldCharType="begin"/>
        </w:r>
        <w:r w:rsidR="009E2A6C">
          <w:rPr>
            <w:noProof/>
            <w:webHidden/>
          </w:rPr>
          <w:instrText xml:space="preserve"> PAGEREF _Toc131032778 \h </w:instrText>
        </w:r>
        <w:r w:rsidR="009E2A6C">
          <w:rPr>
            <w:noProof/>
            <w:webHidden/>
          </w:rPr>
        </w:r>
        <w:r w:rsidR="009E2A6C">
          <w:rPr>
            <w:noProof/>
            <w:webHidden/>
          </w:rPr>
          <w:fldChar w:fldCharType="separate"/>
        </w:r>
        <w:r w:rsidR="00C944CB">
          <w:rPr>
            <w:noProof/>
            <w:webHidden/>
          </w:rPr>
          <w:t>18</w:t>
        </w:r>
        <w:r w:rsidR="009E2A6C">
          <w:rPr>
            <w:noProof/>
            <w:webHidden/>
          </w:rPr>
          <w:fldChar w:fldCharType="end"/>
        </w:r>
      </w:hyperlink>
    </w:p>
    <w:p w14:paraId="0D283AD9" w14:textId="0584066B" w:rsidR="009E2A6C" w:rsidRDefault="00EE443E">
      <w:pPr>
        <w:pStyle w:val="Tabladeilustraciones"/>
        <w:tabs>
          <w:tab w:val="right" w:leader="dot" w:pos="8828"/>
        </w:tabs>
        <w:rPr>
          <w:rFonts w:asciiTheme="minorHAnsi" w:eastAsiaTheme="minorEastAsia" w:hAnsiTheme="minorHAnsi"/>
          <w:noProof/>
          <w:lang w:eastAsia="es-CO"/>
        </w:rPr>
      </w:pPr>
      <w:hyperlink w:anchor="_Toc131032779" w:history="1">
        <w:r w:rsidR="009E2A6C" w:rsidRPr="00B64D5F">
          <w:rPr>
            <w:rStyle w:val="Hipervnculo"/>
            <w:noProof/>
          </w:rPr>
          <w:t>Tabla 2.11  Costo de reposición de referencia aprobado para EPM.</w:t>
        </w:r>
        <w:r w:rsidR="009E2A6C">
          <w:rPr>
            <w:noProof/>
            <w:webHidden/>
          </w:rPr>
          <w:tab/>
        </w:r>
        <w:r w:rsidR="009E2A6C">
          <w:rPr>
            <w:noProof/>
            <w:webHidden/>
          </w:rPr>
          <w:fldChar w:fldCharType="begin"/>
        </w:r>
        <w:r w:rsidR="009E2A6C">
          <w:rPr>
            <w:noProof/>
            <w:webHidden/>
          </w:rPr>
          <w:instrText xml:space="preserve"> PAGEREF _Toc131032779 \h </w:instrText>
        </w:r>
        <w:r w:rsidR="009E2A6C">
          <w:rPr>
            <w:noProof/>
            <w:webHidden/>
          </w:rPr>
        </w:r>
        <w:r w:rsidR="009E2A6C">
          <w:rPr>
            <w:noProof/>
            <w:webHidden/>
          </w:rPr>
          <w:fldChar w:fldCharType="separate"/>
        </w:r>
        <w:r w:rsidR="00C944CB">
          <w:rPr>
            <w:noProof/>
            <w:webHidden/>
          </w:rPr>
          <w:t>19</w:t>
        </w:r>
        <w:r w:rsidR="009E2A6C">
          <w:rPr>
            <w:noProof/>
            <w:webHidden/>
          </w:rPr>
          <w:fldChar w:fldCharType="end"/>
        </w:r>
      </w:hyperlink>
    </w:p>
    <w:p w14:paraId="5B6649EF" w14:textId="01D94F5E" w:rsidR="009E2A6C" w:rsidRDefault="00EE443E">
      <w:pPr>
        <w:pStyle w:val="Tabladeilustraciones"/>
        <w:tabs>
          <w:tab w:val="right" w:leader="dot" w:pos="8828"/>
        </w:tabs>
        <w:rPr>
          <w:rFonts w:asciiTheme="minorHAnsi" w:eastAsiaTheme="minorEastAsia" w:hAnsiTheme="minorHAnsi"/>
          <w:noProof/>
          <w:lang w:eastAsia="es-CO"/>
        </w:rPr>
      </w:pPr>
      <w:hyperlink w:anchor="_Toc131032780" w:history="1">
        <w:r w:rsidR="009E2A6C" w:rsidRPr="00B64D5F">
          <w:rPr>
            <w:rStyle w:val="Hipervnculo"/>
            <w:noProof/>
          </w:rPr>
          <w:t>Tabla 2.12  Metas del indicador de duración de eventos, [</w:t>
        </w:r>
        <w:r w:rsidR="009E2A6C" w:rsidRPr="00B64D5F">
          <w:rPr>
            <w:rStyle w:val="Hipervnculo"/>
            <w:i/>
            <w:iCs/>
            <w:noProof/>
          </w:rPr>
          <w:t>valores en horas al año]</w:t>
        </w:r>
        <w:r w:rsidR="009E2A6C" w:rsidRPr="00B64D5F">
          <w:rPr>
            <w:rStyle w:val="Hipervnculo"/>
            <w:noProof/>
          </w:rPr>
          <w:t>.</w:t>
        </w:r>
        <w:r w:rsidR="009E2A6C">
          <w:rPr>
            <w:noProof/>
            <w:webHidden/>
          </w:rPr>
          <w:tab/>
        </w:r>
        <w:r w:rsidR="009E2A6C">
          <w:rPr>
            <w:noProof/>
            <w:webHidden/>
          </w:rPr>
          <w:fldChar w:fldCharType="begin"/>
        </w:r>
        <w:r w:rsidR="009E2A6C">
          <w:rPr>
            <w:noProof/>
            <w:webHidden/>
          </w:rPr>
          <w:instrText xml:space="preserve"> PAGEREF _Toc131032780 \h </w:instrText>
        </w:r>
        <w:r w:rsidR="009E2A6C">
          <w:rPr>
            <w:noProof/>
            <w:webHidden/>
          </w:rPr>
        </w:r>
        <w:r w:rsidR="009E2A6C">
          <w:rPr>
            <w:noProof/>
            <w:webHidden/>
          </w:rPr>
          <w:fldChar w:fldCharType="separate"/>
        </w:r>
        <w:r w:rsidR="00C944CB">
          <w:rPr>
            <w:noProof/>
            <w:webHidden/>
          </w:rPr>
          <w:t>20</w:t>
        </w:r>
        <w:r w:rsidR="009E2A6C">
          <w:rPr>
            <w:noProof/>
            <w:webHidden/>
          </w:rPr>
          <w:fldChar w:fldCharType="end"/>
        </w:r>
      </w:hyperlink>
    </w:p>
    <w:p w14:paraId="7E2F2B04" w14:textId="40D8E11C" w:rsidR="009E2A6C" w:rsidRDefault="00EE443E">
      <w:pPr>
        <w:pStyle w:val="Tabladeilustraciones"/>
        <w:tabs>
          <w:tab w:val="right" w:leader="dot" w:pos="8828"/>
        </w:tabs>
        <w:rPr>
          <w:rFonts w:asciiTheme="minorHAnsi" w:eastAsiaTheme="minorEastAsia" w:hAnsiTheme="minorHAnsi"/>
          <w:noProof/>
          <w:lang w:eastAsia="es-CO"/>
        </w:rPr>
      </w:pPr>
      <w:hyperlink w:anchor="_Toc131032781" w:history="1">
        <w:r w:rsidR="009E2A6C" w:rsidRPr="00B64D5F">
          <w:rPr>
            <w:rStyle w:val="Hipervnculo"/>
            <w:noProof/>
          </w:rPr>
          <w:t>Tabla 2.13  Metas del indicador de frecuencia de eventos, [</w:t>
        </w:r>
        <w:r w:rsidR="009E2A6C" w:rsidRPr="00B64D5F">
          <w:rPr>
            <w:rStyle w:val="Hipervnculo"/>
            <w:i/>
            <w:iCs/>
            <w:noProof/>
          </w:rPr>
          <w:t>valores en cantidad de eventos al año].</w:t>
        </w:r>
        <w:r w:rsidR="009E2A6C">
          <w:rPr>
            <w:noProof/>
            <w:webHidden/>
          </w:rPr>
          <w:tab/>
        </w:r>
        <w:r w:rsidR="009E2A6C">
          <w:rPr>
            <w:noProof/>
            <w:webHidden/>
          </w:rPr>
          <w:fldChar w:fldCharType="begin"/>
        </w:r>
        <w:r w:rsidR="009E2A6C">
          <w:rPr>
            <w:noProof/>
            <w:webHidden/>
          </w:rPr>
          <w:instrText xml:space="preserve"> PAGEREF _Toc131032781 \h </w:instrText>
        </w:r>
        <w:r w:rsidR="009E2A6C">
          <w:rPr>
            <w:noProof/>
            <w:webHidden/>
          </w:rPr>
        </w:r>
        <w:r w:rsidR="009E2A6C">
          <w:rPr>
            <w:noProof/>
            <w:webHidden/>
          </w:rPr>
          <w:fldChar w:fldCharType="separate"/>
        </w:r>
        <w:r w:rsidR="00C944CB">
          <w:rPr>
            <w:noProof/>
            <w:webHidden/>
          </w:rPr>
          <w:t>20</w:t>
        </w:r>
        <w:r w:rsidR="009E2A6C">
          <w:rPr>
            <w:noProof/>
            <w:webHidden/>
          </w:rPr>
          <w:fldChar w:fldCharType="end"/>
        </w:r>
      </w:hyperlink>
    </w:p>
    <w:p w14:paraId="72922672" w14:textId="61463869" w:rsidR="009E2A6C" w:rsidRDefault="00EE443E">
      <w:pPr>
        <w:pStyle w:val="Tabladeilustraciones"/>
        <w:tabs>
          <w:tab w:val="right" w:leader="dot" w:pos="8828"/>
        </w:tabs>
        <w:rPr>
          <w:rFonts w:asciiTheme="minorHAnsi" w:eastAsiaTheme="minorEastAsia" w:hAnsiTheme="minorHAnsi"/>
          <w:noProof/>
          <w:lang w:eastAsia="es-CO"/>
        </w:rPr>
      </w:pPr>
      <w:hyperlink w:anchor="_Toc131032782" w:history="1">
        <w:r w:rsidR="009E2A6C" w:rsidRPr="00B64D5F">
          <w:rPr>
            <w:rStyle w:val="Hipervnculo"/>
            <w:noProof/>
          </w:rPr>
          <w:t>Tabla 2.14  Indicador de calidad mínima garantizada individual de duración de eventos, DIUG [</w:t>
        </w:r>
        <w:r w:rsidR="009E2A6C" w:rsidRPr="00B64D5F">
          <w:rPr>
            <w:rStyle w:val="Hipervnculo"/>
            <w:i/>
            <w:iCs/>
            <w:noProof/>
          </w:rPr>
          <w:t>máximo horas-año</w:t>
        </w:r>
        <w:r w:rsidR="009E2A6C" w:rsidRPr="00B64D5F">
          <w:rPr>
            <w:rStyle w:val="Hipervnculo"/>
            <w:noProof/>
          </w:rPr>
          <w:t>]. Referencia año 2016.</w:t>
        </w:r>
        <w:r w:rsidR="009E2A6C">
          <w:rPr>
            <w:noProof/>
            <w:webHidden/>
          </w:rPr>
          <w:tab/>
        </w:r>
        <w:r w:rsidR="009E2A6C">
          <w:rPr>
            <w:noProof/>
            <w:webHidden/>
          </w:rPr>
          <w:fldChar w:fldCharType="begin"/>
        </w:r>
        <w:r w:rsidR="009E2A6C">
          <w:rPr>
            <w:noProof/>
            <w:webHidden/>
          </w:rPr>
          <w:instrText xml:space="preserve"> PAGEREF _Toc131032782 \h </w:instrText>
        </w:r>
        <w:r w:rsidR="009E2A6C">
          <w:rPr>
            <w:noProof/>
            <w:webHidden/>
          </w:rPr>
        </w:r>
        <w:r w:rsidR="009E2A6C">
          <w:rPr>
            <w:noProof/>
            <w:webHidden/>
          </w:rPr>
          <w:fldChar w:fldCharType="separate"/>
        </w:r>
        <w:r w:rsidR="00C944CB">
          <w:rPr>
            <w:noProof/>
            <w:webHidden/>
          </w:rPr>
          <w:t>21</w:t>
        </w:r>
        <w:r w:rsidR="009E2A6C">
          <w:rPr>
            <w:noProof/>
            <w:webHidden/>
          </w:rPr>
          <w:fldChar w:fldCharType="end"/>
        </w:r>
      </w:hyperlink>
    </w:p>
    <w:p w14:paraId="6BD9D620" w14:textId="33604062" w:rsidR="009E2A6C" w:rsidRDefault="00EE443E">
      <w:pPr>
        <w:pStyle w:val="Tabladeilustraciones"/>
        <w:tabs>
          <w:tab w:val="right" w:leader="dot" w:pos="8828"/>
        </w:tabs>
        <w:rPr>
          <w:rFonts w:asciiTheme="minorHAnsi" w:eastAsiaTheme="minorEastAsia" w:hAnsiTheme="minorHAnsi"/>
          <w:noProof/>
          <w:lang w:eastAsia="es-CO"/>
        </w:rPr>
      </w:pPr>
      <w:hyperlink w:anchor="_Toc131032783" w:history="1">
        <w:r w:rsidR="009E2A6C" w:rsidRPr="00B64D5F">
          <w:rPr>
            <w:rStyle w:val="Hipervnculo"/>
            <w:noProof/>
          </w:rPr>
          <w:t>Tabla 2.15  Indicador de calidad mínima garantizada individual de frecuencia de eventos, FIUG [</w:t>
        </w:r>
        <w:r w:rsidR="009E2A6C" w:rsidRPr="00B64D5F">
          <w:rPr>
            <w:rStyle w:val="Hipervnculo"/>
            <w:i/>
            <w:iCs/>
            <w:noProof/>
          </w:rPr>
          <w:t>máximo veces-año</w:t>
        </w:r>
        <w:r w:rsidR="009E2A6C" w:rsidRPr="00B64D5F">
          <w:rPr>
            <w:rStyle w:val="Hipervnculo"/>
            <w:noProof/>
          </w:rPr>
          <w:t>]. Referencia año 2016.</w:t>
        </w:r>
        <w:r w:rsidR="009E2A6C">
          <w:rPr>
            <w:noProof/>
            <w:webHidden/>
          </w:rPr>
          <w:tab/>
        </w:r>
        <w:r w:rsidR="009E2A6C">
          <w:rPr>
            <w:noProof/>
            <w:webHidden/>
          </w:rPr>
          <w:fldChar w:fldCharType="begin"/>
        </w:r>
        <w:r w:rsidR="009E2A6C">
          <w:rPr>
            <w:noProof/>
            <w:webHidden/>
          </w:rPr>
          <w:instrText xml:space="preserve"> PAGEREF _Toc131032783 \h </w:instrText>
        </w:r>
        <w:r w:rsidR="009E2A6C">
          <w:rPr>
            <w:noProof/>
            <w:webHidden/>
          </w:rPr>
        </w:r>
        <w:r w:rsidR="009E2A6C">
          <w:rPr>
            <w:noProof/>
            <w:webHidden/>
          </w:rPr>
          <w:fldChar w:fldCharType="separate"/>
        </w:r>
        <w:r w:rsidR="00C944CB">
          <w:rPr>
            <w:noProof/>
            <w:webHidden/>
          </w:rPr>
          <w:t>21</w:t>
        </w:r>
        <w:r w:rsidR="009E2A6C">
          <w:rPr>
            <w:noProof/>
            <w:webHidden/>
          </w:rPr>
          <w:fldChar w:fldCharType="end"/>
        </w:r>
      </w:hyperlink>
    </w:p>
    <w:p w14:paraId="1EF88D6D" w14:textId="2D5E4738" w:rsidR="009E2A6C" w:rsidRDefault="00EE443E">
      <w:pPr>
        <w:pStyle w:val="Tabladeilustraciones"/>
        <w:tabs>
          <w:tab w:val="right" w:leader="dot" w:pos="8828"/>
        </w:tabs>
        <w:rPr>
          <w:rFonts w:asciiTheme="minorHAnsi" w:eastAsiaTheme="minorEastAsia" w:hAnsiTheme="minorHAnsi"/>
          <w:noProof/>
          <w:lang w:eastAsia="es-CO"/>
        </w:rPr>
      </w:pPr>
      <w:hyperlink w:anchor="_Toc131032784" w:history="1">
        <w:r w:rsidR="009E2A6C" w:rsidRPr="00B64D5F">
          <w:rPr>
            <w:rStyle w:val="Hipervnculo"/>
            <w:noProof/>
          </w:rPr>
          <w:t xml:space="preserve">Tabla 2.16  Inversiones proyectadas para el periodo 2020 – 2025 </w:t>
        </w:r>
        <w:r w:rsidR="009E2A6C" w:rsidRPr="00B64D5F">
          <w:rPr>
            <w:rStyle w:val="Hipervnculo"/>
            <w:i/>
            <w:iCs/>
            <w:noProof/>
          </w:rPr>
          <w:t>[$ - dic 2017].</w:t>
        </w:r>
        <w:r w:rsidR="009E2A6C">
          <w:rPr>
            <w:noProof/>
            <w:webHidden/>
          </w:rPr>
          <w:tab/>
        </w:r>
        <w:r w:rsidR="009E2A6C">
          <w:rPr>
            <w:noProof/>
            <w:webHidden/>
          </w:rPr>
          <w:fldChar w:fldCharType="begin"/>
        </w:r>
        <w:r w:rsidR="009E2A6C">
          <w:rPr>
            <w:noProof/>
            <w:webHidden/>
          </w:rPr>
          <w:instrText xml:space="preserve"> PAGEREF _Toc131032784 \h </w:instrText>
        </w:r>
        <w:r w:rsidR="009E2A6C">
          <w:rPr>
            <w:noProof/>
            <w:webHidden/>
          </w:rPr>
        </w:r>
        <w:r w:rsidR="009E2A6C">
          <w:rPr>
            <w:noProof/>
            <w:webHidden/>
          </w:rPr>
          <w:fldChar w:fldCharType="separate"/>
        </w:r>
        <w:r w:rsidR="00C944CB">
          <w:rPr>
            <w:noProof/>
            <w:webHidden/>
          </w:rPr>
          <w:t>22</w:t>
        </w:r>
        <w:r w:rsidR="009E2A6C">
          <w:rPr>
            <w:noProof/>
            <w:webHidden/>
          </w:rPr>
          <w:fldChar w:fldCharType="end"/>
        </w:r>
      </w:hyperlink>
    </w:p>
    <w:p w14:paraId="4056558E" w14:textId="4A594E4A" w:rsidR="009E2A6C" w:rsidRDefault="00EE443E">
      <w:pPr>
        <w:pStyle w:val="Tabladeilustraciones"/>
        <w:tabs>
          <w:tab w:val="right" w:leader="dot" w:pos="8828"/>
        </w:tabs>
        <w:rPr>
          <w:rFonts w:asciiTheme="minorHAnsi" w:eastAsiaTheme="minorEastAsia" w:hAnsiTheme="minorHAnsi"/>
          <w:noProof/>
          <w:lang w:eastAsia="es-CO"/>
        </w:rPr>
      </w:pPr>
      <w:hyperlink w:anchor="_Toc131032785" w:history="1">
        <w:r w:rsidR="009E2A6C" w:rsidRPr="00B64D5F">
          <w:rPr>
            <w:rStyle w:val="Hipervnculo"/>
            <w:noProof/>
          </w:rPr>
          <w:t>Tabla 2.17  Comparación de inversiones anuales aprobadas en el plan 2020 – 2025 con respecto al 8% de la variable CRR.</w:t>
        </w:r>
        <w:r w:rsidR="009E2A6C">
          <w:rPr>
            <w:noProof/>
            <w:webHidden/>
          </w:rPr>
          <w:tab/>
        </w:r>
        <w:r w:rsidR="009E2A6C">
          <w:rPr>
            <w:noProof/>
            <w:webHidden/>
          </w:rPr>
          <w:fldChar w:fldCharType="begin"/>
        </w:r>
        <w:r w:rsidR="009E2A6C">
          <w:rPr>
            <w:noProof/>
            <w:webHidden/>
          </w:rPr>
          <w:instrText xml:space="preserve"> PAGEREF _Toc131032785 \h </w:instrText>
        </w:r>
        <w:r w:rsidR="009E2A6C">
          <w:rPr>
            <w:noProof/>
            <w:webHidden/>
          </w:rPr>
        </w:r>
        <w:r w:rsidR="009E2A6C">
          <w:rPr>
            <w:noProof/>
            <w:webHidden/>
          </w:rPr>
          <w:fldChar w:fldCharType="separate"/>
        </w:r>
        <w:r w:rsidR="00C944CB">
          <w:rPr>
            <w:noProof/>
            <w:webHidden/>
          </w:rPr>
          <w:t>23</w:t>
        </w:r>
        <w:r w:rsidR="009E2A6C">
          <w:rPr>
            <w:noProof/>
            <w:webHidden/>
          </w:rPr>
          <w:fldChar w:fldCharType="end"/>
        </w:r>
      </w:hyperlink>
    </w:p>
    <w:p w14:paraId="4B1D02F3" w14:textId="0387BDDB" w:rsidR="009E2A6C" w:rsidRDefault="00EE443E">
      <w:pPr>
        <w:pStyle w:val="Tabladeilustraciones"/>
        <w:tabs>
          <w:tab w:val="right" w:leader="dot" w:pos="8828"/>
        </w:tabs>
        <w:rPr>
          <w:rFonts w:asciiTheme="minorHAnsi" w:eastAsiaTheme="minorEastAsia" w:hAnsiTheme="minorHAnsi"/>
          <w:noProof/>
          <w:lang w:eastAsia="es-CO"/>
        </w:rPr>
      </w:pPr>
      <w:hyperlink w:anchor="_Toc131032786" w:history="1">
        <w:r w:rsidR="009E2A6C" w:rsidRPr="00B64D5F">
          <w:rPr>
            <w:rStyle w:val="Hipervnculo"/>
            <w:noProof/>
          </w:rPr>
          <w:t>Tabla 2.18  Proyectos de inversión aprobados para el año 2022</w:t>
        </w:r>
        <w:r w:rsidR="009E2A6C" w:rsidRPr="00B64D5F">
          <w:rPr>
            <w:rStyle w:val="Hipervnculo"/>
            <w:i/>
            <w:iCs/>
            <w:noProof/>
          </w:rPr>
          <w:t>.</w:t>
        </w:r>
        <w:r w:rsidR="009E2A6C">
          <w:rPr>
            <w:noProof/>
            <w:webHidden/>
          </w:rPr>
          <w:tab/>
        </w:r>
        <w:r w:rsidR="009E2A6C">
          <w:rPr>
            <w:noProof/>
            <w:webHidden/>
          </w:rPr>
          <w:fldChar w:fldCharType="begin"/>
        </w:r>
        <w:r w:rsidR="009E2A6C">
          <w:rPr>
            <w:noProof/>
            <w:webHidden/>
          </w:rPr>
          <w:instrText xml:space="preserve"> PAGEREF _Toc131032786 \h </w:instrText>
        </w:r>
        <w:r w:rsidR="009E2A6C">
          <w:rPr>
            <w:noProof/>
            <w:webHidden/>
          </w:rPr>
        </w:r>
        <w:r w:rsidR="009E2A6C">
          <w:rPr>
            <w:noProof/>
            <w:webHidden/>
          </w:rPr>
          <w:fldChar w:fldCharType="separate"/>
        </w:r>
        <w:r w:rsidR="00C944CB">
          <w:rPr>
            <w:noProof/>
            <w:webHidden/>
          </w:rPr>
          <w:t>23</w:t>
        </w:r>
        <w:r w:rsidR="009E2A6C">
          <w:rPr>
            <w:noProof/>
            <w:webHidden/>
          </w:rPr>
          <w:fldChar w:fldCharType="end"/>
        </w:r>
      </w:hyperlink>
    </w:p>
    <w:p w14:paraId="3307005E" w14:textId="38C89F98" w:rsidR="009E2A6C" w:rsidRDefault="00EE443E">
      <w:pPr>
        <w:pStyle w:val="Tabladeilustraciones"/>
        <w:tabs>
          <w:tab w:val="right" w:leader="dot" w:pos="8828"/>
        </w:tabs>
        <w:rPr>
          <w:rFonts w:asciiTheme="minorHAnsi" w:eastAsiaTheme="minorEastAsia" w:hAnsiTheme="minorHAnsi"/>
          <w:noProof/>
          <w:lang w:eastAsia="es-CO"/>
        </w:rPr>
      </w:pPr>
      <w:hyperlink w:anchor="_Toc131032787" w:history="1">
        <w:r w:rsidR="009E2A6C" w:rsidRPr="00B64D5F">
          <w:rPr>
            <w:rStyle w:val="Hipervnculo"/>
            <w:noProof/>
          </w:rPr>
          <w:t>Tabla 2.19  Inversiones aprobadas para los proyectos del plan de inversión año 2022.</w:t>
        </w:r>
        <w:r w:rsidR="009E2A6C">
          <w:rPr>
            <w:noProof/>
            <w:webHidden/>
          </w:rPr>
          <w:tab/>
        </w:r>
        <w:r w:rsidR="009E2A6C">
          <w:rPr>
            <w:noProof/>
            <w:webHidden/>
          </w:rPr>
          <w:fldChar w:fldCharType="begin"/>
        </w:r>
        <w:r w:rsidR="009E2A6C">
          <w:rPr>
            <w:noProof/>
            <w:webHidden/>
          </w:rPr>
          <w:instrText xml:space="preserve"> PAGEREF _Toc131032787 \h </w:instrText>
        </w:r>
        <w:r w:rsidR="009E2A6C">
          <w:rPr>
            <w:noProof/>
            <w:webHidden/>
          </w:rPr>
        </w:r>
        <w:r w:rsidR="009E2A6C">
          <w:rPr>
            <w:noProof/>
            <w:webHidden/>
          </w:rPr>
          <w:fldChar w:fldCharType="separate"/>
        </w:r>
        <w:r w:rsidR="00C944CB">
          <w:rPr>
            <w:noProof/>
            <w:webHidden/>
          </w:rPr>
          <w:t>24</w:t>
        </w:r>
        <w:r w:rsidR="009E2A6C">
          <w:rPr>
            <w:noProof/>
            <w:webHidden/>
          </w:rPr>
          <w:fldChar w:fldCharType="end"/>
        </w:r>
      </w:hyperlink>
    </w:p>
    <w:p w14:paraId="2EA5D2B1" w14:textId="11A0E9B9" w:rsidR="009E2A6C" w:rsidRDefault="00EE443E">
      <w:pPr>
        <w:pStyle w:val="Tabladeilustraciones"/>
        <w:tabs>
          <w:tab w:val="right" w:leader="dot" w:pos="8828"/>
        </w:tabs>
        <w:rPr>
          <w:rFonts w:asciiTheme="minorHAnsi" w:eastAsiaTheme="minorEastAsia" w:hAnsiTheme="minorHAnsi"/>
          <w:noProof/>
          <w:lang w:eastAsia="es-CO"/>
        </w:rPr>
      </w:pPr>
      <w:hyperlink w:anchor="_Toc131032788" w:history="1">
        <w:r w:rsidR="009E2A6C" w:rsidRPr="00B64D5F">
          <w:rPr>
            <w:rStyle w:val="Hipervnculo"/>
            <w:noProof/>
          </w:rPr>
          <w:t>Tabla 2.20  Metas del indicador de duración de eventos año 2022.</w:t>
        </w:r>
        <w:r w:rsidR="009E2A6C">
          <w:rPr>
            <w:noProof/>
            <w:webHidden/>
          </w:rPr>
          <w:tab/>
        </w:r>
        <w:r w:rsidR="009E2A6C">
          <w:rPr>
            <w:noProof/>
            <w:webHidden/>
          </w:rPr>
          <w:fldChar w:fldCharType="begin"/>
        </w:r>
        <w:r w:rsidR="009E2A6C">
          <w:rPr>
            <w:noProof/>
            <w:webHidden/>
          </w:rPr>
          <w:instrText xml:space="preserve"> PAGEREF _Toc131032788 \h </w:instrText>
        </w:r>
        <w:r w:rsidR="009E2A6C">
          <w:rPr>
            <w:noProof/>
            <w:webHidden/>
          </w:rPr>
        </w:r>
        <w:r w:rsidR="009E2A6C">
          <w:rPr>
            <w:noProof/>
            <w:webHidden/>
          </w:rPr>
          <w:fldChar w:fldCharType="separate"/>
        </w:r>
        <w:r w:rsidR="00C944CB">
          <w:rPr>
            <w:noProof/>
            <w:webHidden/>
          </w:rPr>
          <w:t>25</w:t>
        </w:r>
        <w:r w:rsidR="009E2A6C">
          <w:rPr>
            <w:noProof/>
            <w:webHidden/>
          </w:rPr>
          <w:fldChar w:fldCharType="end"/>
        </w:r>
      </w:hyperlink>
    </w:p>
    <w:p w14:paraId="2A90A126" w14:textId="75763E82" w:rsidR="009E2A6C" w:rsidRDefault="00EE443E">
      <w:pPr>
        <w:pStyle w:val="Tabladeilustraciones"/>
        <w:tabs>
          <w:tab w:val="right" w:leader="dot" w:pos="8828"/>
        </w:tabs>
        <w:rPr>
          <w:rFonts w:asciiTheme="minorHAnsi" w:eastAsiaTheme="minorEastAsia" w:hAnsiTheme="minorHAnsi"/>
          <w:noProof/>
          <w:lang w:eastAsia="es-CO"/>
        </w:rPr>
      </w:pPr>
      <w:hyperlink w:anchor="_Toc131032789" w:history="1">
        <w:r w:rsidR="009E2A6C" w:rsidRPr="00B64D5F">
          <w:rPr>
            <w:rStyle w:val="Hipervnculo"/>
            <w:noProof/>
          </w:rPr>
          <w:t>Tabla 2.21  Metas del indicador de frecuencia de eventos año 2022.</w:t>
        </w:r>
        <w:r w:rsidR="009E2A6C">
          <w:rPr>
            <w:noProof/>
            <w:webHidden/>
          </w:rPr>
          <w:tab/>
        </w:r>
        <w:r w:rsidR="009E2A6C">
          <w:rPr>
            <w:noProof/>
            <w:webHidden/>
          </w:rPr>
          <w:fldChar w:fldCharType="begin"/>
        </w:r>
        <w:r w:rsidR="009E2A6C">
          <w:rPr>
            <w:noProof/>
            <w:webHidden/>
          </w:rPr>
          <w:instrText xml:space="preserve"> PAGEREF _Toc131032789 \h </w:instrText>
        </w:r>
        <w:r w:rsidR="009E2A6C">
          <w:rPr>
            <w:noProof/>
            <w:webHidden/>
          </w:rPr>
        </w:r>
        <w:r w:rsidR="009E2A6C">
          <w:rPr>
            <w:noProof/>
            <w:webHidden/>
          </w:rPr>
          <w:fldChar w:fldCharType="separate"/>
        </w:r>
        <w:r w:rsidR="00C944CB">
          <w:rPr>
            <w:noProof/>
            <w:webHidden/>
          </w:rPr>
          <w:t>25</w:t>
        </w:r>
        <w:r w:rsidR="009E2A6C">
          <w:rPr>
            <w:noProof/>
            <w:webHidden/>
          </w:rPr>
          <w:fldChar w:fldCharType="end"/>
        </w:r>
      </w:hyperlink>
    </w:p>
    <w:p w14:paraId="09830846" w14:textId="0D8CA45F" w:rsidR="009E2A6C" w:rsidRDefault="00EE443E">
      <w:pPr>
        <w:pStyle w:val="Tabladeilustraciones"/>
        <w:tabs>
          <w:tab w:val="right" w:leader="dot" w:pos="8828"/>
        </w:tabs>
        <w:rPr>
          <w:rFonts w:asciiTheme="minorHAnsi" w:eastAsiaTheme="minorEastAsia" w:hAnsiTheme="minorHAnsi"/>
          <w:noProof/>
          <w:lang w:eastAsia="es-CO"/>
        </w:rPr>
      </w:pPr>
      <w:hyperlink w:anchor="_Toc131032790" w:history="1">
        <w:r w:rsidR="009E2A6C" w:rsidRPr="00B64D5F">
          <w:rPr>
            <w:rStyle w:val="Hipervnculo"/>
            <w:noProof/>
          </w:rPr>
          <w:t>Tabla 2.22  Índices de pérdidas eficientes para EPM año 2022.</w:t>
        </w:r>
        <w:r w:rsidR="009E2A6C">
          <w:rPr>
            <w:noProof/>
            <w:webHidden/>
          </w:rPr>
          <w:tab/>
        </w:r>
        <w:r w:rsidR="009E2A6C">
          <w:rPr>
            <w:noProof/>
            <w:webHidden/>
          </w:rPr>
          <w:fldChar w:fldCharType="begin"/>
        </w:r>
        <w:r w:rsidR="009E2A6C">
          <w:rPr>
            <w:noProof/>
            <w:webHidden/>
          </w:rPr>
          <w:instrText xml:space="preserve"> PAGEREF _Toc131032790 \h </w:instrText>
        </w:r>
        <w:r w:rsidR="009E2A6C">
          <w:rPr>
            <w:noProof/>
            <w:webHidden/>
          </w:rPr>
        </w:r>
        <w:r w:rsidR="009E2A6C">
          <w:rPr>
            <w:noProof/>
            <w:webHidden/>
          </w:rPr>
          <w:fldChar w:fldCharType="separate"/>
        </w:r>
        <w:r w:rsidR="00C944CB">
          <w:rPr>
            <w:noProof/>
            <w:webHidden/>
          </w:rPr>
          <w:t>26</w:t>
        </w:r>
        <w:r w:rsidR="009E2A6C">
          <w:rPr>
            <w:noProof/>
            <w:webHidden/>
          </w:rPr>
          <w:fldChar w:fldCharType="end"/>
        </w:r>
      </w:hyperlink>
    </w:p>
    <w:p w14:paraId="02E11444" w14:textId="4A0FDA66" w:rsidR="009E2A6C" w:rsidRDefault="00EE443E">
      <w:pPr>
        <w:pStyle w:val="Tabladeilustraciones"/>
        <w:tabs>
          <w:tab w:val="right" w:leader="dot" w:pos="8828"/>
        </w:tabs>
        <w:rPr>
          <w:rFonts w:asciiTheme="minorHAnsi" w:eastAsiaTheme="minorEastAsia" w:hAnsiTheme="minorHAnsi"/>
          <w:noProof/>
          <w:lang w:eastAsia="es-CO"/>
        </w:rPr>
      </w:pPr>
      <w:hyperlink w:anchor="_Toc131032791" w:history="1">
        <w:r w:rsidR="009E2A6C" w:rsidRPr="00B64D5F">
          <w:rPr>
            <w:rStyle w:val="Hipervnculo"/>
            <w:noProof/>
          </w:rPr>
          <w:t>Tabla 3.1  Inversiones en activos puestos en operación en el sistema de EPM en el año 2022. Sin Acote.</w:t>
        </w:r>
        <w:r w:rsidR="009E2A6C">
          <w:rPr>
            <w:noProof/>
            <w:webHidden/>
          </w:rPr>
          <w:tab/>
        </w:r>
        <w:r w:rsidR="009E2A6C">
          <w:rPr>
            <w:noProof/>
            <w:webHidden/>
          </w:rPr>
          <w:fldChar w:fldCharType="begin"/>
        </w:r>
        <w:r w:rsidR="009E2A6C">
          <w:rPr>
            <w:noProof/>
            <w:webHidden/>
          </w:rPr>
          <w:instrText xml:space="preserve"> PAGEREF _Toc131032791 \h </w:instrText>
        </w:r>
        <w:r w:rsidR="009E2A6C">
          <w:rPr>
            <w:noProof/>
            <w:webHidden/>
          </w:rPr>
        </w:r>
        <w:r w:rsidR="009E2A6C">
          <w:rPr>
            <w:noProof/>
            <w:webHidden/>
          </w:rPr>
          <w:fldChar w:fldCharType="separate"/>
        </w:r>
        <w:r w:rsidR="00C944CB">
          <w:rPr>
            <w:noProof/>
            <w:webHidden/>
          </w:rPr>
          <w:t>27</w:t>
        </w:r>
        <w:r w:rsidR="009E2A6C">
          <w:rPr>
            <w:noProof/>
            <w:webHidden/>
          </w:rPr>
          <w:fldChar w:fldCharType="end"/>
        </w:r>
      </w:hyperlink>
    </w:p>
    <w:p w14:paraId="0FD315F9" w14:textId="21450D76" w:rsidR="009E2A6C" w:rsidRDefault="00EE443E">
      <w:pPr>
        <w:pStyle w:val="Tabladeilustraciones"/>
        <w:tabs>
          <w:tab w:val="right" w:leader="dot" w:pos="8828"/>
        </w:tabs>
        <w:rPr>
          <w:rFonts w:asciiTheme="minorHAnsi" w:eastAsiaTheme="minorEastAsia" w:hAnsiTheme="minorHAnsi"/>
          <w:noProof/>
          <w:lang w:eastAsia="es-CO"/>
        </w:rPr>
      </w:pPr>
      <w:hyperlink w:anchor="_Toc131032792" w:history="1">
        <w:r w:rsidR="009E2A6C" w:rsidRPr="00B64D5F">
          <w:rPr>
            <w:rStyle w:val="Hipervnculo"/>
            <w:noProof/>
          </w:rPr>
          <w:t>Tabla 3.2  Inversiones en activos puestos en operación en el sistema de EPM en el año 2022. Incluye el acote del 1.1*</w:t>
        </w:r>
        <w:r w:rsidR="009E2A6C" w:rsidRPr="00B64D5F">
          <w:rPr>
            <w:rStyle w:val="Hipervnculo"/>
            <w:rFonts w:cstheme="minorHAnsi"/>
            <w:i/>
            <w:iCs/>
            <w:noProof/>
          </w:rPr>
          <w:t>INVA</w:t>
        </w:r>
        <w:r w:rsidR="009E2A6C" w:rsidRPr="00B64D5F">
          <w:rPr>
            <w:rStyle w:val="Hipervnculo"/>
            <w:rFonts w:cstheme="minorHAnsi"/>
            <w:i/>
            <w:iCs/>
            <w:noProof/>
            <w:vertAlign w:val="subscript"/>
          </w:rPr>
          <w:t>j,n,l,4</w:t>
        </w:r>
        <w:r w:rsidR="009E2A6C" w:rsidRPr="00B64D5F">
          <w:rPr>
            <w:rStyle w:val="Hipervnculo"/>
            <w:rFonts w:cstheme="minorHAnsi"/>
            <w:i/>
            <w:iCs/>
            <w:noProof/>
          </w:rPr>
          <w:t xml:space="preserve"> para N1, N2 y N3.</w:t>
        </w:r>
        <w:r w:rsidR="009E2A6C">
          <w:rPr>
            <w:noProof/>
            <w:webHidden/>
          </w:rPr>
          <w:tab/>
        </w:r>
        <w:r w:rsidR="009E2A6C">
          <w:rPr>
            <w:noProof/>
            <w:webHidden/>
          </w:rPr>
          <w:fldChar w:fldCharType="begin"/>
        </w:r>
        <w:r w:rsidR="009E2A6C">
          <w:rPr>
            <w:noProof/>
            <w:webHidden/>
          </w:rPr>
          <w:instrText xml:space="preserve"> PAGEREF _Toc131032792 \h </w:instrText>
        </w:r>
        <w:r w:rsidR="009E2A6C">
          <w:rPr>
            <w:noProof/>
            <w:webHidden/>
          </w:rPr>
        </w:r>
        <w:r w:rsidR="009E2A6C">
          <w:rPr>
            <w:noProof/>
            <w:webHidden/>
          </w:rPr>
          <w:fldChar w:fldCharType="separate"/>
        </w:r>
        <w:r w:rsidR="00C944CB">
          <w:rPr>
            <w:noProof/>
            <w:webHidden/>
          </w:rPr>
          <w:t>28</w:t>
        </w:r>
        <w:r w:rsidR="009E2A6C">
          <w:rPr>
            <w:noProof/>
            <w:webHidden/>
          </w:rPr>
          <w:fldChar w:fldCharType="end"/>
        </w:r>
      </w:hyperlink>
    </w:p>
    <w:p w14:paraId="2FFEBDD0" w14:textId="472ED1BB" w:rsidR="009E2A6C" w:rsidRDefault="00EE443E">
      <w:pPr>
        <w:pStyle w:val="Tabladeilustraciones"/>
        <w:tabs>
          <w:tab w:val="right" w:leader="dot" w:pos="8828"/>
        </w:tabs>
        <w:rPr>
          <w:rFonts w:asciiTheme="minorHAnsi" w:eastAsiaTheme="minorEastAsia" w:hAnsiTheme="minorHAnsi"/>
          <w:noProof/>
          <w:lang w:eastAsia="es-CO"/>
        </w:rPr>
      </w:pPr>
      <w:hyperlink w:anchor="_Toc131032793" w:history="1">
        <w:r w:rsidR="009E2A6C" w:rsidRPr="00B64D5F">
          <w:rPr>
            <w:rStyle w:val="Hipervnculo"/>
            <w:noProof/>
          </w:rPr>
          <w:t>Tabla 3.3  Excedente de las inversiones en activos puestos en operación en el sistema de EPM en el año 2021.</w:t>
        </w:r>
        <w:r w:rsidR="009E2A6C">
          <w:rPr>
            <w:noProof/>
            <w:webHidden/>
          </w:rPr>
          <w:tab/>
        </w:r>
        <w:r w:rsidR="009E2A6C">
          <w:rPr>
            <w:noProof/>
            <w:webHidden/>
          </w:rPr>
          <w:fldChar w:fldCharType="begin"/>
        </w:r>
        <w:r w:rsidR="009E2A6C">
          <w:rPr>
            <w:noProof/>
            <w:webHidden/>
          </w:rPr>
          <w:instrText xml:space="preserve"> PAGEREF _Toc131032793 \h </w:instrText>
        </w:r>
        <w:r w:rsidR="009E2A6C">
          <w:rPr>
            <w:noProof/>
            <w:webHidden/>
          </w:rPr>
        </w:r>
        <w:r w:rsidR="009E2A6C">
          <w:rPr>
            <w:noProof/>
            <w:webHidden/>
          </w:rPr>
          <w:fldChar w:fldCharType="separate"/>
        </w:r>
        <w:r w:rsidR="00C944CB">
          <w:rPr>
            <w:noProof/>
            <w:webHidden/>
          </w:rPr>
          <w:t>29</w:t>
        </w:r>
        <w:r w:rsidR="009E2A6C">
          <w:rPr>
            <w:noProof/>
            <w:webHidden/>
          </w:rPr>
          <w:fldChar w:fldCharType="end"/>
        </w:r>
      </w:hyperlink>
    </w:p>
    <w:p w14:paraId="5AC4A290" w14:textId="6EFE44A6" w:rsidR="009E2A6C" w:rsidRDefault="00EE443E">
      <w:pPr>
        <w:pStyle w:val="Tabladeilustraciones"/>
        <w:tabs>
          <w:tab w:val="right" w:leader="dot" w:pos="8828"/>
        </w:tabs>
        <w:rPr>
          <w:rFonts w:asciiTheme="minorHAnsi" w:eastAsiaTheme="minorEastAsia" w:hAnsiTheme="minorHAnsi"/>
          <w:noProof/>
          <w:lang w:eastAsia="es-CO"/>
        </w:rPr>
      </w:pPr>
      <w:hyperlink w:anchor="_Toc131032794" w:history="1">
        <w:r w:rsidR="009E2A6C" w:rsidRPr="00B64D5F">
          <w:rPr>
            <w:rStyle w:val="Hipervnculo"/>
            <w:noProof/>
          </w:rPr>
          <w:t>Tabla 3.4  Inversiones en activos puestos en operación en el sistema de EPM en el año 2022. Incluye el acote del 1.1*</w:t>
        </w:r>
        <w:r w:rsidR="009E2A6C" w:rsidRPr="00B64D5F">
          <w:rPr>
            <w:rStyle w:val="Hipervnculo"/>
            <w:rFonts w:cstheme="minorHAnsi"/>
            <w:i/>
            <w:iCs/>
            <w:noProof/>
          </w:rPr>
          <w:t>INVA</w:t>
        </w:r>
        <w:r w:rsidR="009E2A6C" w:rsidRPr="00B64D5F">
          <w:rPr>
            <w:rStyle w:val="Hipervnculo"/>
            <w:rFonts w:cstheme="minorHAnsi"/>
            <w:i/>
            <w:iCs/>
            <w:noProof/>
            <w:vertAlign w:val="subscript"/>
          </w:rPr>
          <w:t>j,n,l,4</w:t>
        </w:r>
        <w:r w:rsidR="009E2A6C" w:rsidRPr="00B64D5F">
          <w:rPr>
            <w:rStyle w:val="Hipervnculo"/>
            <w:noProof/>
          </w:rPr>
          <w:t xml:space="preserve"> más el excedente del año 2021.</w:t>
        </w:r>
        <w:r w:rsidR="009E2A6C">
          <w:rPr>
            <w:noProof/>
            <w:webHidden/>
          </w:rPr>
          <w:tab/>
        </w:r>
        <w:r w:rsidR="009E2A6C">
          <w:rPr>
            <w:noProof/>
            <w:webHidden/>
          </w:rPr>
          <w:fldChar w:fldCharType="begin"/>
        </w:r>
        <w:r w:rsidR="009E2A6C">
          <w:rPr>
            <w:noProof/>
            <w:webHidden/>
          </w:rPr>
          <w:instrText xml:space="preserve"> PAGEREF _Toc131032794 \h </w:instrText>
        </w:r>
        <w:r w:rsidR="009E2A6C">
          <w:rPr>
            <w:noProof/>
            <w:webHidden/>
          </w:rPr>
        </w:r>
        <w:r w:rsidR="009E2A6C">
          <w:rPr>
            <w:noProof/>
            <w:webHidden/>
          </w:rPr>
          <w:fldChar w:fldCharType="separate"/>
        </w:r>
        <w:r w:rsidR="00C944CB">
          <w:rPr>
            <w:noProof/>
            <w:webHidden/>
          </w:rPr>
          <w:t>29</w:t>
        </w:r>
        <w:r w:rsidR="009E2A6C">
          <w:rPr>
            <w:noProof/>
            <w:webHidden/>
          </w:rPr>
          <w:fldChar w:fldCharType="end"/>
        </w:r>
      </w:hyperlink>
    </w:p>
    <w:p w14:paraId="449D4B86" w14:textId="2E98AC64" w:rsidR="009E2A6C" w:rsidRDefault="00EE443E">
      <w:pPr>
        <w:pStyle w:val="Tabladeilustraciones"/>
        <w:tabs>
          <w:tab w:val="right" w:leader="dot" w:pos="8828"/>
        </w:tabs>
        <w:rPr>
          <w:rFonts w:asciiTheme="minorHAnsi" w:eastAsiaTheme="minorEastAsia" w:hAnsiTheme="minorHAnsi"/>
          <w:noProof/>
          <w:lang w:eastAsia="es-CO"/>
        </w:rPr>
      </w:pPr>
      <w:hyperlink w:anchor="_Toc131032795" w:history="1">
        <w:r w:rsidR="009E2A6C" w:rsidRPr="00B64D5F">
          <w:rPr>
            <w:rStyle w:val="Hipervnculo"/>
            <w:noProof/>
          </w:rPr>
          <w:t>Tabla 3.5  Excedente de las inversiones en activos puestos en operación en el sistema de EPM en el año 2022.</w:t>
        </w:r>
        <w:r w:rsidR="009E2A6C">
          <w:rPr>
            <w:noProof/>
            <w:webHidden/>
          </w:rPr>
          <w:tab/>
        </w:r>
        <w:r w:rsidR="009E2A6C">
          <w:rPr>
            <w:noProof/>
            <w:webHidden/>
          </w:rPr>
          <w:fldChar w:fldCharType="begin"/>
        </w:r>
        <w:r w:rsidR="009E2A6C">
          <w:rPr>
            <w:noProof/>
            <w:webHidden/>
          </w:rPr>
          <w:instrText xml:space="preserve"> PAGEREF _Toc131032795 \h </w:instrText>
        </w:r>
        <w:r w:rsidR="009E2A6C">
          <w:rPr>
            <w:noProof/>
            <w:webHidden/>
          </w:rPr>
        </w:r>
        <w:r w:rsidR="009E2A6C">
          <w:rPr>
            <w:noProof/>
            <w:webHidden/>
          </w:rPr>
          <w:fldChar w:fldCharType="separate"/>
        </w:r>
        <w:r w:rsidR="00C944CB">
          <w:rPr>
            <w:noProof/>
            <w:webHidden/>
          </w:rPr>
          <w:t>30</w:t>
        </w:r>
        <w:r w:rsidR="009E2A6C">
          <w:rPr>
            <w:noProof/>
            <w:webHidden/>
          </w:rPr>
          <w:fldChar w:fldCharType="end"/>
        </w:r>
      </w:hyperlink>
    </w:p>
    <w:p w14:paraId="61672C05" w14:textId="367BB10B" w:rsidR="009E2A6C" w:rsidRDefault="00EE443E">
      <w:pPr>
        <w:pStyle w:val="Tabladeilustraciones"/>
        <w:tabs>
          <w:tab w:val="right" w:leader="dot" w:pos="8828"/>
        </w:tabs>
        <w:rPr>
          <w:rFonts w:asciiTheme="minorHAnsi" w:eastAsiaTheme="minorEastAsia" w:hAnsiTheme="minorHAnsi"/>
          <w:noProof/>
          <w:lang w:eastAsia="es-CO"/>
        </w:rPr>
      </w:pPr>
      <w:hyperlink w:anchor="_Toc131032796" w:history="1">
        <w:r w:rsidR="009E2A6C" w:rsidRPr="00B64D5F">
          <w:rPr>
            <w:rStyle w:val="Hipervnculo"/>
            <w:noProof/>
          </w:rPr>
          <w:t>Tabla 3.6  Inversiones en el Sistema de Gestión de Activos en el año 2022.</w:t>
        </w:r>
        <w:r w:rsidR="009E2A6C">
          <w:rPr>
            <w:noProof/>
            <w:webHidden/>
          </w:rPr>
          <w:tab/>
        </w:r>
        <w:r w:rsidR="009E2A6C">
          <w:rPr>
            <w:noProof/>
            <w:webHidden/>
          </w:rPr>
          <w:fldChar w:fldCharType="begin"/>
        </w:r>
        <w:r w:rsidR="009E2A6C">
          <w:rPr>
            <w:noProof/>
            <w:webHidden/>
          </w:rPr>
          <w:instrText xml:space="preserve"> PAGEREF _Toc131032796 \h </w:instrText>
        </w:r>
        <w:r w:rsidR="009E2A6C">
          <w:rPr>
            <w:noProof/>
            <w:webHidden/>
          </w:rPr>
        </w:r>
        <w:r w:rsidR="009E2A6C">
          <w:rPr>
            <w:noProof/>
            <w:webHidden/>
          </w:rPr>
          <w:fldChar w:fldCharType="separate"/>
        </w:r>
        <w:r w:rsidR="00C944CB">
          <w:rPr>
            <w:noProof/>
            <w:webHidden/>
          </w:rPr>
          <w:t>32</w:t>
        </w:r>
        <w:r w:rsidR="009E2A6C">
          <w:rPr>
            <w:noProof/>
            <w:webHidden/>
          </w:rPr>
          <w:fldChar w:fldCharType="end"/>
        </w:r>
      </w:hyperlink>
    </w:p>
    <w:p w14:paraId="4E109B93" w14:textId="3EAE588F" w:rsidR="009E2A6C" w:rsidRDefault="00EE443E">
      <w:pPr>
        <w:pStyle w:val="Tabladeilustraciones"/>
        <w:tabs>
          <w:tab w:val="right" w:leader="dot" w:pos="8828"/>
        </w:tabs>
        <w:rPr>
          <w:rFonts w:asciiTheme="minorHAnsi" w:eastAsiaTheme="minorEastAsia" w:hAnsiTheme="minorHAnsi"/>
          <w:noProof/>
          <w:lang w:eastAsia="es-CO"/>
        </w:rPr>
      </w:pPr>
      <w:hyperlink w:anchor="_Toc131032797" w:history="1">
        <w:r w:rsidR="009E2A6C" w:rsidRPr="00B64D5F">
          <w:rPr>
            <w:rStyle w:val="Hipervnculo"/>
            <w:noProof/>
          </w:rPr>
          <w:t>Tabla 3.7  Inversiones ejecutadas en UC especiales en el año 2022. UCs aprobadas en el plan de inversiones.</w:t>
        </w:r>
        <w:r w:rsidR="009E2A6C">
          <w:rPr>
            <w:noProof/>
            <w:webHidden/>
          </w:rPr>
          <w:tab/>
        </w:r>
        <w:r w:rsidR="009E2A6C">
          <w:rPr>
            <w:noProof/>
            <w:webHidden/>
          </w:rPr>
          <w:fldChar w:fldCharType="begin"/>
        </w:r>
        <w:r w:rsidR="009E2A6C">
          <w:rPr>
            <w:noProof/>
            <w:webHidden/>
          </w:rPr>
          <w:instrText xml:space="preserve"> PAGEREF _Toc131032797 \h </w:instrText>
        </w:r>
        <w:r w:rsidR="009E2A6C">
          <w:rPr>
            <w:noProof/>
            <w:webHidden/>
          </w:rPr>
        </w:r>
        <w:r w:rsidR="009E2A6C">
          <w:rPr>
            <w:noProof/>
            <w:webHidden/>
          </w:rPr>
          <w:fldChar w:fldCharType="separate"/>
        </w:r>
        <w:r w:rsidR="00C944CB">
          <w:rPr>
            <w:noProof/>
            <w:webHidden/>
          </w:rPr>
          <w:t>33</w:t>
        </w:r>
        <w:r w:rsidR="009E2A6C">
          <w:rPr>
            <w:noProof/>
            <w:webHidden/>
          </w:rPr>
          <w:fldChar w:fldCharType="end"/>
        </w:r>
      </w:hyperlink>
    </w:p>
    <w:p w14:paraId="6E2D357C" w14:textId="24B60687" w:rsidR="009E2A6C" w:rsidRDefault="00EE443E">
      <w:pPr>
        <w:pStyle w:val="Tabladeilustraciones"/>
        <w:tabs>
          <w:tab w:val="right" w:leader="dot" w:pos="8828"/>
        </w:tabs>
        <w:rPr>
          <w:rFonts w:asciiTheme="minorHAnsi" w:eastAsiaTheme="minorEastAsia" w:hAnsiTheme="minorHAnsi"/>
          <w:noProof/>
          <w:lang w:eastAsia="es-CO"/>
        </w:rPr>
      </w:pPr>
      <w:hyperlink w:anchor="_Toc131032798" w:history="1">
        <w:r w:rsidR="009E2A6C" w:rsidRPr="00B64D5F">
          <w:rPr>
            <w:rStyle w:val="Hipervnculo"/>
            <w:noProof/>
          </w:rPr>
          <w:t>Tabla 3.9  Costos socioambientales y de servidumbre ejecutados en proyectos de inversión año 2022.</w:t>
        </w:r>
        <w:r w:rsidR="009E2A6C">
          <w:rPr>
            <w:noProof/>
            <w:webHidden/>
          </w:rPr>
          <w:tab/>
        </w:r>
        <w:r w:rsidR="009E2A6C">
          <w:rPr>
            <w:noProof/>
            <w:webHidden/>
          </w:rPr>
          <w:fldChar w:fldCharType="begin"/>
        </w:r>
        <w:r w:rsidR="009E2A6C">
          <w:rPr>
            <w:noProof/>
            <w:webHidden/>
          </w:rPr>
          <w:instrText xml:space="preserve"> PAGEREF _Toc131032798 \h </w:instrText>
        </w:r>
        <w:r w:rsidR="009E2A6C">
          <w:rPr>
            <w:noProof/>
            <w:webHidden/>
          </w:rPr>
        </w:r>
        <w:r w:rsidR="009E2A6C">
          <w:rPr>
            <w:noProof/>
            <w:webHidden/>
          </w:rPr>
          <w:fldChar w:fldCharType="separate"/>
        </w:r>
        <w:r w:rsidR="00C944CB">
          <w:rPr>
            <w:noProof/>
            <w:webHidden/>
          </w:rPr>
          <w:t>34</w:t>
        </w:r>
        <w:r w:rsidR="009E2A6C">
          <w:rPr>
            <w:noProof/>
            <w:webHidden/>
          </w:rPr>
          <w:fldChar w:fldCharType="end"/>
        </w:r>
      </w:hyperlink>
    </w:p>
    <w:p w14:paraId="5769C324" w14:textId="0D2D992B" w:rsidR="009E2A6C" w:rsidRDefault="00EE443E">
      <w:pPr>
        <w:pStyle w:val="Tabladeilustraciones"/>
        <w:tabs>
          <w:tab w:val="right" w:leader="dot" w:pos="8828"/>
        </w:tabs>
        <w:rPr>
          <w:rFonts w:asciiTheme="minorHAnsi" w:eastAsiaTheme="minorEastAsia" w:hAnsiTheme="minorHAnsi"/>
          <w:noProof/>
          <w:lang w:eastAsia="es-CO"/>
        </w:rPr>
      </w:pPr>
      <w:hyperlink w:anchor="_Toc131032799" w:history="1">
        <w:r w:rsidR="009E2A6C" w:rsidRPr="00B64D5F">
          <w:rPr>
            <w:rStyle w:val="Hipervnculo"/>
            <w:noProof/>
          </w:rPr>
          <w:t>Tabla 3.10  Porcentajes de ejecución del plan de inversiones año 2022. Ejecución no acotada.</w:t>
        </w:r>
        <w:r w:rsidR="009E2A6C">
          <w:rPr>
            <w:noProof/>
            <w:webHidden/>
          </w:rPr>
          <w:tab/>
        </w:r>
        <w:r w:rsidR="009E2A6C">
          <w:rPr>
            <w:noProof/>
            <w:webHidden/>
          </w:rPr>
          <w:fldChar w:fldCharType="begin"/>
        </w:r>
        <w:r w:rsidR="009E2A6C">
          <w:rPr>
            <w:noProof/>
            <w:webHidden/>
          </w:rPr>
          <w:instrText xml:space="preserve"> PAGEREF _Toc131032799 \h </w:instrText>
        </w:r>
        <w:r w:rsidR="009E2A6C">
          <w:rPr>
            <w:noProof/>
            <w:webHidden/>
          </w:rPr>
        </w:r>
        <w:r w:rsidR="009E2A6C">
          <w:rPr>
            <w:noProof/>
            <w:webHidden/>
          </w:rPr>
          <w:fldChar w:fldCharType="separate"/>
        </w:r>
        <w:r w:rsidR="00C944CB">
          <w:rPr>
            <w:noProof/>
            <w:webHidden/>
          </w:rPr>
          <w:t>36</w:t>
        </w:r>
        <w:r w:rsidR="009E2A6C">
          <w:rPr>
            <w:noProof/>
            <w:webHidden/>
          </w:rPr>
          <w:fldChar w:fldCharType="end"/>
        </w:r>
      </w:hyperlink>
    </w:p>
    <w:p w14:paraId="0F7027E7" w14:textId="70F7B1C1" w:rsidR="009E2A6C" w:rsidRDefault="00EE443E">
      <w:pPr>
        <w:pStyle w:val="Tabladeilustraciones"/>
        <w:tabs>
          <w:tab w:val="right" w:leader="dot" w:pos="8828"/>
        </w:tabs>
        <w:rPr>
          <w:rFonts w:asciiTheme="minorHAnsi" w:eastAsiaTheme="minorEastAsia" w:hAnsiTheme="minorHAnsi"/>
          <w:noProof/>
          <w:lang w:eastAsia="es-CO"/>
        </w:rPr>
      </w:pPr>
      <w:hyperlink w:anchor="_Toc131032800" w:history="1">
        <w:r w:rsidR="009E2A6C" w:rsidRPr="00B64D5F">
          <w:rPr>
            <w:rStyle w:val="Hipervnculo"/>
            <w:noProof/>
          </w:rPr>
          <w:t>Tabla 3.11  Porcentajes de ejecución del plan de inversiones año 2022. Ejecución acotada.</w:t>
        </w:r>
        <w:r w:rsidR="009E2A6C">
          <w:rPr>
            <w:noProof/>
            <w:webHidden/>
          </w:rPr>
          <w:tab/>
        </w:r>
        <w:r w:rsidR="009E2A6C">
          <w:rPr>
            <w:noProof/>
            <w:webHidden/>
          </w:rPr>
          <w:fldChar w:fldCharType="begin"/>
        </w:r>
        <w:r w:rsidR="009E2A6C">
          <w:rPr>
            <w:noProof/>
            <w:webHidden/>
          </w:rPr>
          <w:instrText xml:space="preserve"> PAGEREF _Toc131032800 \h </w:instrText>
        </w:r>
        <w:r w:rsidR="009E2A6C">
          <w:rPr>
            <w:noProof/>
            <w:webHidden/>
          </w:rPr>
        </w:r>
        <w:r w:rsidR="009E2A6C">
          <w:rPr>
            <w:noProof/>
            <w:webHidden/>
          </w:rPr>
          <w:fldChar w:fldCharType="separate"/>
        </w:r>
        <w:r w:rsidR="00C944CB">
          <w:rPr>
            <w:noProof/>
            <w:webHidden/>
          </w:rPr>
          <w:t>36</w:t>
        </w:r>
        <w:r w:rsidR="009E2A6C">
          <w:rPr>
            <w:noProof/>
            <w:webHidden/>
          </w:rPr>
          <w:fldChar w:fldCharType="end"/>
        </w:r>
      </w:hyperlink>
    </w:p>
    <w:p w14:paraId="5CB78B01" w14:textId="4E580EA4" w:rsidR="009E2A6C" w:rsidRDefault="00EE443E">
      <w:pPr>
        <w:pStyle w:val="Tabladeilustraciones"/>
        <w:tabs>
          <w:tab w:val="right" w:leader="dot" w:pos="8828"/>
        </w:tabs>
        <w:rPr>
          <w:rFonts w:asciiTheme="minorHAnsi" w:eastAsiaTheme="minorEastAsia" w:hAnsiTheme="minorHAnsi"/>
          <w:noProof/>
          <w:lang w:eastAsia="es-CO"/>
        </w:rPr>
      </w:pPr>
      <w:hyperlink w:anchor="_Toc131032801" w:history="1">
        <w:r w:rsidR="009E2A6C" w:rsidRPr="00B64D5F">
          <w:rPr>
            <w:rStyle w:val="Hipervnculo"/>
            <w:noProof/>
          </w:rPr>
          <w:t>Tabla 3.12  Resultado de indicadores de calidad media EPM - año 2022.</w:t>
        </w:r>
        <w:r w:rsidR="009E2A6C">
          <w:rPr>
            <w:noProof/>
            <w:webHidden/>
          </w:rPr>
          <w:tab/>
        </w:r>
        <w:r w:rsidR="009E2A6C">
          <w:rPr>
            <w:noProof/>
            <w:webHidden/>
          </w:rPr>
          <w:fldChar w:fldCharType="begin"/>
        </w:r>
        <w:r w:rsidR="009E2A6C">
          <w:rPr>
            <w:noProof/>
            <w:webHidden/>
          </w:rPr>
          <w:instrText xml:space="preserve"> PAGEREF _Toc131032801 \h </w:instrText>
        </w:r>
        <w:r w:rsidR="009E2A6C">
          <w:rPr>
            <w:noProof/>
            <w:webHidden/>
          </w:rPr>
        </w:r>
        <w:r w:rsidR="009E2A6C">
          <w:rPr>
            <w:noProof/>
            <w:webHidden/>
          </w:rPr>
          <w:fldChar w:fldCharType="separate"/>
        </w:r>
        <w:r w:rsidR="00C944CB">
          <w:rPr>
            <w:noProof/>
            <w:webHidden/>
          </w:rPr>
          <w:t>38</w:t>
        </w:r>
        <w:r w:rsidR="009E2A6C">
          <w:rPr>
            <w:noProof/>
            <w:webHidden/>
          </w:rPr>
          <w:fldChar w:fldCharType="end"/>
        </w:r>
      </w:hyperlink>
    </w:p>
    <w:p w14:paraId="085C8726" w14:textId="0005B2E6" w:rsidR="009E2A6C" w:rsidRDefault="00EE443E">
      <w:pPr>
        <w:pStyle w:val="Tabladeilustraciones"/>
        <w:tabs>
          <w:tab w:val="right" w:leader="dot" w:pos="8828"/>
        </w:tabs>
        <w:rPr>
          <w:rFonts w:asciiTheme="minorHAnsi" w:eastAsiaTheme="minorEastAsia" w:hAnsiTheme="minorHAnsi"/>
          <w:noProof/>
          <w:lang w:eastAsia="es-CO"/>
        </w:rPr>
      </w:pPr>
      <w:hyperlink w:anchor="_Toc131032802" w:history="1">
        <w:r w:rsidR="009E2A6C" w:rsidRPr="00B64D5F">
          <w:rPr>
            <w:rStyle w:val="Hipervnculo"/>
            <w:noProof/>
          </w:rPr>
          <w:t>Tabla 3.13  Valor de los activos que salieron de operación en el sistema de EPM en el año 2022.</w:t>
        </w:r>
        <w:r w:rsidR="009E2A6C">
          <w:rPr>
            <w:noProof/>
            <w:webHidden/>
          </w:rPr>
          <w:tab/>
        </w:r>
        <w:r w:rsidR="009E2A6C">
          <w:rPr>
            <w:noProof/>
            <w:webHidden/>
          </w:rPr>
          <w:fldChar w:fldCharType="begin"/>
        </w:r>
        <w:r w:rsidR="009E2A6C">
          <w:rPr>
            <w:noProof/>
            <w:webHidden/>
          </w:rPr>
          <w:instrText xml:space="preserve"> PAGEREF _Toc131032802 \h </w:instrText>
        </w:r>
        <w:r w:rsidR="009E2A6C">
          <w:rPr>
            <w:noProof/>
            <w:webHidden/>
          </w:rPr>
        </w:r>
        <w:r w:rsidR="009E2A6C">
          <w:rPr>
            <w:noProof/>
            <w:webHidden/>
          </w:rPr>
          <w:fldChar w:fldCharType="separate"/>
        </w:r>
        <w:r w:rsidR="00C944CB">
          <w:rPr>
            <w:noProof/>
            <w:webHidden/>
          </w:rPr>
          <w:t>40</w:t>
        </w:r>
        <w:r w:rsidR="009E2A6C">
          <w:rPr>
            <w:noProof/>
            <w:webHidden/>
          </w:rPr>
          <w:fldChar w:fldCharType="end"/>
        </w:r>
      </w:hyperlink>
    </w:p>
    <w:p w14:paraId="60B971DA" w14:textId="7FC0A4BE" w:rsidR="009E2A6C" w:rsidRDefault="00EE443E">
      <w:pPr>
        <w:pStyle w:val="Tabladeilustraciones"/>
        <w:tabs>
          <w:tab w:val="right" w:leader="dot" w:pos="8828"/>
        </w:tabs>
        <w:rPr>
          <w:rFonts w:asciiTheme="minorHAnsi" w:eastAsiaTheme="minorEastAsia" w:hAnsiTheme="minorHAnsi"/>
          <w:noProof/>
          <w:lang w:eastAsia="es-CO"/>
        </w:rPr>
      </w:pPr>
      <w:hyperlink w:anchor="_Toc131032803" w:history="1">
        <w:r w:rsidR="009E2A6C" w:rsidRPr="00B64D5F">
          <w:rPr>
            <w:rStyle w:val="Hipervnculo"/>
            <w:noProof/>
          </w:rPr>
          <w:t>Tabla 3.14  Valor de los terrenos en subestaciones en el sistema de EPM al año 2022.</w:t>
        </w:r>
        <w:r w:rsidR="009E2A6C">
          <w:rPr>
            <w:noProof/>
            <w:webHidden/>
          </w:rPr>
          <w:tab/>
        </w:r>
        <w:r w:rsidR="009E2A6C">
          <w:rPr>
            <w:noProof/>
            <w:webHidden/>
          </w:rPr>
          <w:fldChar w:fldCharType="begin"/>
        </w:r>
        <w:r w:rsidR="009E2A6C">
          <w:rPr>
            <w:noProof/>
            <w:webHidden/>
          </w:rPr>
          <w:instrText xml:space="preserve"> PAGEREF _Toc131032803 \h </w:instrText>
        </w:r>
        <w:r w:rsidR="009E2A6C">
          <w:rPr>
            <w:noProof/>
            <w:webHidden/>
          </w:rPr>
        </w:r>
        <w:r w:rsidR="009E2A6C">
          <w:rPr>
            <w:noProof/>
            <w:webHidden/>
          </w:rPr>
          <w:fldChar w:fldCharType="separate"/>
        </w:r>
        <w:r w:rsidR="00C944CB">
          <w:rPr>
            <w:noProof/>
            <w:webHidden/>
          </w:rPr>
          <w:t>40</w:t>
        </w:r>
        <w:r w:rsidR="009E2A6C">
          <w:rPr>
            <w:noProof/>
            <w:webHidden/>
          </w:rPr>
          <w:fldChar w:fldCharType="end"/>
        </w:r>
      </w:hyperlink>
    </w:p>
    <w:p w14:paraId="7C17E819" w14:textId="2BA0BA06" w:rsidR="004420E3" w:rsidRDefault="00727D1D" w:rsidP="00DF29CB">
      <w:pPr>
        <w:jc w:val="both"/>
      </w:pPr>
      <w:r w:rsidRPr="002946A9">
        <w:fldChar w:fldCharType="end"/>
      </w:r>
      <w:r w:rsidR="004420E3">
        <w:br w:type="page"/>
      </w:r>
    </w:p>
    <w:p w14:paraId="793E9E7C" w14:textId="11DF61B6" w:rsidR="002A0A5E" w:rsidRPr="002946A9" w:rsidRDefault="002A0A5E" w:rsidP="00DF29CB">
      <w:pPr>
        <w:ind w:firstLine="360"/>
        <w:jc w:val="both"/>
        <w:outlineLvl w:val="1"/>
        <w:rPr>
          <w:rFonts w:ascii="Trebuchet MS" w:eastAsiaTheme="majorEastAsia" w:hAnsi="Trebuchet MS" w:cstheme="majorBidi"/>
          <w:b/>
          <w:color w:val="729928" w:themeColor="accent1" w:themeShade="BF"/>
          <w:sz w:val="28"/>
          <w:szCs w:val="32"/>
        </w:rPr>
      </w:pPr>
      <w:bookmarkStart w:id="0" w:name="_Toc131109324"/>
      <w:r w:rsidRPr="002946A9">
        <w:rPr>
          <w:rFonts w:ascii="Trebuchet MS" w:eastAsiaTheme="majorEastAsia" w:hAnsi="Trebuchet MS" w:cstheme="majorBidi"/>
          <w:b/>
          <w:color w:val="729928" w:themeColor="accent1" w:themeShade="BF"/>
          <w:sz w:val="28"/>
          <w:szCs w:val="32"/>
        </w:rPr>
        <w:t>INTRODUCCI</w:t>
      </w:r>
      <w:r w:rsidR="0048789D" w:rsidRPr="002946A9">
        <w:rPr>
          <w:rFonts w:ascii="Trebuchet MS" w:eastAsiaTheme="majorEastAsia" w:hAnsi="Trebuchet MS" w:cstheme="majorBidi"/>
          <w:b/>
          <w:color w:val="729928" w:themeColor="accent1" w:themeShade="BF"/>
          <w:sz w:val="28"/>
          <w:szCs w:val="32"/>
        </w:rPr>
        <w:t>Ó</w:t>
      </w:r>
      <w:r w:rsidRPr="002946A9">
        <w:rPr>
          <w:rFonts w:ascii="Trebuchet MS" w:eastAsiaTheme="majorEastAsia" w:hAnsi="Trebuchet MS" w:cstheme="majorBidi"/>
          <w:b/>
          <w:color w:val="729928" w:themeColor="accent1" w:themeShade="BF"/>
          <w:sz w:val="28"/>
          <w:szCs w:val="32"/>
        </w:rPr>
        <w:t>N</w:t>
      </w:r>
      <w:bookmarkEnd w:id="0"/>
      <w:r w:rsidRPr="002946A9">
        <w:rPr>
          <w:rFonts w:ascii="Trebuchet MS" w:eastAsiaTheme="majorEastAsia" w:hAnsi="Trebuchet MS" w:cstheme="majorBidi"/>
          <w:b/>
          <w:color w:val="729928" w:themeColor="accent1" w:themeShade="BF"/>
          <w:sz w:val="28"/>
          <w:szCs w:val="32"/>
        </w:rPr>
        <w:t xml:space="preserve"> </w:t>
      </w:r>
    </w:p>
    <w:p w14:paraId="73E3BA25" w14:textId="286CAAAA" w:rsidR="00AD0692" w:rsidRPr="002946A9" w:rsidRDefault="0020529A" w:rsidP="00DF29CB">
      <w:pPr>
        <w:ind w:left="360"/>
        <w:jc w:val="both"/>
        <w:rPr>
          <w:rFonts w:ascii="Trebuchet MS" w:hAnsi="Trebuchet MS"/>
          <w:szCs w:val="24"/>
        </w:rPr>
      </w:pPr>
      <w:r w:rsidRPr="002946A9">
        <w:rPr>
          <w:rFonts w:ascii="Trebuchet MS" w:hAnsi="Trebuchet MS"/>
          <w:szCs w:val="24"/>
        </w:rPr>
        <w:t>Con la expedición de l</w:t>
      </w:r>
      <w:r w:rsidR="003516E0" w:rsidRPr="002946A9">
        <w:rPr>
          <w:rFonts w:ascii="Trebuchet MS" w:hAnsi="Trebuchet MS"/>
          <w:szCs w:val="24"/>
        </w:rPr>
        <w:t xml:space="preserve">a </w:t>
      </w:r>
      <w:r w:rsidR="00EB0BEC" w:rsidRPr="002946A9">
        <w:rPr>
          <w:rFonts w:ascii="Trebuchet MS" w:hAnsi="Trebuchet MS"/>
          <w:szCs w:val="24"/>
        </w:rPr>
        <w:t>R</w:t>
      </w:r>
      <w:r w:rsidR="003516E0" w:rsidRPr="002946A9">
        <w:rPr>
          <w:rFonts w:ascii="Trebuchet MS" w:hAnsi="Trebuchet MS"/>
          <w:szCs w:val="24"/>
        </w:rPr>
        <w:t xml:space="preserve">esolución CREG 015 del 2018 </w:t>
      </w:r>
      <w:r w:rsidR="00EB0BEC" w:rsidRPr="002946A9">
        <w:rPr>
          <w:rFonts w:ascii="Trebuchet MS" w:hAnsi="Trebuchet MS"/>
          <w:szCs w:val="24"/>
        </w:rPr>
        <w:t xml:space="preserve">se </w:t>
      </w:r>
      <w:r w:rsidR="00A42E6F" w:rsidRPr="002946A9">
        <w:rPr>
          <w:rFonts w:ascii="Trebuchet MS" w:hAnsi="Trebuchet MS"/>
          <w:szCs w:val="24"/>
        </w:rPr>
        <w:t>estable</w:t>
      </w:r>
      <w:r w:rsidR="00EB0BEC" w:rsidRPr="002946A9">
        <w:rPr>
          <w:rFonts w:ascii="Trebuchet MS" w:hAnsi="Trebuchet MS"/>
          <w:szCs w:val="24"/>
        </w:rPr>
        <w:t>ció una n</w:t>
      </w:r>
      <w:r w:rsidR="00A42E6F" w:rsidRPr="002946A9">
        <w:rPr>
          <w:rFonts w:ascii="Trebuchet MS" w:hAnsi="Trebuchet MS"/>
          <w:szCs w:val="24"/>
        </w:rPr>
        <w:t xml:space="preserve">ueva metodología para la remuneración de la actividad de distribución de energía eléctrica en el </w:t>
      </w:r>
      <w:r w:rsidR="00480D68" w:rsidRPr="002946A9">
        <w:rPr>
          <w:rFonts w:ascii="Trebuchet MS" w:hAnsi="Trebuchet MS"/>
          <w:szCs w:val="24"/>
        </w:rPr>
        <w:t>S</w:t>
      </w:r>
      <w:r w:rsidR="00A42E6F" w:rsidRPr="002946A9">
        <w:rPr>
          <w:rFonts w:ascii="Trebuchet MS" w:hAnsi="Trebuchet MS"/>
          <w:szCs w:val="24"/>
        </w:rPr>
        <w:t xml:space="preserve">istema </w:t>
      </w:r>
      <w:r w:rsidR="00480D68" w:rsidRPr="002946A9">
        <w:rPr>
          <w:rFonts w:ascii="Trebuchet MS" w:hAnsi="Trebuchet MS"/>
          <w:szCs w:val="24"/>
        </w:rPr>
        <w:t>I</w:t>
      </w:r>
      <w:r w:rsidR="00A42E6F" w:rsidRPr="002946A9">
        <w:rPr>
          <w:rFonts w:ascii="Trebuchet MS" w:hAnsi="Trebuchet MS"/>
          <w:szCs w:val="24"/>
        </w:rPr>
        <w:t xml:space="preserve">nterconectado </w:t>
      </w:r>
      <w:r w:rsidR="00480D68" w:rsidRPr="002946A9">
        <w:rPr>
          <w:rFonts w:ascii="Trebuchet MS" w:hAnsi="Trebuchet MS"/>
          <w:szCs w:val="24"/>
        </w:rPr>
        <w:t>N</w:t>
      </w:r>
      <w:r w:rsidR="00A42E6F" w:rsidRPr="002946A9">
        <w:rPr>
          <w:rFonts w:ascii="Trebuchet MS" w:hAnsi="Trebuchet MS"/>
          <w:szCs w:val="24"/>
        </w:rPr>
        <w:t>acional</w:t>
      </w:r>
      <w:r w:rsidR="00480D68" w:rsidRPr="002946A9">
        <w:rPr>
          <w:rFonts w:ascii="Trebuchet MS" w:hAnsi="Trebuchet MS"/>
          <w:szCs w:val="24"/>
        </w:rPr>
        <w:t xml:space="preserve">, </w:t>
      </w:r>
      <w:r w:rsidR="00EB0BEC" w:rsidRPr="002946A9">
        <w:rPr>
          <w:rFonts w:ascii="Trebuchet MS" w:hAnsi="Trebuchet MS"/>
          <w:szCs w:val="24"/>
        </w:rPr>
        <w:t xml:space="preserve">en ella se </w:t>
      </w:r>
      <w:r w:rsidR="00177F68" w:rsidRPr="002946A9">
        <w:rPr>
          <w:rFonts w:ascii="Trebuchet MS" w:hAnsi="Trebuchet MS"/>
          <w:szCs w:val="24"/>
        </w:rPr>
        <w:t>destaca</w:t>
      </w:r>
      <w:r w:rsidR="007715ED" w:rsidRPr="002946A9">
        <w:rPr>
          <w:rFonts w:ascii="Trebuchet MS" w:hAnsi="Trebuchet MS"/>
          <w:szCs w:val="24"/>
        </w:rPr>
        <w:t xml:space="preserve"> que</w:t>
      </w:r>
      <w:r w:rsidR="003D636A" w:rsidRPr="002946A9">
        <w:rPr>
          <w:rFonts w:ascii="Trebuchet MS" w:hAnsi="Trebuchet MS"/>
          <w:szCs w:val="24"/>
        </w:rPr>
        <w:t>,</w:t>
      </w:r>
      <w:r w:rsidR="007715ED" w:rsidRPr="002946A9">
        <w:rPr>
          <w:rFonts w:ascii="Trebuchet MS" w:hAnsi="Trebuchet MS"/>
          <w:szCs w:val="24"/>
        </w:rPr>
        <w:t xml:space="preserve"> la mayor parte del ingreso que recib</w:t>
      </w:r>
      <w:r w:rsidR="00C3674D" w:rsidRPr="002946A9">
        <w:rPr>
          <w:rFonts w:ascii="Trebuchet MS" w:hAnsi="Trebuchet MS"/>
          <w:szCs w:val="24"/>
        </w:rPr>
        <w:t>en las empresas operadoras de red</w:t>
      </w:r>
      <w:r w:rsidR="003D636A" w:rsidRPr="002946A9">
        <w:rPr>
          <w:rFonts w:ascii="Trebuchet MS" w:hAnsi="Trebuchet MS"/>
          <w:szCs w:val="24"/>
        </w:rPr>
        <w:t xml:space="preserve"> </w:t>
      </w:r>
      <w:r w:rsidR="00C3674D" w:rsidRPr="002946A9">
        <w:rPr>
          <w:rFonts w:ascii="Trebuchet MS" w:hAnsi="Trebuchet MS"/>
          <w:szCs w:val="24"/>
        </w:rPr>
        <w:t>está determinad</w:t>
      </w:r>
      <w:r w:rsidR="00B35E82" w:rsidRPr="002946A9">
        <w:rPr>
          <w:rFonts w:ascii="Trebuchet MS" w:hAnsi="Trebuchet MS"/>
          <w:szCs w:val="24"/>
        </w:rPr>
        <w:t>o</w:t>
      </w:r>
      <w:r w:rsidR="00C3674D" w:rsidRPr="002946A9">
        <w:rPr>
          <w:rFonts w:ascii="Trebuchet MS" w:hAnsi="Trebuchet MS"/>
          <w:szCs w:val="24"/>
        </w:rPr>
        <w:t xml:space="preserve"> por los activos de uso que opera</w:t>
      </w:r>
      <w:r w:rsidR="0067020E" w:rsidRPr="002946A9">
        <w:rPr>
          <w:rFonts w:ascii="Trebuchet MS" w:hAnsi="Trebuchet MS"/>
          <w:szCs w:val="24"/>
        </w:rPr>
        <w:t>n</w:t>
      </w:r>
      <w:r w:rsidR="00CE32B6" w:rsidRPr="002946A9">
        <w:rPr>
          <w:rFonts w:ascii="Trebuchet MS" w:hAnsi="Trebuchet MS"/>
          <w:szCs w:val="24"/>
        </w:rPr>
        <w:t>. Para la remuneración de</w:t>
      </w:r>
      <w:r w:rsidR="00B706C5" w:rsidRPr="002946A9">
        <w:rPr>
          <w:rFonts w:ascii="Trebuchet MS" w:hAnsi="Trebuchet MS"/>
          <w:szCs w:val="24"/>
        </w:rPr>
        <w:t xml:space="preserve"> estos</w:t>
      </w:r>
      <w:r w:rsidR="00CE32B6" w:rsidRPr="002946A9">
        <w:rPr>
          <w:rFonts w:ascii="Trebuchet MS" w:hAnsi="Trebuchet MS"/>
          <w:szCs w:val="24"/>
        </w:rPr>
        <w:t xml:space="preserve"> activos</w:t>
      </w:r>
      <w:r w:rsidR="00950059" w:rsidRPr="002946A9">
        <w:rPr>
          <w:rFonts w:ascii="Trebuchet MS" w:hAnsi="Trebuchet MS"/>
          <w:szCs w:val="24"/>
        </w:rPr>
        <w:t xml:space="preserve">, cada </w:t>
      </w:r>
      <w:r w:rsidR="00F963C8" w:rsidRPr="002946A9">
        <w:rPr>
          <w:rFonts w:ascii="Trebuchet MS" w:hAnsi="Trebuchet MS"/>
          <w:szCs w:val="24"/>
        </w:rPr>
        <w:t xml:space="preserve">operador de red debía entregar </w:t>
      </w:r>
      <w:r w:rsidR="005B5642" w:rsidRPr="002946A9">
        <w:rPr>
          <w:rFonts w:ascii="Trebuchet MS" w:hAnsi="Trebuchet MS"/>
          <w:szCs w:val="24"/>
        </w:rPr>
        <w:t xml:space="preserve">en la solicitud de aprobación de ingresos </w:t>
      </w:r>
      <w:r w:rsidR="00F963C8" w:rsidRPr="002946A9">
        <w:rPr>
          <w:rFonts w:ascii="Trebuchet MS" w:hAnsi="Trebuchet MS"/>
          <w:szCs w:val="24"/>
        </w:rPr>
        <w:t>los inventarios de activos</w:t>
      </w:r>
      <w:r w:rsidR="001C6E8B" w:rsidRPr="002946A9">
        <w:rPr>
          <w:rFonts w:ascii="Trebuchet MS" w:hAnsi="Trebuchet MS"/>
          <w:szCs w:val="24"/>
        </w:rPr>
        <w:t xml:space="preserve"> existentes</w:t>
      </w:r>
      <w:r w:rsidR="0004032D" w:rsidRPr="002946A9">
        <w:rPr>
          <w:rFonts w:ascii="Trebuchet MS" w:hAnsi="Trebuchet MS"/>
          <w:szCs w:val="24"/>
        </w:rPr>
        <w:t xml:space="preserve"> </w:t>
      </w:r>
      <w:r w:rsidR="00ED2F72" w:rsidRPr="002946A9">
        <w:rPr>
          <w:rFonts w:ascii="Trebuchet MS" w:hAnsi="Trebuchet MS"/>
          <w:szCs w:val="24"/>
        </w:rPr>
        <w:t xml:space="preserve">a </w:t>
      </w:r>
      <w:r w:rsidR="0069203A" w:rsidRPr="002946A9">
        <w:rPr>
          <w:rFonts w:ascii="Trebuchet MS" w:hAnsi="Trebuchet MS"/>
          <w:szCs w:val="24"/>
        </w:rPr>
        <w:t>un día antes de la</w:t>
      </w:r>
      <w:r w:rsidR="0004032D" w:rsidRPr="002946A9">
        <w:rPr>
          <w:rFonts w:ascii="Trebuchet MS" w:hAnsi="Trebuchet MS"/>
          <w:szCs w:val="24"/>
        </w:rPr>
        <w:t xml:space="preserve"> </w:t>
      </w:r>
      <w:r w:rsidR="00452613" w:rsidRPr="002946A9">
        <w:rPr>
          <w:rFonts w:ascii="Trebuchet MS" w:hAnsi="Trebuchet MS"/>
          <w:szCs w:val="24"/>
        </w:rPr>
        <w:t>fecha en que comienza</w:t>
      </w:r>
      <w:r w:rsidR="001C6E8B" w:rsidRPr="002946A9">
        <w:rPr>
          <w:rFonts w:ascii="Trebuchet MS" w:hAnsi="Trebuchet MS"/>
          <w:szCs w:val="24"/>
        </w:rPr>
        <w:t xml:space="preserve"> </w:t>
      </w:r>
      <w:r w:rsidR="00BC71EF" w:rsidRPr="002946A9">
        <w:rPr>
          <w:rFonts w:ascii="Trebuchet MS" w:hAnsi="Trebuchet MS"/>
          <w:szCs w:val="24"/>
        </w:rPr>
        <w:t xml:space="preserve">a regir </w:t>
      </w:r>
      <w:r w:rsidR="001C6E8B" w:rsidRPr="002946A9">
        <w:rPr>
          <w:rFonts w:ascii="Trebuchet MS" w:hAnsi="Trebuchet MS"/>
          <w:szCs w:val="24"/>
        </w:rPr>
        <w:t>el nuevo periodo tarifario dado por esta resolución</w:t>
      </w:r>
      <w:r w:rsidR="003058D5" w:rsidRPr="002946A9">
        <w:rPr>
          <w:rFonts w:ascii="Trebuchet MS" w:hAnsi="Trebuchet MS"/>
          <w:szCs w:val="24"/>
        </w:rPr>
        <w:t xml:space="preserve"> (</w:t>
      </w:r>
      <w:r w:rsidR="00B35E82" w:rsidRPr="002946A9">
        <w:rPr>
          <w:rFonts w:ascii="Trebuchet MS" w:hAnsi="Trebuchet MS"/>
          <w:szCs w:val="24"/>
        </w:rPr>
        <w:t xml:space="preserve">periodo </w:t>
      </w:r>
      <w:r w:rsidR="003058D5" w:rsidRPr="002946A9">
        <w:rPr>
          <w:rFonts w:ascii="Trebuchet MS" w:hAnsi="Trebuchet MS"/>
          <w:szCs w:val="24"/>
        </w:rPr>
        <w:t>2019 – 2023)</w:t>
      </w:r>
      <w:r w:rsidR="0048640E" w:rsidRPr="002946A9">
        <w:rPr>
          <w:rFonts w:ascii="Trebuchet MS" w:hAnsi="Trebuchet MS"/>
          <w:szCs w:val="24"/>
        </w:rPr>
        <w:t xml:space="preserve"> y </w:t>
      </w:r>
      <w:r w:rsidR="0080341C" w:rsidRPr="002946A9">
        <w:rPr>
          <w:rFonts w:ascii="Trebuchet MS" w:hAnsi="Trebuchet MS"/>
          <w:szCs w:val="24"/>
        </w:rPr>
        <w:t>un plan de inversiones</w:t>
      </w:r>
      <w:r w:rsidR="00BC71EF" w:rsidRPr="002946A9">
        <w:rPr>
          <w:rFonts w:ascii="Trebuchet MS" w:hAnsi="Trebuchet MS"/>
          <w:szCs w:val="24"/>
        </w:rPr>
        <w:t xml:space="preserve"> </w:t>
      </w:r>
      <w:r w:rsidR="002C575E" w:rsidRPr="002946A9">
        <w:rPr>
          <w:rFonts w:ascii="Trebuchet MS" w:hAnsi="Trebuchet MS"/>
          <w:szCs w:val="24"/>
        </w:rPr>
        <w:t xml:space="preserve">en el que se comprometen </w:t>
      </w:r>
      <w:r w:rsidR="00D8163A" w:rsidRPr="002946A9">
        <w:rPr>
          <w:rFonts w:ascii="Trebuchet MS" w:hAnsi="Trebuchet MS"/>
          <w:szCs w:val="24"/>
        </w:rPr>
        <w:t xml:space="preserve">a </w:t>
      </w:r>
      <w:r w:rsidR="00B6149C" w:rsidRPr="002946A9">
        <w:rPr>
          <w:rFonts w:ascii="Trebuchet MS" w:hAnsi="Trebuchet MS"/>
          <w:szCs w:val="24"/>
        </w:rPr>
        <w:t xml:space="preserve">ejecutar inversiones anuales </w:t>
      </w:r>
      <w:r w:rsidR="007D5117" w:rsidRPr="002946A9">
        <w:rPr>
          <w:rFonts w:ascii="Trebuchet MS" w:hAnsi="Trebuchet MS"/>
          <w:szCs w:val="24"/>
        </w:rPr>
        <w:t xml:space="preserve">en activos </w:t>
      </w:r>
      <w:r w:rsidR="00B6149C" w:rsidRPr="002946A9">
        <w:rPr>
          <w:rFonts w:ascii="Trebuchet MS" w:hAnsi="Trebuchet MS"/>
          <w:szCs w:val="24"/>
        </w:rPr>
        <w:t>durante los 5 años del periodo tarifario.</w:t>
      </w:r>
      <w:r w:rsidR="007D5117" w:rsidRPr="002946A9">
        <w:rPr>
          <w:rFonts w:ascii="Trebuchet MS" w:hAnsi="Trebuchet MS"/>
          <w:szCs w:val="24"/>
        </w:rPr>
        <w:t xml:space="preserve"> Lo anterior</w:t>
      </w:r>
      <w:r w:rsidR="005E1F39" w:rsidRPr="002946A9">
        <w:rPr>
          <w:rFonts w:ascii="Trebuchet MS" w:hAnsi="Trebuchet MS"/>
          <w:szCs w:val="24"/>
        </w:rPr>
        <w:t>,</w:t>
      </w:r>
      <w:r w:rsidR="00542129" w:rsidRPr="002946A9">
        <w:rPr>
          <w:rFonts w:ascii="Trebuchet MS" w:hAnsi="Trebuchet MS"/>
          <w:szCs w:val="24"/>
        </w:rPr>
        <w:t xml:space="preserve"> valorado mediante unidades constructivas definidas por la CREG</w:t>
      </w:r>
      <w:r w:rsidR="008830F9" w:rsidRPr="002946A9">
        <w:rPr>
          <w:rFonts w:ascii="Trebuchet MS" w:hAnsi="Trebuchet MS"/>
          <w:szCs w:val="24"/>
        </w:rPr>
        <w:t xml:space="preserve"> en los capítulos 15 y 14</w:t>
      </w:r>
      <w:r w:rsidR="00E06114" w:rsidRPr="002946A9">
        <w:rPr>
          <w:rFonts w:ascii="Trebuchet MS" w:hAnsi="Trebuchet MS"/>
          <w:szCs w:val="24"/>
        </w:rPr>
        <w:t xml:space="preserve"> respectivamente</w:t>
      </w:r>
      <w:r w:rsidR="00F15761" w:rsidRPr="002946A9">
        <w:rPr>
          <w:rFonts w:ascii="Trebuchet MS" w:hAnsi="Trebuchet MS"/>
          <w:szCs w:val="24"/>
        </w:rPr>
        <w:t>,</w:t>
      </w:r>
      <w:r w:rsidR="008830F9" w:rsidRPr="002946A9">
        <w:rPr>
          <w:rFonts w:ascii="Trebuchet MS" w:hAnsi="Trebuchet MS"/>
          <w:szCs w:val="24"/>
        </w:rPr>
        <w:t xml:space="preserve"> de dicha resolución</w:t>
      </w:r>
      <w:r w:rsidR="00542129" w:rsidRPr="002946A9">
        <w:rPr>
          <w:rFonts w:ascii="Trebuchet MS" w:hAnsi="Trebuchet MS"/>
          <w:szCs w:val="24"/>
        </w:rPr>
        <w:t>.</w:t>
      </w:r>
    </w:p>
    <w:p w14:paraId="611A230C" w14:textId="627DC425" w:rsidR="003D48F6" w:rsidRPr="002946A9" w:rsidRDefault="00364EDD" w:rsidP="00DF29CB">
      <w:pPr>
        <w:ind w:left="360"/>
        <w:jc w:val="both"/>
        <w:rPr>
          <w:rFonts w:ascii="Trebuchet MS" w:hAnsi="Trebuchet MS"/>
          <w:szCs w:val="24"/>
        </w:rPr>
      </w:pPr>
      <w:r w:rsidRPr="002946A9">
        <w:rPr>
          <w:rFonts w:ascii="Trebuchet MS" w:hAnsi="Trebuchet MS"/>
          <w:szCs w:val="24"/>
        </w:rPr>
        <w:t xml:space="preserve">Acorde con </w:t>
      </w:r>
      <w:r w:rsidR="003D48F6" w:rsidRPr="002946A9">
        <w:rPr>
          <w:rFonts w:ascii="Trebuchet MS" w:hAnsi="Trebuchet MS"/>
          <w:szCs w:val="24"/>
        </w:rPr>
        <w:t xml:space="preserve">el numeral 6.5 de la Resolución CREG 015 del 2018, </w:t>
      </w:r>
      <w:r w:rsidR="00535F1D" w:rsidRPr="002946A9">
        <w:rPr>
          <w:rFonts w:ascii="Trebuchet MS" w:hAnsi="Trebuchet MS"/>
          <w:szCs w:val="24"/>
        </w:rPr>
        <w:t>cada operador de red debe hace</w:t>
      </w:r>
      <w:r w:rsidR="00FB2DBF" w:rsidRPr="002946A9">
        <w:rPr>
          <w:rFonts w:ascii="Trebuchet MS" w:hAnsi="Trebuchet MS"/>
          <w:szCs w:val="24"/>
        </w:rPr>
        <w:t>r seguimiento anual a</w:t>
      </w:r>
      <w:r w:rsidR="00C3756E" w:rsidRPr="002946A9">
        <w:rPr>
          <w:rFonts w:ascii="Trebuchet MS" w:hAnsi="Trebuchet MS"/>
          <w:szCs w:val="24"/>
        </w:rPr>
        <w:t xml:space="preserve"> </w:t>
      </w:r>
      <w:r w:rsidR="00FB2DBF" w:rsidRPr="002946A9">
        <w:rPr>
          <w:rFonts w:ascii="Trebuchet MS" w:hAnsi="Trebuchet MS"/>
          <w:szCs w:val="24"/>
        </w:rPr>
        <w:t>l</w:t>
      </w:r>
      <w:r w:rsidR="00C3756E" w:rsidRPr="002946A9">
        <w:rPr>
          <w:rFonts w:ascii="Trebuchet MS" w:hAnsi="Trebuchet MS"/>
          <w:szCs w:val="24"/>
        </w:rPr>
        <w:t xml:space="preserve">a ejecución del </w:t>
      </w:r>
      <w:r w:rsidR="00FB2DBF" w:rsidRPr="002946A9">
        <w:rPr>
          <w:rFonts w:ascii="Trebuchet MS" w:hAnsi="Trebuchet MS"/>
          <w:szCs w:val="24"/>
        </w:rPr>
        <w:t xml:space="preserve">plan de inversión </w:t>
      </w:r>
      <w:r w:rsidR="00535F1D" w:rsidRPr="002946A9">
        <w:rPr>
          <w:rFonts w:ascii="Trebuchet MS" w:hAnsi="Trebuchet MS"/>
          <w:szCs w:val="24"/>
        </w:rPr>
        <w:t xml:space="preserve">que le fue </w:t>
      </w:r>
      <w:r w:rsidR="00FB2DBF" w:rsidRPr="002946A9">
        <w:rPr>
          <w:rFonts w:ascii="Trebuchet MS" w:hAnsi="Trebuchet MS"/>
          <w:szCs w:val="24"/>
        </w:rPr>
        <w:t>aprobado</w:t>
      </w:r>
      <w:r w:rsidR="00166300" w:rsidRPr="002946A9">
        <w:rPr>
          <w:rFonts w:ascii="Trebuchet MS" w:hAnsi="Trebuchet MS"/>
          <w:szCs w:val="24"/>
        </w:rPr>
        <w:t xml:space="preserve">, y </w:t>
      </w:r>
      <w:r w:rsidR="000E35BD" w:rsidRPr="002946A9">
        <w:rPr>
          <w:rFonts w:ascii="Trebuchet MS" w:hAnsi="Trebuchet MS"/>
          <w:szCs w:val="24"/>
        </w:rPr>
        <w:t>presentar un informe</w:t>
      </w:r>
      <w:r w:rsidR="00DC77F2" w:rsidRPr="002946A9">
        <w:rPr>
          <w:rFonts w:ascii="Trebuchet MS" w:hAnsi="Trebuchet MS"/>
          <w:szCs w:val="24"/>
        </w:rPr>
        <w:t xml:space="preserve"> </w:t>
      </w:r>
      <w:r w:rsidR="002441F6" w:rsidRPr="002946A9">
        <w:rPr>
          <w:rFonts w:ascii="Trebuchet MS" w:hAnsi="Trebuchet MS"/>
          <w:szCs w:val="24"/>
        </w:rPr>
        <w:t xml:space="preserve">acorde </w:t>
      </w:r>
      <w:r w:rsidR="00C11C6F" w:rsidRPr="002946A9">
        <w:rPr>
          <w:rFonts w:ascii="Trebuchet MS" w:hAnsi="Trebuchet MS"/>
          <w:szCs w:val="24"/>
        </w:rPr>
        <w:t xml:space="preserve">con </w:t>
      </w:r>
      <w:r w:rsidR="002441F6" w:rsidRPr="002946A9">
        <w:rPr>
          <w:rFonts w:ascii="Trebuchet MS" w:hAnsi="Trebuchet MS"/>
          <w:szCs w:val="24"/>
        </w:rPr>
        <w:t xml:space="preserve">los </w:t>
      </w:r>
      <w:r w:rsidR="0033773D" w:rsidRPr="002946A9">
        <w:rPr>
          <w:rFonts w:ascii="Trebuchet MS" w:hAnsi="Trebuchet MS"/>
          <w:szCs w:val="24"/>
        </w:rPr>
        <w:t xml:space="preserve">formatos y contenido mínimo que la </w:t>
      </w:r>
      <w:r w:rsidR="00017A5C" w:rsidRPr="002946A9">
        <w:rPr>
          <w:rFonts w:ascii="Trebuchet MS" w:hAnsi="Trebuchet MS"/>
          <w:szCs w:val="24"/>
        </w:rPr>
        <w:t xml:space="preserve">CREG publique en circular aparte. </w:t>
      </w:r>
      <w:r w:rsidR="00156099" w:rsidRPr="002946A9">
        <w:rPr>
          <w:rFonts w:ascii="Trebuchet MS" w:hAnsi="Trebuchet MS"/>
          <w:szCs w:val="24"/>
        </w:rPr>
        <w:t>Para lo anterior, la CREG publicó las Circulares 024 y 047 del 2020</w:t>
      </w:r>
      <w:r w:rsidR="00840669" w:rsidRPr="002946A9">
        <w:rPr>
          <w:rFonts w:ascii="Trebuchet MS" w:hAnsi="Trebuchet MS"/>
          <w:szCs w:val="24"/>
        </w:rPr>
        <w:t>, en donde se definen dichas pautas</w:t>
      </w:r>
      <w:r w:rsidR="00156099" w:rsidRPr="002946A9">
        <w:rPr>
          <w:rFonts w:ascii="Trebuchet MS" w:hAnsi="Trebuchet MS"/>
          <w:szCs w:val="24"/>
        </w:rPr>
        <w:t>.</w:t>
      </w:r>
    </w:p>
    <w:p w14:paraId="78C2920C" w14:textId="00B28B0F" w:rsidR="00C734C8" w:rsidRPr="002946A9" w:rsidRDefault="00FA3805" w:rsidP="00DF29CB">
      <w:pPr>
        <w:ind w:left="360"/>
        <w:jc w:val="both"/>
        <w:rPr>
          <w:rFonts w:ascii="Trebuchet MS" w:hAnsi="Trebuchet MS"/>
          <w:szCs w:val="24"/>
        </w:rPr>
      </w:pPr>
      <w:r w:rsidRPr="002946A9">
        <w:rPr>
          <w:rFonts w:ascii="Trebuchet MS" w:hAnsi="Trebuchet MS"/>
          <w:szCs w:val="24"/>
        </w:rPr>
        <w:t>En cumplimiento de las disposiciones ante</w:t>
      </w:r>
      <w:r w:rsidR="000411A2" w:rsidRPr="002946A9">
        <w:rPr>
          <w:rFonts w:ascii="Trebuchet MS" w:hAnsi="Trebuchet MS"/>
          <w:szCs w:val="24"/>
        </w:rPr>
        <w:t>s mencionadas</w:t>
      </w:r>
      <w:r w:rsidRPr="002946A9">
        <w:rPr>
          <w:rFonts w:ascii="Trebuchet MS" w:hAnsi="Trebuchet MS"/>
          <w:szCs w:val="24"/>
        </w:rPr>
        <w:t>, en este</w:t>
      </w:r>
      <w:r w:rsidR="00D3391D" w:rsidRPr="002946A9">
        <w:rPr>
          <w:rFonts w:ascii="Trebuchet MS" w:hAnsi="Trebuchet MS"/>
          <w:szCs w:val="24"/>
        </w:rPr>
        <w:t xml:space="preserve"> documento se presenta el </w:t>
      </w:r>
      <w:r w:rsidRPr="002946A9">
        <w:rPr>
          <w:rFonts w:ascii="Trebuchet MS" w:hAnsi="Trebuchet MS"/>
          <w:szCs w:val="24"/>
        </w:rPr>
        <w:t xml:space="preserve">informe </w:t>
      </w:r>
      <w:r w:rsidR="00D3391D" w:rsidRPr="002946A9">
        <w:rPr>
          <w:rFonts w:ascii="Trebuchet MS" w:hAnsi="Trebuchet MS"/>
          <w:szCs w:val="24"/>
        </w:rPr>
        <w:t>de seguimiento a la ejecución del plan 20</w:t>
      </w:r>
      <w:r w:rsidR="00D37C2C" w:rsidRPr="002946A9">
        <w:rPr>
          <w:rFonts w:ascii="Trebuchet MS" w:hAnsi="Trebuchet MS"/>
          <w:szCs w:val="24"/>
        </w:rPr>
        <w:t>2</w:t>
      </w:r>
      <w:r w:rsidR="00BA6BDE" w:rsidRPr="002946A9">
        <w:rPr>
          <w:rFonts w:ascii="Trebuchet MS" w:hAnsi="Trebuchet MS"/>
          <w:szCs w:val="24"/>
        </w:rPr>
        <w:t>0</w:t>
      </w:r>
      <w:r w:rsidR="00B52BD3" w:rsidRPr="002946A9">
        <w:rPr>
          <w:rFonts w:ascii="Trebuchet MS" w:hAnsi="Trebuchet MS"/>
          <w:szCs w:val="24"/>
        </w:rPr>
        <w:t xml:space="preserve"> </w:t>
      </w:r>
      <w:r w:rsidR="00D3391D" w:rsidRPr="002946A9">
        <w:rPr>
          <w:rFonts w:ascii="Trebuchet MS" w:hAnsi="Trebuchet MS"/>
          <w:szCs w:val="24"/>
        </w:rPr>
        <w:t>–</w:t>
      </w:r>
      <w:r w:rsidR="00B52BD3" w:rsidRPr="002946A9">
        <w:rPr>
          <w:rFonts w:ascii="Trebuchet MS" w:hAnsi="Trebuchet MS"/>
          <w:szCs w:val="24"/>
        </w:rPr>
        <w:t xml:space="preserve"> </w:t>
      </w:r>
      <w:r w:rsidR="00D3391D" w:rsidRPr="002946A9">
        <w:rPr>
          <w:rFonts w:ascii="Trebuchet MS" w:hAnsi="Trebuchet MS"/>
          <w:szCs w:val="24"/>
        </w:rPr>
        <w:t>202</w:t>
      </w:r>
      <w:r w:rsidR="00D37C2C" w:rsidRPr="002946A9">
        <w:rPr>
          <w:rFonts w:ascii="Trebuchet MS" w:hAnsi="Trebuchet MS"/>
          <w:szCs w:val="24"/>
        </w:rPr>
        <w:t>5</w:t>
      </w:r>
      <w:r w:rsidR="00D3391D" w:rsidRPr="002946A9">
        <w:rPr>
          <w:rFonts w:ascii="Trebuchet MS" w:hAnsi="Trebuchet MS"/>
          <w:szCs w:val="24"/>
        </w:rPr>
        <w:t xml:space="preserve"> que le fue aprobado a EPM </w:t>
      </w:r>
      <w:r w:rsidR="00D37C2C" w:rsidRPr="002946A9">
        <w:rPr>
          <w:rFonts w:ascii="Trebuchet MS" w:hAnsi="Trebuchet MS"/>
          <w:szCs w:val="24"/>
        </w:rPr>
        <w:t>como ajuste al plan 2019</w:t>
      </w:r>
      <w:r w:rsidR="00B52BD3" w:rsidRPr="002946A9">
        <w:rPr>
          <w:rFonts w:ascii="Trebuchet MS" w:hAnsi="Trebuchet MS"/>
          <w:szCs w:val="24"/>
        </w:rPr>
        <w:t xml:space="preserve"> </w:t>
      </w:r>
      <w:r w:rsidR="00D37C2C" w:rsidRPr="002946A9">
        <w:rPr>
          <w:rFonts w:ascii="Trebuchet MS" w:hAnsi="Trebuchet MS"/>
          <w:szCs w:val="24"/>
        </w:rPr>
        <w:t>–</w:t>
      </w:r>
      <w:r w:rsidR="00B52BD3" w:rsidRPr="002946A9">
        <w:rPr>
          <w:rFonts w:ascii="Trebuchet MS" w:hAnsi="Trebuchet MS"/>
          <w:szCs w:val="24"/>
        </w:rPr>
        <w:t xml:space="preserve"> </w:t>
      </w:r>
      <w:r w:rsidR="00D37C2C" w:rsidRPr="002946A9">
        <w:rPr>
          <w:rFonts w:ascii="Trebuchet MS" w:hAnsi="Trebuchet MS"/>
          <w:szCs w:val="24"/>
        </w:rPr>
        <w:t>2023</w:t>
      </w:r>
      <w:r w:rsidR="00B52BD3" w:rsidRPr="002946A9">
        <w:rPr>
          <w:rFonts w:ascii="Trebuchet MS" w:hAnsi="Trebuchet MS"/>
          <w:szCs w:val="24"/>
        </w:rPr>
        <w:t xml:space="preserve"> </w:t>
      </w:r>
      <w:r w:rsidR="00D37C2C" w:rsidRPr="002946A9">
        <w:rPr>
          <w:rFonts w:ascii="Trebuchet MS" w:hAnsi="Trebuchet MS"/>
          <w:szCs w:val="24"/>
        </w:rPr>
        <w:t>aprobado inicialmente en la so</w:t>
      </w:r>
      <w:r w:rsidR="00D3391D" w:rsidRPr="002946A9">
        <w:rPr>
          <w:rFonts w:ascii="Trebuchet MS" w:hAnsi="Trebuchet MS"/>
          <w:szCs w:val="24"/>
        </w:rPr>
        <w:t>licitud de aprobación de ingresos</w:t>
      </w:r>
      <w:r w:rsidR="002D70EE" w:rsidRPr="002946A9">
        <w:rPr>
          <w:rFonts w:ascii="Trebuchet MS" w:hAnsi="Trebuchet MS"/>
          <w:szCs w:val="24"/>
        </w:rPr>
        <w:t xml:space="preserve">. El seguimiento se hace para el </w:t>
      </w:r>
      <w:r w:rsidR="00C55E6C">
        <w:rPr>
          <w:rFonts w:ascii="Trebuchet MS" w:hAnsi="Trebuchet MS"/>
          <w:szCs w:val="24"/>
        </w:rPr>
        <w:t>cuarto</w:t>
      </w:r>
      <w:r w:rsidR="006B36C7" w:rsidRPr="002946A9">
        <w:rPr>
          <w:rFonts w:ascii="Trebuchet MS" w:hAnsi="Trebuchet MS"/>
          <w:szCs w:val="24"/>
        </w:rPr>
        <w:t xml:space="preserve"> </w:t>
      </w:r>
      <w:r w:rsidR="002D70EE" w:rsidRPr="002946A9">
        <w:rPr>
          <w:rFonts w:ascii="Trebuchet MS" w:hAnsi="Trebuchet MS"/>
          <w:szCs w:val="24"/>
        </w:rPr>
        <w:t xml:space="preserve">año del periodo tarifario (año </w:t>
      </w:r>
      <w:r w:rsidR="006B36C7" w:rsidRPr="002946A9">
        <w:rPr>
          <w:rFonts w:ascii="Trebuchet MS" w:hAnsi="Trebuchet MS"/>
          <w:szCs w:val="24"/>
        </w:rPr>
        <w:t>202</w:t>
      </w:r>
      <w:r w:rsidR="006B36C7">
        <w:rPr>
          <w:rFonts w:ascii="Trebuchet MS" w:hAnsi="Trebuchet MS"/>
          <w:szCs w:val="24"/>
        </w:rPr>
        <w:t>2</w:t>
      </w:r>
      <w:r w:rsidR="002D70EE" w:rsidRPr="002946A9">
        <w:rPr>
          <w:rFonts w:ascii="Trebuchet MS" w:hAnsi="Trebuchet MS"/>
          <w:szCs w:val="24"/>
        </w:rPr>
        <w:t>)</w:t>
      </w:r>
      <w:r w:rsidR="00873D4D" w:rsidRPr="002946A9">
        <w:rPr>
          <w:rFonts w:ascii="Trebuchet MS" w:hAnsi="Trebuchet MS"/>
          <w:szCs w:val="24"/>
        </w:rPr>
        <w:t xml:space="preserve"> acorde con lo</w:t>
      </w:r>
      <w:r w:rsidR="005B33A3" w:rsidRPr="002946A9">
        <w:rPr>
          <w:rFonts w:ascii="Trebuchet MS" w:hAnsi="Trebuchet MS"/>
          <w:szCs w:val="24"/>
        </w:rPr>
        <w:t>s formatos y contenido mínimo definid</w:t>
      </w:r>
      <w:r w:rsidR="00521174" w:rsidRPr="002946A9">
        <w:rPr>
          <w:rFonts w:ascii="Trebuchet MS" w:hAnsi="Trebuchet MS"/>
          <w:szCs w:val="24"/>
        </w:rPr>
        <w:t>os en dichas circulares.</w:t>
      </w:r>
    </w:p>
    <w:p w14:paraId="16F3445E" w14:textId="2860D861" w:rsidR="00FA3805" w:rsidRPr="002946A9" w:rsidRDefault="007E5271" w:rsidP="00DF29CB">
      <w:pPr>
        <w:ind w:left="360"/>
        <w:jc w:val="both"/>
        <w:rPr>
          <w:rFonts w:ascii="Trebuchet MS" w:hAnsi="Trebuchet MS"/>
          <w:szCs w:val="24"/>
        </w:rPr>
      </w:pPr>
      <w:r w:rsidRPr="002946A9">
        <w:rPr>
          <w:rFonts w:ascii="Trebuchet MS" w:hAnsi="Trebuchet MS"/>
          <w:szCs w:val="24"/>
        </w:rPr>
        <w:t xml:space="preserve">El documento se </w:t>
      </w:r>
      <w:r w:rsidR="00F051D0" w:rsidRPr="002946A9">
        <w:rPr>
          <w:rFonts w:ascii="Trebuchet MS" w:hAnsi="Trebuchet MS"/>
          <w:szCs w:val="24"/>
        </w:rPr>
        <w:t xml:space="preserve">encuentra estructurado en </w:t>
      </w:r>
      <w:r w:rsidR="005542FC" w:rsidRPr="002946A9">
        <w:rPr>
          <w:rFonts w:ascii="Trebuchet MS" w:hAnsi="Trebuchet MS"/>
          <w:szCs w:val="24"/>
        </w:rPr>
        <w:t>5 numerales a saber:</w:t>
      </w:r>
      <w:r w:rsidR="00B260E5" w:rsidRPr="002946A9">
        <w:rPr>
          <w:rFonts w:ascii="Trebuchet MS" w:hAnsi="Trebuchet MS"/>
          <w:szCs w:val="24"/>
        </w:rPr>
        <w:t xml:space="preserve"> en el numeral 1 se presenta el objetivo, alcance y definiciones relevantes a considerar para la lectura del documento</w:t>
      </w:r>
      <w:r w:rsidR="00BD2678" w:rsidRPr="002946A9">
        <w:rPr>
          <w:rFonts w:ascii="Trebuchet MS" w:hAnsi="Trebuchet MS"/>
          <w:szCs w:val="24"/>
        </w:rPr>
        <w:t>; en el numeral</w:t>
      </w:r>
      <w:r w:rsidR="00880A9A" w:rsidRPr="002946A9">
        <w:rPr>
          <w:rFonts w:ascii="Trebuchet MS" w:hAnsi="Trebuchet MS"/>
          <w:szCs w:val="24"/>
        </w:rPr>
        <w:t xml:space="preserve"> </w:t>
      </w:r>
      <w:r w:rsidR="00880A9A" w:rsidRPr="002946A9">
        <w:rPr>
          <w:rFonts w:ascii="Trebuchet MS" w:hAnsi="Trebuchet MS"/>
          <w:szCs w:val="24"/>
        </w:rPr>
        <w:fldChar w:fldCharType="begin"/>
      </w:r>
      <w:r w:rsidR="00880A9A" w:rsidRPr="002946A9">
        <w:rPr>
          <w:rFonts w:ascii="Trebuchet MS" w:hAnsi="Trebuchet MS"/>
          <w:szCs w:val="24"/>
        </w:rPr>
        <w:instrText xml:space="preserve"> REF _Ref67652352 \r \h </w:instrText>
      </w:r>
      <w:r w:rsidR="00DF29CB" w:rsidRPr="002946A9">
        <w:rPr>
          <w:rFonts w:ascii="Trebuchet MS" w:hAnsi="Trebuchet MS"/>
          <w:szCs w:val="24"/>
        </w:rPr>
        <w:instrText xml:space="preserve"> \* MERGEFORMAT </w:instrText>
      </w:r>
      <w:r w:rsidR="00880A9A" w:rsidRPr="002946A9">
        <w:rPr>
          <w:rFonts w:ascii="Trebuchet MS" w:hAnsi="Trebuchet MS"/>
          <w:szCs w:val="24"/>
        </w:rPr>
      </w:r>
      <w:r w:rsidR="00880A9A" w:rsidRPr="002946A9">
        <w:rPr>
          <w:rFonts w:ascii="Trebuchet MS" w:hAnsi="Trebuchet MS"/>
          <w:szCs w:val="24"/>
        </w:rPr>
        <w:fldChar w:fldCharType="separate"/>
      </w:r>
      <w:r w:rsidR="00C944CB">
        <w:rPr>
          <w:rFonts w:ascii="Trebuchet MS" w:hAnsi="Trebuchet MS"/>
          <w:szCs w:val="24"/>
        </w:rPr>
        <w:t>2</w:t>
      </w:r>
      <w:r w:rsidR="00880A9A" w:rsidRPr="002946A9">
        <w:rPr>
          <w:rFonts w:ascii="Trebuchet MS" w:hAnsi="Trebuchet MS"/>
          <w:szCs w:val="24"/>
        </w:rPr>
        <w:fldChar w:fldCharType="end"/>
      </w:r>
      <w:r w:rsidR="00880A9A" w:rsidRPr="002946A9">
        <w:rPr>
          <w:rFonts w:ascii="Trebuchet MS" w:hAnsi="Trebuchet MS"/>
          <w:szCs w:val="24"/>
        </w:rPr>
        <w:t xml:space="preserve"> </w:t>
      </w:r>
      <w:r w:rsidR="00F1281C" w:rsidRPr="002946A9">
        <w:rPr>
          <w:rFonts w:ascii="Trebuchet MS" w:hAnsi="Trebuchet MS"/>
          <w:szCs w:val="24"/>
        </w:rPr>
        <w:t>se resume</w:t>
      </w:r>
      <w:r w:rsidR="00B43061" w:rsidRPr="002946A9">
        <w:rPr>
          <w:rFonts w:ascii="Trebuchet MS" w:hAnsi="Trebuchet MS"/>
          <w:szCs w:val="24"/>
        </w:rPr>
        <w:t xml:space="preserve">n </w:t>
      </w:r>
      <w:r w:rsidR="00F1281C" w:rsidRPr="002946A9">
        <w:rPr>
          <w:rFonts w:ascii="Trebuchet MS" w:hAnsi="Trebuchet MS"/>
          <w:szCs w:val="24"/>
        </w:rPr>
        <w:t>l</w:t>
      </w:r>
      <w:r w:rsidR="00A766C6" w:rsidRPr="002946A9">
        <w:rPr>
          <w:rFonts w:ascii="Trebuchet MS" w:hAnsi="Trebuchet MS"/>
          <w:szCs w:val="24"/>
        </w:rPr>
        <w:t xml:space="preserve">os beneficios que esperan </w:t>
      </w:r>
      <w:r w:rsidR="00B43061" w:rsidRPr="002946A9">
        <w:rPr>
          <w:rFonts w:ascii="Trebuchet MS" w:hAnsi="Trebuchet MS"/>
          <w:szCs w:val="24"/>
        </w:rPr>
        <w:t xml:space="preserve">obtener </w:t>
      </w:r>
      <w:r w:rsidR="00A766C6" w:rsidRPr="002946A9">
        <w:rPr>
          <w:rFonts w:ascii="Trebuchet MS" w:hAnsi="Trebuchet MS"/>
          <w:szCs w:val="24"/>
        </w:rPr>
        <w:t>los usuarios</w:t>
      </w:r>
      <w:r w:rsidR="00670A8B" w:rsidRPr="002946A9">
        <w:rPr>
          <w:rFonts w:ascii="Trebuchet MS" w:hAnsi="Trebuchet MS"/>
          <w:szCs w:val="24"/>
        </w:rPr>
        <w:t xml:space="preserve"> con </w:t>
      </w:r>
      <w:r w:rsidR="0021154E" w:rsidRPr="002946A9">
        <w:rPr>
          <w:rFonts w:ascii="Trebuchet MS" w:hAnsi="Trebuchet MS"/>
          <w:szCs w:val="24"/>
        </w:rPr>
        <w:t>la ejecución del plan</w:t>
      </w:r>
      <w:r w:rsidR="00A3134F" w:rsidRPr="002946A9">
        <w:rPr>
          <w:rFonts w:ascii="Trebuchet MS" w:hAnsi="Trebuchet MS"/>
          <w:szCs w:val="24"/>
        </w:rPr>
        <w:t xml:space="preserve">, </w:t>
      </w:r>
      <w:r w:rsidR="005B3162" w:rsidRPr="002946A9">
        <w:rPr>
          <w:rFonts w:ascii="Trebuchet MS" w:hAnsi="Trebuchet MS"/>
          <w:szCs w:val="24"/>
        </w:rPr>
        <w:t xml:space="preserve">cómo está conformado el sistema de EPM a diciembre del año </w:t>
      </w:r>
      <w:r w:rsidR="006B36C7" w:rsidRPr="002946A9">
        <w:rPr>
          <w:rFonts w:ascii="Trebuchet MS" w:hAnsi="Trebuchet MS"/>
          <w:szCs w:val="24"/>
        </w:rPr>
        <w:t>202</w:t>
      </w:r>
      <w:r w:rsidR="006B36C7">
        <w:rPr>
          <w:rFonts w:ascii="Trebuchet MS" w:hAnsi="Trebuchet MS"/>
          <w:szCs w:val="24"/>
        </w:rPr>
        <w:t>2</w:t>
      </w:r>
      <w:r w:rsidR="006B36C7" w:rsidRPr="002946A9">
        <w:rPr>
          <w:rFonts w:ascii="Trebuchet MS" w:hAnsi="Trebuchet MS"/>
          <w:szCs w:val="24"/>
        </w:rPr>
        <w:t xml:space="preserve"> </w:t>
      </w:r>
      <w:r w:rsidR="0021154E" w:rsidRPr="002946A9">
        <w:rPr>
          <w:rFonts w:ascii="Trebuchet MS" w:hAnsi="Trebuchet MS"/>
          <w:szCs w:val="24"/>
        </w:rPr>
        <w:t xml:space="preserve">y </w:t>
      </w:r>
      <w:r w:rsidR="004F1030" w:rsidRPr="002946A9">
        <w:rPr>
          <w:rFonts w:ascii="Trebuchet MS" w:hAnsi="Trebuchet MS"/>
          <w:szCs w:val="24"/>
        </w:rPr>
        <w:t xml:space="preserve">cuáles fueron </w:t>
      </w:r>
      <w:r w:rsidR="0021154E" w:rsidRPr="002946A9">
        <w:rPr>
          <w:rFonts w:ascii="Trebuchet MS" w:hAnsi="Trebuchet MS"/>
          <w:szCs w:val="24"/>
        </w:rPr>
        <w:t xml:space="preserve">las inversiones aprobadas </w:t>
      </w:r>
      <w:r w:rsidR="00BE5D17" w:rsidRPr="002946A9">
        <w:rPr>
          <w:rFonts w:ascii="Trebuchet MS" w:hAnsi="Trebuchet MS"/>
          <w:szCs w:val="24"/>
        </w:rPr>
        <w:t>considerando</w:t>
      </w:r>
      <w:r w:rsidR="0021154E" w:rsidRPr="002946A9">
        <w:rPr>
          <w:rFonts w:ascii="Trebuchet MS" w:hAnsi="Trebuchet MS"/>
          <w:szCs w:val="24"/>
        </w:rPr>
        <w:t xml:space="preserve"> varios niveles de desagregación</w:t>
      </w:r>
      <w:r w:rsidR="006B4AF5" w:rsidRPr="002946A9">
        <w:rPr>
          <w:rFonts w:ascii="Trebuchet MS" w:hAnsi="Trebuchet MS"/>
          <w:szCs w:val="24"/>
        </w:rPr>
        <w:t>,</w:t>
      </w:r>
      <w:r w:rsidR="00530B06" w:rsidRPr="002946A9">
        <w:rPr>
          <w:rFonts w:ascii="Trebuchet MS" w:hAnsi="Trebuchet MS"/>
          <w:szCs w:val="24"/>
        </w:rPr>
        <w:t xml:space="preserve"> así como las metas planteadas para EPM;</w:t>
      </w:r>
      <w:r w:rsidR="00EC31F7" w:rsidRPr="002946A9">
        <w:rPr>
          <w:rFonts w:ascii="Trebuchet MS" w:hAnsi="Trebuchet MS"/>
          <w:szCs w:val="24"/>
        </w:rPr>
        <w:t xml:space="preserve"> en el numeral</w:t>
      </w:r>
      <w:r w:rsidR="00880A9A" w:rsidRPr="002946A9">
        <w:rPr>
          <w:rFonts w:ascii="Trebuchet MS" w:hAnsi="Trebuchet MS"/>
          <w:szCs w:val="24"/>
        </w:rPr>
        <w:t xml:space="preserve"> </w:t>
      </w:r>
      <w:r w:rsidR="00880A9A" w:rsidRPr="002946A9">
        <w:rPr>
          <w:rFonts w:ascii="Trebuchet MS" w:hAnsi="Trebuchet MS"/>
          <w:szCs w:val="24"/>
        </w:rPr>
        <w:fldChar w:fldCharType="begin"/>
      </w:r>
      <w:r w:rsidR="00880A9A" w:rsidRPr="002946A9">
        <w:rPr>
          <w:rFonts w:ascii="Trebuchet MS" w:hAnsi="Trebuchet MS"/>
          <w:szCs w:val="24"/>
        </w:rPr>
        <w:instrText xml:space="preserve"> REF _Ref67652372 \r \h </w:instrText>
      </w:r>
      <w:r w:rsidR="00DF29CB" w:rsidRPr="002946A9">
        <w:rPr>
          <w:rFonts w:ascii="Trebuchet MS" w:hAnsi="Trebuchet MS"/>
          <w:szCs w:val="24"/>
        </w:rPr>
        <w:instrText xml:space="preserve"> \* MERGEFORMAT </w:instrText>
      </w:r>
      <w:r w:rsidR="00880A9A" w:rsidRPr="002946A9">
        <w:rPr>
          <w:rFonts w:ascii="Trebuchet MS" w:hAnsi="Trebuchet MS"/>
          <w:szCs w:val="24"/>
        </w:rPr>
      </w:r>
      <w:r w:rsidR="00880A9A" w:rsidRPr="002946A9">
        <w:rPr>
          <w:rFonts w:ascii="Trebuchet MS" w:hAnsi="Trebuchet MS"/>
          <w:szCs w:val="24"/>
        </w:rPr>
        <w:fldChar w:fldCharType="separate"/>
      </w:r>
      <w:r w:rsidR="00C944CB">
        <w:rPr>
          <w:rFonts w:ascii="Trebuchet MS" w:hAnsi="Trebuchet MS"/>
          <w:szCs w:val="24"/>
        </w:rPr>
        <w:t>3</w:t>
      </w:r>
      <w:r w:rsidR="00880A9A" w:rsidRPr="002946A9">
        <w:rPr>
          <w:rFonts w:ascii="Trebuchet MS" w:hAnsi="Trebuchet MS"/>
          <w:szCs w:val="24"/>
        </w:rPr>
        <w:fldChar w:fldCharType="end"/>
      </w:r>
      <w:r w:rsidR="00880A9A" w:rsidRPr="002946A9">
        <w:rPr>
          <w:rFonts w:ascii="Trebuchet MS" w:hAnsi="Trebuchet MS"/>
          <w:szCs w:val="24"/>
        </w:rPr>
        <w:t xml:space="preserve"> </w:t>
      </w:r>
      <w:r w:rsidR="00EC31F7" w:rsidRPr="002946A9">
        <w:rPr>
          <w:rFonts w:ascii="Trebuchet MS" w:hAnsi="Trebuchet MS"/>
          <w:szCs w:val="24"/>
        </w:rPr>
        <w:t xml:space="preserve">se presenta la ejecución </w:t>
      </w:r>
      <w:r w:rsidR="000B59D7" w:rsidRPr="002946A9">
        <w:rPr>
          <w:rFonts w:ascii="Trebuchet MS" w:hAnsi="Trebuchet MS"/>
          <w:szCs w:val="24"/>
        </w:rPr>
        <w:t xml:space="preserve">hecha en el año </w:t>
      </w:r>
      <w:r w:rsidR="006B36C7" w:rsidRPr="002946A9">
        <w:rPr>
          <w:rFonts w:ascii="Trebuchet MS" w:hAnsi="Trebuchet MS"/>
          <w:szCs w:val="24"/>
        </w:rPr>
        <w:t>202</w:t>
      </w:r>
      <w:r w:rsidR="006B36C7">
        <w:rPr>
          <w:rFonts w:ascii="Trebuchet MS" w:hAnsi="Trebuchet MS"/>
          <w:szCs w:val="24"/>
        </w:rPr>
        <w:t>2</w:t>
      </w:r>
      <w:r w:rsidR="006B36C7" w:rsidRPr="002946A9">
        <w:rPr>
          <w:rFonts w:ascii="Trebuchet MS" w:hAnsi="Trebuchet MS"/>
          <w:szCs w:val="24"/>
        </w:rPr>
        <w:t xml:space="preserve"> </w:t>
      </w:r>
      <w:r w:rsidR="00C71746" w:rsidRPr="002946A9">
        <w:rPr>
          <w:rFonts w:ascii="Trebuchet MS" w:hAnsi="Trebuchet MS"/>
          <w:szCs w:val="24"/>
        </w:rPr>
        <w:t xml:space="preserve">en comparación </w:t>
      </w:r>
      <w:r w:rsidR="000B59D7" w:rsidRPr="002946A9">
        <w:rPr>
          <w:rFonts w:ascii="Trebuchet MS" w:hAnsi="Trebuchet MS"/>
          <w:szCs w:val="24"/>
        </w:rPr>
        <w:t>con l</w:t>
      </w:r>
      <w:r w:rsidR="00C71746" w:rsidRPr="002946A9">
        <w:rPr>
          <w:rFonts w:ascii="Trebuchet MS" w:hAnsi="Trebuchet MS"/>
          <w:szCs w:val="24"/>
        </w:rPr>
        <w:t xml:space="preserve">o </w:t>
      </w:r>
      <w:r w:rsidR="0072415D" w:rsidRPr="002946A9">
        <w:rPr>
          <w:rFonts w:ascii="Trebuchet MS" w:hAnsi="Trebuchet MS"/>
          <w:szCs w:val="24"/>
        </w:rPr>
        <w:t xml:space="preserve">estipulado en el </w:t>
      </w:r>
      <w:r w:rsidR="00C71746" w:rsidRPr="002946A9">
        <w:rPr>
          <w:rFonts w:ascii="Trebuchet MS" w:hAnsi="Trebuchet MS"/>
          <w:szCs w:val="24"/>
        </w:rPr>
        <w:t>plan</w:t>
      </w:r>
      <w:r w:rsidR="00162AA8" w:rsidRPr="002946A9">
        <w:rPr>
          <w:rFonts w:ascii="Trebuchet MS" w:hAnsi="Trebuchet MS"/>
          <w:szCs w:val="24"/>
        </w:rPr>
        <w:t xml:space="preserve"> 202</w:t>
      </w:r>
      <w:r w:rsidR="00BA6BDE" w:rsidRPr="002946A9">
        <w:rPr>
          <w:rFonts w:ascii="Trebuchet MS" w:hAnsi="Trebuchet MS"/>
          <w:szCs w:val="24"/>
        </w:rPr>
        <w:t>0</w:t>
      </w:r>
      <w:r w:rsidR="00162AA8" w:rsidRPr="002946A9">
        <w:rPr>
          <w:rFonts w:ascii="Trebuchet MS" w:hAnsi="Trebuchet MS"/>
          <w:szCs w:val="24"/>
        </w:rPr>
        <w:t xml:space="preserve"> – 2025</w:t>
      </w:r>
      <w:r w:rsidR="0072415D" w:rsidRPr="002946A9">
        <w:rPr>
          <w:rFonts w:ascii="Trebuchet MS" w:hAnsi="Trebuchet MS"/>
          <w:szCs w:val="24"/>
        </w:rPr>
        <w:t>; en el numeral</w:t>
      </w:r>
      <w:r w:rsidR="0071794E" w:rsidRPr="002946A9">
        <w:rPr>
          <w:rFonts w:ascii="Trebuchet MS" w:hAnsi="Trebuchet MS"/>
          <w:szCs w:val="24"/>
        </w:rPr>
        <w:t xml:space="preserve"> </w:t>
      </w:r>
      <w:r w:rsidR="0071794E" w:rsidRPr="002946A9">
        <w:rPr>
          <w:rFonts w:ascii="Trebuchet MS" w:hAnsi="Trebuchet MS"/>
          <w:szCs w:val="24"/>
        </w:rPr>
        <w:fldChar w:fldCharType="begin"/>
      </w:r>
      <w:r w:rsidR="0071794E" w:rsidRPr="002946A9">
        <w:rPr>
          <w:rFonts w:ascii="Trebuchet MS" w:hAnsi="Trebuchet MS"/>
          <w:szCs w:val="24"/>
        </w:rPr>
        <w:instrText xml:space="preserve"> REF _Ref67652394 \r \h </w:instrText>
      </w:r>
      <w:r w:rsidR="00DF29CB" w:rsidRPr="002946A9">
        <w:rPr>
          <w:rFonts w:ascii="Trebuchet MS" w:hAnsi="Trebuchet MS"/>
          <w:szCs w:val="24"/>
        </w:rPr>
        <w:instrText xml:space="preserve"> \* MERGEFORMAT </w:instrText>
      </w:r>
      <w:r w:rsidR="0071794E" w:rsidRPr="002946A9">
        <w:rPr>
          <w:rFonts w:ascii="Trebuchet MS" w:hAnsi="Trebuchet MS"/>
          <w:szCs w:val="24"/>
        </w:rPr>
      </w:r>
      <w:r w:rsidR="0071794E" w:rsidRPr="002946A9">
        <w:rPr>
          <w:rFonts w:ascii="Trebuchet MS" w:hAnsi="Trebuchet MS"/>
          <w:szCs w:val="24"/>
        </w:rPr>
        <w:fldChar w:fldCharType="separate"/>
      </w:r>
      <w:r w:rsidR="00C944CB">
        <w:rPr>
          <w:rFonts w:ascii="Trebuchet MS" w:hAnsi="Trebuchet MS"/>
          <w:b/>
          <w:bCs/>
          <w:szCs w:val="24"/>
          <w:lang w:val="es-ES"/>
        </w:rPr>
        <w:t>¡Error! No se encuentra el origen de la referencia.</w:t>
      </w:r>
      <w:r w:rsidR="0071794E" w:rsidRPr="002946A9">
        <w:rPr>
          <w:rFonts w:ascii="Trebuchet MS" w:hAnsi="Trebuchet MS"/>
          <w:szCs w:val="24"/>
        </w:rPr>
        <w:fldChar w:fldCharType="end"/>
      </w:r>
      <w:r w:rsidR="0071794E" w:rsidRPr="002946A9">
        <w:rPr>
          <w:rFonts w:ascii="Trebuchet MS" w:hAnsi="Trebuchet MS"/>
          <w:szCs w:val="24"/>
        </w:rPr>
        <w:t xml:space="preserve"> </w:t>
      </w:r>
      <w:r w:rsidR="0072415D" w:rsidRPr="002946A9">
        <w:rPr>
          <w:rFonts w:ascii="Trebuchet MS" w:hAnsi="Trebuchet MS"/>
          <w:szCs w:val="24"/>
        </w:rPr>
        <w:t>se</w:t>
      </w:r>
      <w:r w:rsidR="00C87CCB" w:rsidRPr="002946A9">
        <w:rPr>
          <w:rFonts w:ascii="Trebuchet MS" w:hAnsi="Trebuchet MS"/>
          <w:szCs w:val="24"/>
        </w:rPr>
        <w:t xml:space="preserve"> </w:t>
      </w:r>
      <w:r w:rsidR="00104157" w:rsidRPr="002946A9">
        <w:rPr>
          <w:rFonts w:ascii="Trebuchet MS" w:hAnsi="Trebuchet MS"/>
          <w:szCs w:val="24"/>
        </w:rPr>
        <w:t>entregan los formatos solicitados por la CREG</w:t>
      </w:r>
      <w:r w:rsidR="00C368A2" w:rsidRPr="002946A9">
        <w:rPr>
          <w:rFonts w:ascii="Trebuchet MS" w:hAnsi="Trebuchet MS"/>
          <w:szCs w:val="24"/>
        </w:rPr>
        <w:t xml:space="preserve">; finalmente </w:t>
      </w:r>
      <w:r w:rsidR="00277DF3" w:rsidRPr="002946A9">
        <w:rPr>
          <w:rFonts w:ascii="Trebuchet MS" w:hAnsi="Trebuchet MS"/>
          <w:szCs w:val="24"/>
        </w:rPr>
        <w:t>en los numerales</w:t>
      </w:r>
      <w:r w:rsidR="0071794E" w:rsidRPr="002946A9">
        <w:rPr>
          <w:rFonts w:ascii="Trebuchet MS" w:hAnsi="Trebuchet MS"/>
          <w:szCs w:val="24"/>
        </w:rPr>
        <w:t xml:space="preserve"> </w:t>
      </w:r>
      <w:r w:rsidR="0071794E" w:rsidRPr="002946A9">
        <w:rPr>
          <w:rFonts w:ascii="Trebuchet MS" w:hAnsi="Trebuchet MS"/>
          <w:szCs w:val="24"/>
        </w:rPr>
        <w:fldChar w:fldCharType="begin"/>
      </w:r>
      <w:r w:rsidR="0071794E" w:rsidRPr="002946A9">
        <w:rPr>
          <w:rFonts w:ascii="Trebuchet MS" w:hAnsi="Trebuchet MS"/>
          <w:szCs w:val="24"/>
        </w:rPr>
        <w:instrText xml:space="preserve"> REF _Ref67652406 \r \h </w:instrText>
      </w:r>
      <w:r w:rsidR="00DF29CB" w:rsidRPr="002946A9">
        <w:rPr>
          <w:rFonts w:ascii="Trebuchet MS" w:hAnsi="Trebuchet MS"/>
          <w:szCs w:val="24"/>
        </w:rPr>
        <w:instrText xml:space="preserve"> \* MERGEFORMAT </w:instrText>
      </w:r>
      <w:r w:rsidR="0071794E" w:rsidRPr="002946A9">
        <w:rPr>
          <w:rFonts w:ascii="Trebuchet MS" w:hAnsi="Trebuchet MS"/>
          <w:szCs w:val="24"/>
        </w:rPr>
      </w:r>
      <w:r w:rsidR="0071794E" w:rsidRPr="002946A9">
        <w:rPr>
          <w:rFonts w:ascii="Trebuchet MS" w:hAnsi="Trebuchet MS"/>
          <w:szCs w:val="24"/>
        </w:rPr>
        <w:fldChar w:fldCharType="separate"/>
      </w:r>
      <w:r w:rsidR="00C944CB">
        <w:rPr>
          <w:rFonts w:ascii="Trebuchet MS" w:hAnsi="Trebuchet MS"/>
          <w:szCs w:val="24"/>
        </w:rPr>
        <w:t>4</w:t>
      </w:r>
      <w:r w:rsidR="0071794E" w:rsidRPr="002946A9">
        <w:rPr>
          <w:rFonts w:ascii="Trebuchet MS" w:hAnsi="Trebuchet MS"/>
          <w:szCs w:val="24"/>
        </w:rPr>
        <w:fldChar w:fldCharType="end"/>
      </w:r>
      <w:r w:rsidR="0071794E" w:rsidRPr="002946A9">
        <w:rPr>
          <w:rFonts w:ascii="Trebuchet MS" w:hAnsi="Trebuchet MS"/>
          <w:szCs w:val="24"/>
        </w:rPr>
        <w:t xml:space="preserve"> </w:t>
      </w:r>
      <w:r w:rsidR="00277DF3" w:rsidRPr="002946A9">
        <w:rPr>
          <w:rFonts w:ascii="Trebuchet MS" w:hAnsi="Trebuchet MS"/>
          <w:szCs w:val="24"/>
        </w:rPr>
        <w:t>y</w:t>
      </w:r>
      <w:r w:rsidR="0071794E" w:rsidRPr="002946A9">
        <w:rPr>
          <w:rFonts w:ascii="Trebuchet MS" w:hAnsi="Trebuchet MS"/>
          <w:szCs w:val="24"/>
        </w:rPr>
        <w:t xml:space="preserve"> </w:t>
      </w:r>
      <w:r w:rsidR="0071794E" w:rsidRPr="002946A9">
        <w:rPr>
          <w:rFonts w:ascii="Trebuchet MS" w:hAnsi="Trebuchet MS"/>
          <w:szCs w:val="24"/>
        </w:rPr>
        <w:fldChar w:fldCharType="begin"/>
      </w:r>
      <w:r w:rsidR="0071794E" w:rsidRPr="002946A9">
        <w:rPr>
          <w:rFonts w:ascii="Trebuchet MS" w:hAnsi="Trebuchet MS"/>
          <w:szCs w:val="24"/>
        </w:rPr>
        <w:instrText xml:space="preserve"> REF _Ref67652416 \r \h </w:instrText>
      </w:r>
      <w:r w:rsidR="00DF29CB" w:rsidRPr="002946A9">
        <w:rPr>
          <w:rFonts w:ascii="Trebuchet MS" w:hAnsi="Trebuchet MS"/>
          <w:szCs w:val="24"/>
        </w:rPr>
        <w:instrText xml:space="preserve"> \* MERGEFORMAT </w:instrText>
      </w:r>
      <w:r w:rsidR="0071794E" w:rsidRPr="002946A9">
        <w:rPr>
          <w:rFonts w:ascii="Trebuchet MS" w:hAnsi="Trebuchet MS"/>
          <w:szCs w:val="24"/>
        </w:rPr>
      </w:r>
      <w:r w:rsidR="0071794E" w:rsidRPr="002946A9">
        <w:rPr>
          <w:rFonts w:ascii="Trebuchet MS" w:hAnsi="Trebuchet MS"/>
          <w:szCs w:val="24"/>
        </w:rPr>
        <w:fldChar w:fldCharType="separate"/>
      </w:r>
      <w:r w:rsidR="00C944CB">
        <w:rPr>
          <w:rFonts w:ascii="Trebuchet MS" w:hAnsi="Trebuchet MS"/>
          <w:szCs w:val="24"/>
        </w:rPr>
        <w:t>5</w:t>
      </w:r>
      <w:r w:rsidR="0071794E" w:rsidRPr="002946A9">
        <w:rPr>
          <w:rFonts w:ascii="Trebuchet MS" w:hAnsi="Trebuchet MS"/>
          <w:szCs w:val="24"/>
        </w:rPr>
        <w:fldChar w:fldCharType="end"/>
      </w:r>
      <w:r w:rsidR="0071794E" w:rsidRPr="002946A9">
        <w:rPr>
          <w:rFonts w:ascii="Trebuchet MS" w:hAnsi="Trebuchet MS"/>
          <w:szCs w:val="24"/>
        </w:rPr>
        <w:t xml:space="preserve"> </w:t>
      </w:r>
      <w:r w:rsidR="00277DF3" w:rsidRPr="002946A9">
        <w:rPr>
          <w:rFonts w:ascii="Trebuchet MS" w:hAnsi="Trebuchet MS"/>
          <w:szCs w:val="24"/>
        </w:rPr>
        <w:t xml:space="preserve">se presentan las referencias tenidas </w:t>
      </w:r>
      <w:r w:rsidR="00F776E8" w:rsidRPr="002946A9">
        <w:rPr>
          <w:rFonts w:ascii="Trebuchet MS" w:hAnsi="Trebuchet MS"/>
          <w:szCs w:val="24"/>
        </w:rPr>
        <w:t>en cuenta para la elaboración del documento y el listado de anexos a ser entregados</w:t>
      </w:r>
      <w:r w:rsidR="00C368A2" w:rsidRPr="002946A9">
        <w:rPr>
          <w:rFonts w:ascii="Trebuchet MS" w:hAnsi="Trebuchet MS"/>
          <w:szCs w:val="24"/>
        </w:rPr>
        <w:t xml:space="preserve"> a la CREG, respectivamente.</w:t>
      </w:r>
      <w:r w:rsidR="00BD2678" w:rsidRPr="002946A9">
        <w:rPr>
          <w:rFonts w:ascii="Trebuchet MS" w:hAnsi="Trebuchet MS"/>
          <w:szCs w:val="24"/>
        </w:rPr>
        <w:t xml:space="preserve"> </w:t>
      </w:r>
      <w:r w:rsidR="005542FC" w:rsidRPr="002946A9">
        <w:rPr>
          <w:rFonts w:ascii="Trebuchet MS" w:hAnsi="Trebuchet MS"/>
          <w:szCs w:val="24"/>
        </w:rPr>
        <w:t xml:space="preserve"> </w:t>
      </w:r>
      <w:r w:rsidR="00FA3805" w:rsidRPr="002946A9">
        <w:rPr>
          <w:rFonts w:ascii="Trebuchet MS" w:hAnsi="Trebuchet MS"/>
          <w:szCs w:val="24"/>
        </w:rPr>
        <w:t xml:space="preserve"> </w:t>
      </w:r>
    </w:p>
    <w:p w14:paraId="4265FEB2" w14:textId="7E8FC6F9" w:rsidR="00385875" w:rsidRDefault="00CC0BE5" w:rsidP="00DF29CB">
      <w:pPr>
        <w:ind w:left="360"/>
        <w:jc w:val="both"/>
        <w:rPr>
          <w:rFonts w:ascii="Trebuchet MS" w:hAnsi="Trebuchet MS"/>
          <w:szCs w:val="24"/>
        </w:rPr>
      </w:pPr>
      <w:r w:rsidRPr="002946A9">
        <w:rPr>
          <w:rFonts w:ascii="Trebuchet MS" w:hAnsi="Trebuchet MS"/>
          <w:szCs w:val="24"/>
        </w:rPr>
        <w:t xml:space="preserve"> </w:t>
      </w:r>
      <w:r w:rsidR="00385875">
        <w:rPr>
          <w:rFonts w:ascii="Trebuchet MS" w:hAnsi="Trebuchet MS"/>
          <w:szCs w:val="24"/>
        </w:rPr>
        <w:br w:type="page"/>
      </w:r>
    </w:p>
    <w:p w14:paraId="1966F8FD" w14:textId="481670FE" w:rsidR="00A215E4" w:rsidRPr="002946A9" w:rsidRDefault="00C01857" w:rsidP="00DF29CB">
      <w:pPr>
        <w:pStyle w:val="Ttulo1"/>
        <w:numPr>
          <w:ilvl w:val="0"/>
          <w:numId w:val="1"/>
        </w:numPr>
        <w:jc w:val="both"/>
        <w:rPr>
          <w:rFonts w:ascii="Trebuchet MS" w:hAnsi="Trebuchet MS"/>
          <w:b/>
          <w:sz w:val="28"/>
        </w:rPr>
      </w:pPr>
      <w:bookmarkStart w:id="1" w:name="_Toc131109325"/>
      <w:r w:rsidRPr="002946A9">
        <w:rPr>
          <w:rFonts w:ascii="Trebuchet MS" w:hAnsi="Trebuchet MS"/>
          <w:b/>
          <w:sz w:val="28"/>
        </w:rPr>
        <w:t>C</w:t>
      </w:r>
      <w:r w:rsidR="00584FF3" w:rsidRPr="002946A9">
        <w:rPr>
          <w:rFonts w:ascii="Trebuchet MS" w:hAnsi="Trebuchet MS"/>
          <w:b/>
          <w:sz w:val="28"/>
        </w:rPr>
        <w:t>ONTEXTO</w:t>
      </w:r>
      <w:bookmarkEnd w:id="1"/>
    </w:p>
    <w:p w14:paraId="1E6AC7AC" w14:textId="77777777" w:rsidR="00471B4F" w:rsidRPr="002946A9" w:rsidRDefault="00471B4F" w:rsidP="00DF29CB">
      <w:pPr>
        <w:jc w:val="both"/>
      </w:pPr>
    </w:p>
    <w:p w14:paraId="017AC916" w14:textId="1E3DB256" w:rsidR="004A3FC6" w:rsidRPr="002946A9" w:rsidRDefault="00A64AAB" w:rsidP="00DF29CB">
      <w:pPr>
        <w:pStyle w:val="Prrafodelista"/>
        <w:numPr>
          <w:ilvl w:val="1"/>
          <w:numId w:val="2"/>
        </w:numPr>
        <w:jc w:val="both"/>
        <w:outlineLvl w:val="1"/>
        <w:rPr>
          <w:rFonts w:ascii="Trebuchet MS" w:hAnsi="Trebuchet MS"/>
          <w:b/>
          <w:sz w:val="20"/>
          <w:szCs w:val="24"/>
        </w:rPr>
      </w:pPr>
      <w:bookmarkStart w:id="2" w:name="_Toc131109326"/>
      <w:r w:rsidRPr="002946A9">
        <w:rPr>
          <w:rFonts w:ascii="Trebuchet MS" w:hAnsi="Trebuchet MS"/>
          <w:b/>
          <w:sz w:val="24"/>
          <w:szCs w:val="24"/>
        </w:rPr>
        <w:t>Objetivo</w:t>
      </w:r>
      <w:bookmarkEnd w:id="2"/>
    </w:p>
    <w:p w14:paraId="5E80FBED" w14:textId="2ECF7E11" w:rsidR="00A64AAB" w:rsidRPr="002946A9" w:rsidRDefault="00E82C7E" w:rsidP="00DF29CB">
      <w:pPr>
        <w:ind w:left="360"/>
        <w:jc w:val="both"/>
        <w:rPr>
          <w:rFonts w:ascii="Trebuchet MS" w:hAnsi="Trebuchet MS"/>
          <w:szCs w:val="24"/>
        </w:rPr>
      </w:pPr>
      <w:r w:rsidRPr="002946A9">
        <w:rPr>
          <w:rFonts w:ascii="Trebuchet MS" w:hAnsi="Trebuchet MS"/>
          <w:szCs w:val="24"/>
        </w:rPr>
        <w:t xml:space="preserve">Presentar el informe de seguimiento a la ejecución </w:t>
      </w:r>
      <w:r w:rsidR="008566B8" w:rsidRPr="002946A9">
        <w:rPr>
          <w:rFonts w:ascii="Trebuchet MS" w:hAnsi="Trebuchet MS"/>
          <w:szCs w:val="24"/>
        </w:rPr>
        <w:t xml:space="preserve">año </w:t>
      </w:r>
      <w:r w:rsidR="00FA025C" w:rsidRPr="002946A9">
        <w:rPr>
          <w:rFonts w:ascii="Trebuchet MS" w:hAnsi="Trebuchet MS"/>
          <w:szCs w:val="24"/>
        </w:rPr>
        <w:t>202</w:t>
      </w:r>
      <w:r w:rsidR="00FA025C">
        <w:rPr>
          <w:rFonts w:ascii="Trebuchet MS" w:hAnsi="Trebuchet MS"/>
          <w:szCs w:val="24"/>
        </w:rPr>
        <w:t>2</w:t>
      </w:r>
      <w:r w:rsidR="00FA025C" w:rsidRPr="002946A9">
        <w:rPr>
          <w:rFonts w:ascii="Trebuchet MS" w:hAnsi="Trebuchet MS"/>
          <w:szCs w:val="24"/>
        </w:rPr>
        <w:t xml:space="preserve"> </w:t>
      </w:r>
      <w:r w:rsidRPr="002946A9">
        <w:rPr>
          <w:rFonts w:ascii="Trebuchet MS" w:hAnsi="Trebuchet MS"/>
          <w:szCs w:val="24"/>
        </w:rPr>
        <w:t>del plan de inversiones</w:t>
      </w:r>
      <w:r w:rsidR="000B4335" w:rsidRPr="002946A9">
        <w:rPr>
          <w:rFonts w:ascii="Trebuchet MS" w:hAnsi="Trebuchet MS"/>
          <w:szCs w:val="24"/>
        </w:rPr>
        <w:t xml:space="preserve"> periodo 202</w:t>
      </w:r>
      <w:r w:rsidR="001A4A85" w:rsidRPr="002946A9">
        <w:rPr>
          <w:rFonts w:ascii="Trebuchet MS" w:hAnsi="Trebuchet MS"/>
          <w:szCs w:val="24"/>
        </w:rPr>
        <w:t>0</w:t>
      </w:r>
      <w:r w:rsidR="000B4335" w:rsidRPr="002946A9">
        <w:rPr>
          <w:rFonts w:ascii="Trebuchet MS" w:hAnsi="Trebuchet MS"/>
          <w:szCs w:val="24"/>
        </w:rPr>
        <w:t xml:space="preserve"> – 2025 </w:t>
      </w:r>
      <w:r w:rsidRPr="002946A9">
        <w:rPr>
          <w:rFonts w:ascii="Trebuchet MS" w:hAnsi="Trebuchet MS"/>
          <w:szCs w:val="24"/>
        </w:rPr>
        <w:t xml:space="preserve">aprobado </w:t>
      </w:r>
      <w:r w:rsidR="00102E5E" w:rsidRPr="002946A9">
        <w:rPr>
          <w:rFonts w:ascii="Trebuchet MS" w:hAnsi="Trebuchet MS"/>
          <w:szCs w:val="24"/>
        </w:rPr>
        <w:t xml:space="preserve">a </w:t>
      </w:r>
      <w:r w:rsidRPr="002946A9">
        <w:rPr>
          <w:rFonts w:ascii="Trebuchet MS" w:hAnsi="Trebuchet MS"/>
          <w:szCs w:val="24"/>
        </w:rPr>
        <w:t>EPM</w:t>
      </w:r>
      <w:r w:rsidR="00693C69" w:rsidRPr="002946A9">
        <w:rPr>
          <w:rFonts w:ascii="Trebuchet MS" w:hAnsi="Trebuchet MS"/>
          <w:szCs w:val="24"/>
        </w:rPr>
        <w:t xml:space="preserve">. Lo anterior, </w:t>
      </w:r>
      <w:r w:rsidRPr="002946A9">
        <w:rPr>
          <w:rFonts w:ascii="Trebuchet MS" w:hAnsi="Trebuchet MS"/>
          <w:szCs w:val="24"/>
        </w:rPr>
        <w:t xml:space="preserve">en cumplimiento </w:t>
      </w:r>
      <w:r w:rsidR="007A1CD4" w:rsidRPr="002946A9">
        <w:rPr>
          <w:rFonts w:ascii="Trebuchet MS" w:hAnsi="Trebuchet MS"/>
          <w:szCs w:val="24"/>
        </w:rPr>
        <w:t>de</w:t>
      </w:r>
      <w:r w:rsidRPr="002946A9">
        <w:rPr>
          <w:rFonts w:ascii="Trebuchet MS" w:hAnsi="Trebuchet MS"/>
          <w:szCs w:val="24"/>
        </w:rPr>
        <w:t xml:space="preserve"> lo estipulado en </w:t>
      </w:r>
      <w:r w:rsidR="00B65528" w:rsidRPr="002946A9">
        <w:rPr>
          <w:rFonts w:ascii="Trebuchet MS" w:hAnsi="Trebuchet MS"/>
          <w:szCs w:val="24"/>
        </w:rPr>
        <w:t xml:space="preserve">el numeral </w:t>
      </w:r>
      <w:r w:rsidR="00D52A83" w:rsidRPr="002946A9">
        <w:rPr>
          <w:rFonts w:ascii="Trebuchet MS" w:hAnsi="Trebuchet MS"/>
          <w:szCs w:val="24"/>
        </w:rPr>
        <w:t>6.5</w:t>
      </w:r>
      <w:r w:rsidR="004979F2" w:rsidRPr="002946A9">
        <w:rPr>
          <w:rFonts w:ascii="Trebuchet MS" w:hAnsi="Trebuchet MS"/>
          <w:szCs w:val="24"/>
        </w:rPr>
        <w:t xml:space="preserve">, ítems </w:t>
      </w:r>
      <w:r w:rsidR="00F41BE2" w:rsidRPr="002946A9">
        <w:rPr>
          <w:rFonts w:ascii="Trebuchet MS" w:hAnsi="Trebuchet MS"/>
          <w:szCs w:val="24"/>
        </w:rPr>
        <w:t>“</w:t>
      </w:r>
      <w:r w:rsidR="00F97451" w:rsidRPr="002946A9">
        <w:rPr>
          <w:rFonts w:ascii="Trebuchet MS" w:hAnsi="Trebuchet MS"/>
          <w:szCs w:val="24"/>
        </w:rPr>
        <w:t>a</w:t>
      </w:r>
      <w:r w:rsidR="00F41BE2" w:rsidRPr="002946A9">
        <w:rPr>
          <w:rFonts w:ascii="Trebuchet MS" w:hAnsi="Trebuchet MS"/>
          <w:szCs w:val="24"/>
        </w:rPr>
        <w:t>”</w:t>
      </w:r>
      <w:r w:rsidR="00F97451" w:rsidRPr="002946A9">
        <w:rPr>
          <w:rFonts w:ascii="Trebuchet MS" w:hAnsi="Trebuchet MS"/>
          <w:szCs w:val="24"/>
        </w:rPr>
        <w:t xml:space="preserve"> y </w:t>
      </w:r>
      <w:r w:rsidR="00F678AD" w:rsidRPr="002946A9">
        <w:rPr>
          <w:rFonts w:ascii="Trebuchet MS" w:hAnsi="Trebuchet MS"/>
          <w:szCs w:val="24"/>
        </w:rPr>
        <w:t>“c”</w:t>
      </w:r>
      <w:r w:rsidR="00A2728A" w:rsidRPr="002946A9">
        <w:rPr>
          <w:rFonts w:ascii="Trebuchet MS" w:hAnsi="Trebuchet MS"/>
          <w:szCs w:val="24"/>
        </w:rPr>
        <w:t xml:space="preserve"> de la resolución CREG 015 del 2018 y </w:t>
      </w:r>
      <w:r w:rsidR="00912F20" w:rsidRPr="002946A9">
        <w:rPr>
          <w:rFonts w:ascii="Trebuchet MS" w:hAnsi="Trebuchet MS"/>
          <w:szCs w:val="24"/>
        </w:rPr>
        <w:t xml:space="preserve">a </w:t>
      </w:r>
      <w:r w:rsidR="00A2728A" w:rsidRPr="002946A9">
        <w:rPr>
          <w:rFonts w:ascii="Trebuchet MS" w:hAnsi="Trebuchet MS"/>
          <w:szCs w:val="24"/>
        </w:rPr>
        <w:t>los requerimientos dados en las Circulares CREG 024 y 0</w:t>
      </w:r>
      <w:r w:rsidR="004C12F5" w:rsidRPr="002946A9">
        <w:rPr>
          <w:rFonts w:ascii="Trebuchet MS" w:hAnsi="Trebuchet MS"/>
          <w:szCs w:val="24"/>
        </w:rPr>
        <w:t>4</w:t>
      </w:r>
      <w:r w:rsidR="00A2728A" w:rsidRPr="002946A9">
        <w:rPr>
          <w:rFonts w:ascii="Trebuchet MS" w:hAnsi="Trebuchet MS"/>
          <w:szCs w:val="24"/>
        </w:rPr>
        <w:t xml:space="preserve">7 </w:t>
      </w:r>
      <w:r w:rsidR="004C12F5" w:rsidRPr="002946A9">
        <w:rPr>
          <w:rFonts w:ascii="Trebuchet MS" w:hAnsi="Trebuchet MS"/>
          <w:szCs w:val="24"/>
        </w:rPr>
        <w:t>del 2020.</w:t>
      </w:r>
    </w:p>
    <w:p w14:paraId="0F5FBDD8" w14:textId="6702BA45" w:rsidR="007539A9" w:rsidRPr="002946A9" w:rsidRDefault="007539A9" w:rsidP="00DF29CB">
      <w:pPr>
        <w:ind w:firstLine="360"/>
        <w:jc w:val="both"/>
        <w:rPr>
          <w:rFonts w:ascii="Trebuchet MS" w:hAnsi="Trebuchet MS"/>
          <w:sz w:val="20"/>
          <w:szCs w:val="23"/>
        </w:rPr>
      </w:pPr>
    </w:p>
    <w:p w14:paraId="12E5C812" w14:textId="39318E5E" w:rsidR="007539A9" w:rsidRPr="002946A9" w:rsidRDefault="007539A9" w:rsidP="00DF29CB">
      <w:pPr>
        <w:pStyle w:val="Prrafodelista"/>
        <w:numPr>
          <w:ilvl w:val="1"/>
          <w:numId w:val="2"/>
        </w:numPr>
        <w:jc w:val="both"/>
        <w:outlineLvl w:val="1"/>
        <w:rPr>
          <w:rFonts w:ascii="Trebuchet MS" w:hAnsi="Trebuchet MS"/>
          <w:b/>
          <w:sz w:val="20"/>
          <w:szCs w:val="24"/>
        </w:rPr>
      </w:pPr>
      <w:bookmarkStart w:id="3" w:name="_Toc131109327"/>
      <w:r w:rsidRPr="002946A9">
        <w:rPr>
          <w:rFonts w:ascii="Trebuchet MS" w:hAnsi="Trebuchet MS"/>
          <w:b/>
          <w:sz w:val="24"/>
          <w:szCs w:val="24"/>
        </w:rPr>
        <w:t>Alcance</w:t>
      </w:r>
      <w:bookmarkEnd w:id="3"/>
    </w:p>
    <w:p w14:paraId="14391510" w14:textId="35717F3B" w:rsidR="007539A9" w:rsidRPr="002946A9" w:rsidRDefault="00C94BFE" w:rsidP="00DF29CB">
      <w:pPr>
        <w:ind w:left="360"/>
        <w:jc w:val="both"/>
        <w:rPr>
          <w:rFonts w:ascii="Trebuchet MS" w:hAnsi="Trebuchet MS"/>
          <w:b/>
          <w:szCs w:val="28"/>
        </w:rPr>
      </w:pPr>
      <w:r w:rsidRPr="002946A9">
        <w:rPr>
          <w:rFonts w:ascii="Trebuchet MS" w:hAnsi="Trebuchet MS"/>
          <w:szCs w:val="24"/>
        </w:rPr>
        <w:t>Al final del presente informe se tendrá caracterizado el sistema actual que opera EPM en términos de la demanda de energía y potencia, área de influencia</w:t>
      </w:r>
      <w:r w:rsidR="00897835" w:rsidRPr="002946A9">
        <w:rPr>
          <w:rFonts w:ascii="Trebuchet MS" w:hAnsi="Trebuchet MS"/>
          <w:szCs w:val="24"/>
        </w:rPr>
        <w:t xml:space="preserve">, activos operados, </w:t>
      </w:r>
      <w:r w:rsidRPr="002946A9">
        <w:rPr>
          <w:rFonts w:ascii="Trebuchet MS" w:hAnsi="Trebuchet MS"/>
          <w:szCs w:val="24"/>
        </w:rPr>
        <w:t>indicadores de calidad del servicio</w:t>
      </w:r>
      <w:r w:rsidR="001015EC" w:rsidRPr="002946A9">
        <w:rPr>
          <w:rFonts w:ascii="Trebuchet MS" w:hAnsi="Trebuchet MS"/>
          <w:szCs w:val="24"/>
        </w:rPr>
        <w:t xml:space="preserve"> y pérdidas de energía</w:t>
      </w:r>
      <w:r w:rsidRPr="002946A9">
        <w:rPr>
          <w:rFonts w:ascii="Trebuchet MS" w:hAnsi="Trebuchet MS"/>
          <w:szCs w:val="24"/>
        </w:rPr>
        <w:t xml:space="preserve">. </w:t>
      </w:r>
      <w:r w:rsidR="00097D6F" w:rsidRPr="002946A9">
        <w:rPr>
          <w:rFonts w:ascii="Trebuchet MS" w:hAnsi="Trebuchet MS"/>
          <w:szCs w:val="24"/>
        </w:rPr>
        <w:t xml:space="preserve">Se </w:t>
      </w:r>
      <w:r w:rsidR="00D60E73" w:rsidRPr="002946A9">
        <w:rPr>
          <w:rFonts w:ascii="Trebuchet MS" w:hAnsi="Trebuchet MS"/>
          <w:szCs w:val="24"/>
        </w:rPr>
        <w:t xml:space="preserve">tendrán </w:t>
      </w:r>
      <w:r w:rsidR="00097D6F" w:rsidRPr="002946A9">
        <w:rPr>
          <w:rFonts w:ascii="Trebuchet MS" w:hAnsi="Trebuchet MS"/>
          <w:szCs w:val="24"/>
        </w:rPr>
        <w:t>identifica</w:t>
      </w:r>
      <w:r w:rsidR="00D60E73" w:rsidRPr="002946A9">
        <w:rPr>
          <w:rFonts w:ascii="Trebuchet MS" w:hAnsi="Trebuchet MS"/>
          <w:szCs w:val="24"/>
        </w:rPr>
        <w:t xml:space="preserve">dos </w:t>
      </w:r>
      <w:r w:rsidR="00097D6F" w:rsidRPr="002946A9">
        <w:rPr>
          <w:rFonts w:ascii="Trebuchet MS" w:hAnsi="Trebuchet MS"/>
          <w:szCs w:val="24"/>
        </w:rPr>
        <w:t>los beneficios que recib</w:t>
      </w:r>
      <w:r w:rsidR="00452BE3" w:rsidRPr="002946A9">
        <w:rPr>
          <w:rFonts w:ascii="Trebuchet MS" w:hAnsi="Trebuchet MS"/>
          <w:szCs w:val="24"/>
        </w:rPr>
        <w:t xml:space="preserve">irán </w:t>
      </w:r>
      <w:r w:rsidR="00097D6F" w:rsidRPr="002946A9">
        <w:rPr>
          <w:rFonts w:ascii="Trebuchet MS" w:hAnsi="Trebuchet MS"/>
          <w:szCs w:val="24"/>
        </w:rPr>
        <w:t>los usuarios con la implementación del plan de inversiones</w:t>
      </w:r>
      <w:r w:rsidR="009819DA" w:rsidRPr="002946A9">
        <w:rPr>
          <w:rFonts w:ascii="Trebuchet MS" w:hAnsi="Trebuchet MS"/>
          <w:szCs w:val="24"/>
        </w:rPr>
        <w:t xml:space="preserve"> aprobado </w:t>
      </w:r>
      <w:r w:rsidR="006C6BE8" w:rsidRPr="002946A9">
        <w:rPr>
          <w:rFonts w:ascii="Trebuchet MS" w:hAnsi="Trebuchet MS"/>
          <w:szCs w:val="24"/>
        </w:rPr>
        <w:t>a</w:t>
      </w:r>
      <w:r w:rsidR="009819DA" w:rsidRPr="002946A9">
        <w:rPr>
          <w:rFonts w:ascii="Trebuchet MS" w:hAnsi="Trebuchet MS"/>
          <w:szCs w:val="24"/>
        </w:rPr>
        <w:t xml:space="preserve"> EPM </w:t>
      </w:r>
      <w:r w:rsidR="006C6BE8" w:rsidRPr="002946A9">
        <w:rPr>
          <w:rFonts w:ascii="Trebuchet MS" w:hAnsi="Trebuchet MS"/>
          <w:szCs w:val="24"/>
        </w:rPr>
        <w:t xml:space="preserve">para </w:t>
      </w:r>
      <w:r w:rsidR="009819DA" w:rsidRPr="002946A9">
        <w:rPr>
          <w:rFonts w:ascii="Trebuchet MS" w:hAnsi="Trebuchet MS"/>
          <w:szCs w:val="24"/>
        </w:rPr>
        <w:t>el periodo</w:t>
      </w:r>
      <w:r w:rsidR="007F3A80" w:rsidRPr="002946A9">
        <w:rPr>
          <w:rFonts w:ascii="Trebuchet MS" w:hAnsi="Trebuchet MS"/>
          <w:szCs w:val="24"/>
        </w:rPr>
        <w:t xml:space="preserve"> 20</w:t>
      </w:r>
      <w:r w:rsidR="006C6BE8" w:rsidRPr="002946A9">
        <w:rPr>
          <w:rFonts w:ascii="Trebuchet MS" w:hAnsi="Trebuchet MS"/>
          <w:szCs w:val="24"/>
        </w:rPr>
        <w:t>2</w:t>
      </w:r>
      <w:r w:rsidR="00777DA5" w:rsidRPr="002946A9">
        <w:rPr>
          <w:rFonts w:ascii="Trebuchet MS" w:hAnsi="Trebuchet MS"/>
          <w:szCs w:val="24"/>
        </w:rPr>
        <w:t>0</w:t>
      </w:r>
      <w:r w:rsidR="007F3A80" w:rsidRPr="002946A9">
        <w:rPr>
          <w:rFonts w:ascii="Trebuchet MS" w:hAnsi="Trebuchet MS"/>
          <w:szCs w:val="24"/>
        </w:rPr>
        <w:t xml:space="preserve"> - 202</w:t>
      </w:r>
      <w:r w:rsidR="006C6BE8" w:rsidRPr="002946A9">
        <w:rPr>
          <w:rFonts w:ascii="Trebuchet MS" w:hAnsi="Trebuchet MS"/>
          <w:szCs w:val="24"/>
        </w:rPr>
        <w:t>5</w:t>
      </w:r>
      <w:r w:rsidR="00097D6F" w:rsidRPr="002946A9">
        <w:rPr>
          <w:rFonts w:ascii="Trebuchet MS" w:hAnsi="Trebuchet MS"/>
          <w:szCs w:val="24"/>
        </w:rPr>
        <w:t xml:space="preserve"> y</w:t>
      </w:r>
      <w:r w:rsidR="00452BE3" w:rsidRPr="002946A9">
        <w:rPr>
          <w:rFonts w:ascii="Trebuchet MS" w:hAnsi="Trebuchet MS"/>
          <w:szCs w:val="24"/>
        </w:rPr>
        <w:t>,</w:t>
      </w:r>
      <w:r w:rsidR="00097D6F" w:rsidRPr="002946A9">
        <w:rPr>
          <w:rFonts w:ascii="Trebuchet MS" w:hAnsi="Trebuchet MS"/>
          <w:szCs w:val="24"/>
        </w:rPr>
        <w:t xml:space="preserve"> </w:t>
      </w:r>
      <w:r w:rsidR="00C8485F" w:rsidRPr="002946A9">
        <w:rPr>
          <w:rFonts w:ascii="Trebuchet MS" w:hAnsi="Trebuchet MS"/>
          <w:szCs w:val="24"/>
        </w:rPr>
        <w:t xml:space="preserve">para el año </w:t>
      </w:r>
      <w:r w:rsidR="00FA025C" w:rsidRPr="002946A9">
        <w:rPr>
          <w:rFonts w:ascii="Trebuchet MS" w:hAnsi="Trebuchet MS"/>
          <w:szCs w:val="24"/>
        </w:rPr>
        <w:t>202</w:t>
      </w:r>
      <w:r w:rsidR="00FA025C">
        <w:rPr>
          <w:rFonts w:ascii="Trebuchet MS" w:hAnsi="Trebuchet MS"/>
          <w:szCs w:val="24"/>
        </w:rPr>
        <w:t>2</w:t>
      </w:r>
      <w:r w:rsidR="00452BE3" w:rsidRPr="002946A9">
        <w:rPr>
          <w:rFonts w:ascii="Trebuchet MS" w:hAnsi="Trebuchet MS"/>
          <w:szCs w:val="24"/>
        </w:rPr>
        <w:t>,</w:t>
      </w:r>
      <w:r w:rsidR="003124D3" w:rsidRPr="002946A9">
        <w:rPr>
          <w:rFonts w:ascii="Trebuchet MS" w:hAnsi="Trebuchet MS"/>
          <w:szCs w:val="24"/>
        </w:rPr>
        <w:t xml:space="preserve"> </w:t>
      </w:r>
      <w:r w:rsidR="003B7D14" w:rsidRPr="002946A9">
        <w:rPr>
          <w:rFonts w:ascii="Trebuchet MS" w:hAnsi="Trebuchet MS"/>
          <w:szCs w:val="24"/>
        </w:rPr>
        <w:t>se</w:t>
      </w:r>
      <w:r w:rsidR="003124D3" w:rsidRPr="002946A9">
        <w:rPr>
          <w:rFonts w:ascii="Trebuchet MS" w:hAnsi="Trebuchet MS"/>
          <w:szCs w:val="24"/>
        </w:rPr>
        <w:t xml:space="preserve"> </w:t>
      </w:r>
      <w:r w:rsidR="00662F76" w:rsidRPr="002946A9">
        <w:rPr>
          <w:rFonts w:ascii="Trebuchet MS" w:hAnsi="Trebuchet MS"/>
          <w:szCs w:val="24"/>
        </w:rPr>
        <w:t xml:space="preserve">tendrá </w:t>
      </w:r>
      <w:r w:rsidRPr="002946A9">
        <w:rPr>
          <w:rFonts w:ascii="Trebuchet MS" w:hAnsi="Trebuchet MS"/>
          <w:szCs w:val="24"/>
        </w:rPr>
        <w:t>información comparativa</w:t>
      </w:r>
      <w:r w:rsidR="003124D3" w:rsidRPr="002946A9">
        <w:rPr>
          <w:rFonts w:ascii="Trebuchet MS" w:hAnsi="Trebuchet MS"/>
          <w:szCs w:val="24"/>
        </w:rPr>
        <w:t xml:space="preserve"> y de seguimiento</w:t>
      </w:r>
      <w:r w:rsidR="00662F76" w:rsidRPr="002946A9">
        <w:rPr>
          <w:rFonts w:ascii="Trebuchet MS" w:hAnsi="Trebuchet MS"/>
          <w:szCs w:val="24"/>
        </w:rPr>
        <w:t xml:space="preserve"> </w:t>
      </w:r>
      <w:r w:rsidRPr="002946A9">
        <w:rPr>
          <w:rFonts w:ascii="Trebuchet MS" w:hAnsi="Trebuchet MS"/>
          <w:szCs w:val="24"/>
        </w:rPr>
        <w:t>entre las inversiones</w:t>
      </w:r>
      <w:r w:rsidR="00B86C35" w:rsidRPr="002946A9">
        <w:rPr>
          <w:rFonts w:ascii="Trebuchet MS" w:hAnsi="Trebuchet MS"/>
          <w:szCs w:val="24"/>
        </w:rPr>
        <w:t xml:space="preserve"> </w:t>
      </w:r>
      <w:r w:rsidRPr="002946A9">
        <w:rPr>
          <w:rFonts w:ascii="Trebuchet MS" w:hAnsi="Trebuchet MS"/>
          <w:szCs w:val="24"/>
        </w:rPr>
        <w:t xml:space="preserve">y metas </w:t>
      </w:r>
      <w:r w:rsidR="00662F76" w:rsidRPr="002946A9">
        <w:rPr>
          <w:rFonts w:ascii="Trebuchet MS" w:hAnsi="Trebuchet MS"/>
          <w:szCs w:val="24"/>
        </w:rPr>
        <w:t xml:space="preserve">planeadas </w:t>
      </w:r>
      <w:r w:rsidR="003B7D14" w:rsidRPr="002946A9">
        <w:rPr>
          <w:rFonts w:ascii="Trebuchet MS" w:hAnsi="Trebuchet MS"/>
          <w:szCs w:val="24"/>
        </w:rPr>
        <w:t>p</w:t>
      </w:r>
      <w:r w:rsidR="00C171D5" w:rsidRPr="002946A9">
        <w:rPr>
          <w:rFonts w:ascii="Trebuchet MS" w:hAnsi="Trebuchet MS"/>
          <w:szCs w:val="24"/>
        </w:rPr>
        <w:t>or</w:t>
      </w:r>
      <w:r w:rsidR="003B7D14" w:rsidRPr="002946A9">
        <w:rPr>
          <w:rFonts w:ascii="Trebuchet MS" w:hAnsi="Trebuchet MS"/>
          <w:szCs w:val="24"/>
        </w:rPr>
        <w:t xml:space="preserve"> </w:t>
      </w:r>
      <w:r w:rsidRPr="002946A9">
        <w:rPr>
          <w:rFonts w:ascii="Trebuchet MS" w:hAnsi="Trebuchet MS"/>
          <w:szCs w:val="24"/>
        </w:rPr>
        <w:t>EPM y su ejecución</w:t>
      </w:r>
      <w:r w:rsidR="00662F76" w:rsidRPr="002946A9">
        <w:rPr>
          <w:rFonts w:ascii="Trebuchet MS" w:hAnsi="Trebuchet MS"/>
          <w:szCs w:val="24"/>
        </w:rPr>
        <w:t xml:space="preserve"> real</w:t>
      </w:r>
      <w:r w:rsidRPr="002946A9">
        <w:rPr>
          <w:rFonts w:ascii="Trebuchet MS" w:hAnsi="Trebuchet MS"/>
          <w:szCs w:val="24"/>
        </w:rPr>
        <w:t>, presentando las justificaciones necesarias para las desviaciones encontradas.</w:t>
      </w:r>
      <w:r w:rsidR="00253FCF" w:rsidRPr="002946A9">
        <w:rPr>
          <w:rFonts w:ascii="Trebuchet MS" w:hAnsi="Trebuchet MS"/>
          <w:szCs w:val="24"/>
        </w:rPr>
        <w:t xml:space="preserve"> </w:t>
      </w:r>
      <w:r w:rsidRPr="002946A9">
        <w:rPr>
          <w:rFonts w:ascii="Trebuchet MS" w:hAnsi="Trebuchet MS"/>
          <w:szCs w:val="24"/>
        </w:rPr>
        <w:t>Lo anterior, en cumplimiento de</w:t>
      </w:r>
      <w:r w:rsidR="00541C9C" w:rsidRPr="002946A9">
        <w:rPr>
          <w:rFonts w:ascii="Trebuchet MS" w:hAnsi="Trebuchet MS"/>
          <w:szCs w:val="24"/>
        </w:rPr>
        <w:t>l objetivo propuesto</w:t>
      </w:r>
      <w:r w:rsidR="00A80C91" w:rsidRPr="002946A9">
        <w:rPr>
          <w:rFonts w:ascii="Trebuchet MS" w:hAnsi="Trebuchet MS"/>
          <w:szCs w:val="24"/>
        </w:rPr>
        <w:t>.</w:t>
      </w:r>
    </w:p>
    <w:p w14:paraId="2FEA9DE0" w14:textId="77777777" w:rsidR="00747125" w:rsidRPr="002946A9" w:rsidRDefault="00747125" w:rsidP="00DF29CB">
      <w:pPr>
        <w:pStyle w:val="Default"/>
        <w:ind w:left="360"/>
        <w:jc w:val="both"/>
        <w:rPr>
          <w:sz w:val="23"/>
          <w:szCs w:val="23"/>
        </w:rPr>
      </w:pPr>
    </w:p>
    <w:p w14:paraId="56B75BC9" w14:textId="057A3F53" w:rsidR="004A3FC6" w:rsidRPr="002946A9" w:rsidRDefault="00C01857" w:rsidP="00DF29CB">
      <w:pPr>
        <w:pStyle w:val="Prrafodelista"/>
        <w:numPr>
          <w:ilvl w:val="1"/>
          <w:numId w:val="2"/>
        </w:numPr>
        <w:jc w:val="both"/>
        <w:outlineLvl w:val="1"/>
        <w:rPr>
          <w:rFonts w:ascii="Trebuchet MS" w:hAnsi="Trebuchet MS"/>
          <w:sz w:val="20"/>
          <w:szCs w:val="23"/>
        </w:rPr>
      </w:pPr>
      <w:bookmarkStart w:id="4" w:name="_Toc131109328"/>
      <w:r w:rsidRPr="002946A9">
        <w:rPr>
          <w:rFonts w:ascii="Trebuchet MS" w:hAnsi="Trebuchet MS"/>
          <w:b/>
          <w:sz w:val="24"/>
          <w:szCs w:val="24"/>
        </w:rPr>
        <w:t>Definiciones</w:t>
      </w:r>
      <w:bookmarkEnd w:id="4"/>
      <w:r w:rsidR="004A3FC6" w:rsidRPr="002946A9">
        <w:rPr>
          <w:rFonts w:ascii="Trebuchet MS" w:hAnsi="Trebuchet MS"/>
          <w:b/>
          <w:sz w:val="24"/>
          <w:szCs w:val="24"/>
        </w:rPr>
        <w:t xml:space="preserve"> </w:t>
      </w:r>
    </w:p>
    <w:p w14:paraId="52D3CBB5" w14:textId="6632D798" w:rsidR="0048789D" w:rsidRPr="002946A9" w:rsidRDefault="003E5D1C" w:rsidP="00DF29CB">
      <w:pPr>
        <w:ind w:left="360"/>
        <w:jc w:val="both"/>
        <w:rPr>
          <w:rFonts w:ascii="Trebuchet MS" w:hAnsi="Trebuchet MS"/>
          <w:szCs w:val="24"/>
        </w:rPr>
      </w:pPr>
      <w:r w:rsidRPr="002946A9">
        <w:rPr>
          <w:rFonts w:ascii="Trebuchet MS" w:hAnsi="Trebuchet MS"/>
          <w:szCs w:val="24"/>
        </w:rPr>
        <w:t xml:space="preserve">A </w:t>
      </w:r>
      <w:r w:rsidR="006D2F66" w:rsidRPr="002946A9">
        <w:rPr>
          <w:rFonts w:ascii="Trebuchet MS" w:hAnsi="Trebuchet MS"/>
          <w:szCs w:val="24"/>
        </w:rPr>
        <w:t>continuación,</w:t>
      </w:r>
      <w:r w:rsidRPr="002946A9">
        <w:rPr>
          <w:rFonts w:ascii="Trebuchet MS" w:hAnsi="Trebuchet MS"/>
          <w:szCs w:val="24"/>
        </w:rPr>
        <w:t xml:space="preserve"> se presentan las definiciones más relevantes</w:t>
      </w:r>
      <w:r w:rsidR="003A4256" w:rsidRPr="002946A9">
        <w:rPr>
          <w:rFonts w:ascii="Trebuchet MS" w:hAnsi="Trebuchet MS"/>
          <w:szCs w:val="24"/>
        </w:rPr>
        <w:t xml:space="preserve"> </w:t>
      </w:r>
      <w:r w:rsidR="00462A35" w:rsidRPr="002946A9">
        <w:rPr>
          <w:rFonts w:ascii="Trebuchet MS" w:hAnsi="Trebuchet MS"/>
          <w:szCs w:val="24"/>
        </w:rPr>
        <w:t>a</w:t>
      </w:r>
      <w:r w:rsidR="003A4256" w:rsidRPr="002946A9">
        <w:rPr>
          <w:rFonts w:ascii="Trebuchet MS" w:hAnsi="Trebuchet MS"/>
          <w:szCs w:val="24"/>
        </w:rPr>
        <w:t xml:space="preserve"> tener en cuenta </w:t>
      </w:r>
      <w:r w:rsidR="006A2A7E" w:rsidRPr="002946A9">
        <w:rPr>
          <w:rFonts w:ascii="Trebuchet MS" w:hAnsi="Trebuchet MS"/>
          <w:szCs w:val="24"/>
        </w:rPr>
        <w:t xml:space="preserve">en </w:t>
      </w:r>
      <w:r w:rsidR="003A4256" w:rsidRPr="002946A9">
        <w:rPr>
          <w:rFonts w:ascii="Trebuchet MS" w:hAnsi="Trebuchet MS"/>
          <w:szCs w:val="24"/>
        </w:rPr>
        <w:t>la lectura del presente documento.</w:t>
      </w:r>
    </w:p>
    <w:p w14:paraId="77E8A7D3" w14:textId="77777777" w:rsidR="00EA6113" w:rsidRPr="002946A9" w:rsidRDefault="00EA6113" w:rsidP="00DF29CB">
      <w:pPr>
        <w:ind w:left="360"/>
        <w:jc w:val="both"/>
        <w:rPr>
          <w:rFonts w:ascii="Trebuchet MS" w:hAnsi="Trebuchet MS"/>
          <w:szCs w:val="24"/>
        </w:rPr>
      </w:pPr>
      <w:r w:rsidRPr="002946A9">
        <w:rPr>
          <w:rFonts w:ascii="Trebuchet MS" w:hAnsi="Trebuchet MS"/>
          <w:b/>
          <w:bCs/>
          <w:szCs w:val="24"/>
        </w:rPr>
        <w:t>Activos de nivel de tensión 1:</w:t>
      </w:r>
      <w:r w:rsidRPr="002946A9">
        <w:rPr>
          <w:rFonts w:ascii="Trebuchet MS" w:hAnsi="Trebuchet MS"/>
          <w:szCs w:val="24"/>
        </w:rPr>
        <w:t xml:space="preserve"> son los conformados por las redes de transporte que operan a tensiones menores a 1 kV y los transformadores con voltaje secundario menor a 1 kV que las alimentan para atender dos o más usuarios, incluyendo las protecciones y equipos de maniobra asociados, excepto los que hacen parte de instalaciones internas. En esta clasificación se incluyen los transformadores de conexión con capacidad igual o inferior a 15 kVA.</w:t>
      </w:r>
    </w:p>
    <w:p w14:paraId="337B3DB8" w14:textId="77777777" w:rsidR="00EA6113" w:rsidRPr="002946A9" w:rsidRDefault="00EA6113" w:rsidP="00DF29CB">
      <w:pPr>
        <w:ind w:left="360"/>
        <w:jc w:val="both"/>
        <w:rPr>
          <w:rFonts w:ascii="Trebuchet MS" w:hAnsi="Trebuchet MS"/>
          <w:szCs w:val="24"/>
        </w:rPr>
      </w:pPr>
      <w:r w:rsidRPr="002946A9">
        <w:rPr>
          <w:rFonts w:ascii="Trebuchet MS" w:hAnsi="Trebuchet MS"/>
          <w:b/>
          <w:bCs/>
          <w:szCs w:val="24"/>
        </w:rPr>
        <w:t>Activos de uso de STR y SDL:</w:t>
      </w:r>
      <w:r w:rsidRPr="002946A9">
        <w:rPr>
          <w:rFonts w:ascii="Trebuchet MS" w:hAnsi="Trebuchet MS"/>
          <w:szCs w:val="24"/>
        </w:rPr>
        <w:t xml:space="preserve"> son aquellos activos de transporte de electricidad que operan a tensiones inferiores a 220 kV que son utilizados por más de un usuario y son remunerados mediante cargos por uso de STR o SDL.</w:t>
      </w:r>
    </w:p>
    <w:p w14:paraId="19FB7D42" w14:textId="77777777" w:rsidR="00EA6113" w:rsidRPr="002946A9" w:rsidRDefault="00EA6113" w:rsidP="00DF29CB">
      <w:pPr>
        <w:ind w:left="360"/>
        <w:jc w:val="both"/>
        <w:rPr>
          <w:rFonts w:ascii="Trebuchet MS" w:hAnsi="Trebuchet MS"/>
          <w:szCs w:val="24"/>
        </w:rPr>
      </w:pPr>
      <w:r w:rsidRPr="002946A9">
        <w:rPr>
          <w:rFonts w:ascii="Trebuchet MS" w:hAnsi="Trebuchet MS"/>
          <w:b/>
          <w:bCs/>
          <w:szCs w:val="24"/>
        </w:rPr>
        <w:t>Base regulatoria de activos, BRA:</w:t>
      </w:r>
      <w:r w:rsidRPr="002946A9">
        <w:rPr>
          <w:rFonts w:ascii="Trebuchet MS" w:hAnsi="Trebuchet MS"/>
          <w:szCs w:val="24"/>
        </w:rPr>
        <w:t xml:space="preserve"> valor de los activos utilizados para la prestación del servicio por parte del OR. Está compuesta por activos eléctricos y no eléctricos.</w:t>
      </w:r>
    </w:p>
    <w:p w14:paraId="60011668" w14:textId="7BC768E7" w:rsidR="00EA6113" w:rsidRPr="002946A9" w:rsidRDefault="00EA6113" w:rsidP="00DF29CB">
      <w:pPr>
        <w:ind w:left="360"/>
        <w:jc w:val="both"/>
        <w:rPr>
          <w:rFonts w:ascii="Trebuchet MS" w:hAnsi="Trebuchet MS"/>
          <w:szCs w:val="24"/>
        </w:rPr>
      </w:pPr>
      <w:r w:rsidRPr="002946A9">
        <w:rPr>
          <w:rFonts w:ascii="Trebuchet MS" w:hAnsi="Trebuchet MS"/>
          <w:b/>
          <w:bCs/>
          <w:szCs w:val="24"/>
        </w:rPr>
        <w:t>CREG:</w:t>
      </w:r>
      <w:r w:rsidRPr="002946A9">
        <w:rPr>
          <w:rFonts w:ascii="Trebuchet MS" w:hAnsi="Trebuchet MS"/>
          <w:szCs w:val="24"/>
        </w:rPr>
        <w:t xml:space="preserve"> Comisión de Regulación de Energía y Gas.</w:t>
      </w:r>
    </w:p>
    <w:p w14:paraId="2C104F92" w14:textId="70AE8B10" w:rsidR="00A90188" w:rsidRPr="002946A9" w:rsidRDefault="00A90188" w:rsidP="00DF29CB">
      <w:pPr>
        <w:ind w:left="360"/>
        <w:jc w:val="both"/>
        <w:rPr>
          <w:rFonts w:ascii="Trebuchet MS" w:hAnsi="Trebuchet MS"/>
          <w:szCs w:val="24"/>
        </w:rPr>
      </w:pPr>
      <w:r w:rsidRPr="002946A9">
        <w:rPr>
          <w:rFonts w:ascii="Trebuchet MS" w:hAnsi="Trebuchet MS"/>
          <w:b/>
          <w:bCs/>
          <w:szCs w:val="24"/>
        </w:rPr>
        <w:t>EPM:</w:t>
      </w:r>
      <w:r w:rsidRPr="002946A9">
        <w:rPr>
          <w:rFonts w:ascii="Trebuchet MS" w:hAnsi="Trebuchet MS"/>
          <w:szCs w:val="24"/>
        </w:rPr>
        <w:t xml:space="preserve"> Empresas Públicas de Medellín E.S.P.</w:t>
      </w:r>
    </w:p>
    <w:p w14:paraId="24C56DEC" w14:textId="77777777" w:rsidR="00EA6113" w:rsidRPr="002946A9" w:rsidRDefault="00EA6113" w:rsidP="00DF29CB">
      <w:pPr>
        <w:ind w:left="360"/>
        <w:jc w:val="both"/>
        <w:rPr>
          <w:rFonts w:ascii="Trebuchet MS" w:hAnsi="Trebuchet MS"/>
          <w:szCs w:val="24"/>
        </w:rPr>
      </w:pPr>
      <w:r w:rsidRPr="002946A9">
        <w:rPr>
          <w:rFonts w:ascii="Trebuchet MS" w:hAnsi="Trebuchet MS"/>
          <w:b/>
          <w:bCs/>
          <w:szCs w:val="24"/>
        </w:rPr>
        <w:t>Liquidador y administrador de cuentas, LAC:</w:t>
      </w:r>
      <w:r w:rsidRPr="002946A9">
        <w:rPr>
          <w:rFonts w:ascii="Trebuchet MS" w:hAnsi="Trebuchet MS"/>
          <w:szCs w:val="24"/>
        </w:rPr>
        <w:t xml:space="preserve"> Entidad encargada de la liquidación y administración de cuentas de los cargos por uso de las redes del SIN que le sean asignadas y de calcular el ingreso regulado de los transportadores, de acuerdo con las disposiciones contenidas en la regulación vigente.</w:t>
      </w:r>
    </w:p>
    <w:p w14:paraId="674E40D4" w14:textId="02F27ADB" w:rsidR="00EA6113" w:rsidRPr="002946A9" w:rsidRDefault="00EA6113" w:rsidP="00DF29CB">
      <w:pPr>
        <w:ind w:left="360"/>
        <w:jc w:val="both"/>
        <w:rPr>
          <w:rFonts w:ascii="Trebuchet MS" w:hAnsi="Trebuchet MS"/>
          <w:szCs w:val="24"/>
        </w:rPr>
      </w:pPr>
      <w:r w:rsidRPr="002946A9">
        <w:rPr>
          <w:rFonts w:ascii="Trebuchet MS" w:hAnsi="Trebuchet MS"/>
          <w:b/>
          <w:bCs/>
          <w:szCs w:val="24"/>
        </w:rPr>
        <w:t>Niveles de tensión:</w:t>
      </w:r>
      <w:r w:rsidRPr="002946A9">
        <w:rPr>
          <w:rFonts w:ascii="Trebuchet MS" w:hAnsi="Trebuchet MS"/>
          <w:szCs w:val="24"/>
        </w:rPr>
        <w:t xml:space="preserve"> los STR y SDL se clasifican por niveles, en función de la tensión nominal de operación, según la siguiente definición:</w:t>
      </w:r>
    </w:p>
    <w:p w14:paraId="17533FBD" w14:textId="77777777" w:rsidR="00DD5A0F" w:rsidRPr="002946A9" w:rsidRDefault="00DD5A0F" w:rsidP="00DF29CB">
      <w:pPr>
        <w:pStyle w:val="Prrafodelista"/>
        <w:numPr>
          <w:ilvl w:val="0"/>
          <w:numId w:val="16"/>
        </w:numPr>
        <w:jc w:val="both"/>
        <w:rPr>
          <w:rFonts w:ascii="Trebuchet MS" w:hAnsi="Trebuchet MS"/>
          <w:szCs w:val="24"/>
        </w:rPr>
      </w:pPr>
      <w:r w:rsidRPr="002946A9">
        <w:rPr>
          <w:rFonts w:ascii="Trebuchet MS" w:hAnsi="Trebuchet MS"/>
          <w:szCs w:val="24"/>
        </w:rPr>
        <w:t>Nivel 1: sistemas con tensión nominal menor a 1 kV.</w:t>
      </w:r>
    </w:p>
    <w:p w14:paraId="6FC0F9B1" w14:textId="77777777" w:rsidR="00DD5A0F" w:rsidRPr="002946A9" w:rsidRDefault="00DD5A0F" w:rsidP="00DF29CB">
      <w:pPr>
        <w:pStyle w:val="Prrafodelista"/>
        <w:numPr>
          <w:ilvl w:val="0"/>
          <w:numId w:val="16"/>
        </w:numPr>
        <w:jc w:val="both"/>
        <w:rPr>
          <w:rFonts w:ascii="Trebuchet MS" w:hAnsi="Trebuchet MS"/>
          <w:szCs w:val="24"/>
        </w:rPr>
      </w:pPr>
      <w:r w:rsidRPr="002946A9">
        <w:rPr>
          <w:rFonts w:ascii="Trebuchet MS" w:hAnsi="Trebuchet MS"/>
          <w:szCs w:val="24"/>
        </w:rPr>
        <w:t>Nivel 2: sistemas con tensión nominal mayor o igual a 1 kV y menor de 30 kV.</w:t>
      </w:r>
    </w:p>
    <w:p w14:paraId="5937F8CE" w14:textId="77777777" w:rsidR="00DD5A0F" w:rsidRPr="002946A9" w:rsidRDefault="00DD5A0F" w:rsidP="00DF29CB">
      <w:pPr>
        <w:pStyle w:val="Prrafodelista"/>
        <w:numPr>
          <w:ilvl w:val="0"/>
          <w:numId w:val="16"/>
        </w:numPr>
        <w:jc w:val="both"/>
        <w:rPr>
          <w:rFonts w:ascii="Trebuchet MS" w:hAnsi="Trebuchet MS"/>
          <w:szCs w:val="24"/>
        </w:rPr>
      </w:pPr>
      <w:r w:rsidRPr="002946A9">
        <w:rPr>
          <w:rFonts w:ascii="Trebuchet MS" w:hAnsi="Trebuchet MS"/>
          <w:szCs w:val="24"/>
        </w:rPr>
        <w:t>Nivel 3: sistemas con tensión nominal mayor o igual a 30 kV y menor de 57,5 kV.</w:t>
      </w:r>
    </w:p>
    <w:p w14:paraId="5350DA44" w14:textId="77777777" w:rsidR="00DD5A0F" w:rsidRPr="002946A9" w:rsidRDefault="00DD5A0F" w:rsidP="00DF29CB">
      <w:pPr>
        <w:pStyle w:val="Prrafodelista"/>
        <w:numPr>
          <w:ilvl w:val="0"/>
          <w:numId w:val="16"/>
        </w:numPr>
        <w:jc w:val="both"/>
        <w:rPr>
          <w:rFonts w:ascii="Trebuchet MS" w:hAnsi="Trebuchet MS"/>
          <w:szCs w:val="24"/>
        </w:rPr>
      </w:pPr>
      <w:r w:rsidRPr="002946A9">
        <w:rPr>
          <w:rFonts w:ascii="Trebuchet MS" w:hAnsi="Trebuchet MS"/>
          <w:szCs w:val="24"/>
        </w:rPr>
        <w:t>Nivel 4: sistemas con tensión nominal mayor o igual a 57,5 kV y menor a 220 kV.</w:t>
      </w:r>
    </w:p>
    <w:p w14:paraId="4019ED64" w14:textId="77777777" w:rsidR="00EA6113" w:rsidRPr="002946A9" w:rsidRDefault="00EA6113" w:rsidP="00DF29CB">
      <w:pPr>
        <w:ind w:left="360"/>
        <w:jc w:val="both"/>
        <w:rPr>
          <w:rFonts w:ascii="Trebuchet MS" w:hAnsi="Trebuchet MS"/>
          <w:szCs w:val="24"/>
        </w:rPr>
      </w:pPr>
      <w:r w:rsidRPr="002946A9">
        <w:rPr>
          <w:rFonts w:ascii="Trebuchet MS" w:hAnsi="Trebuchet MS"/>
          <w:b/>
          <w:bCs/>
          <w:szCs w:val="24"/>
        </w:rPr>
        <w:t>Operador de red de STR y SDL, OR:</w:t>
      </w:r>
      <w:r w:rsidRPr="002946A9">
        <w:rPr>
          <w:rFonts w:ascii="Trebuchet MS" w:hAnsi="Trebuchet MS"/>
          <w:szCs w:val="24"/>
        </w:rPr>
        <w:t xml:space="preserve"> persona encargada de la planeación de la expansión, las inversiones, la operación y el mantenimiento de todo o parte de un STR o SDL, incluidas sus conexiones al STN. Los activos pueden ser de su propiedad o de terceros. Para todos los propósitos son las empresas que tienen cargos por uso de los STR o SDL aprobados por la CREG. El OR siempre debe ser una empresa de servicios públicos domiciliarios. La unidad mínima de un SDL para que un OR solicite cargos por uso corresponde a un municipio.</w:t>
      </w:r>
    </w:p>
    <w:p w14:paraId="3DB4F024" w14:textId="0A3D67CA" w:rsidR="00EA6113" w:rsidRPr="002946A9" w:rsidRDefault="00EA6113" w:rsidP="00DF29CB">
      <w:pPr>
        <w:ind w:left="360"/>
        <w:jc w:val="both"/>
        <w:rPr>
          <w:rFonts w:ascii="Trebuchet MS" w:hAnsi="Trebuchet MS"/>
          <w:szCs w:val="24"/>
        </w:rPr>
      </w:pPr>
      <w:r w:rsidRPr="002946A9">
        <w:rPr>
          <w:rFonts w:ascii="Trebuchet MS" w:hAnsi="Trebuchet MS"/>
          <w:b/>
          <w:bCs/>
          <w:szCs w:val="24"/>
        </w:rPr>
        <w:t xml:space="preserve">Separador </w:t>
      </w:r>
      <w:r w:rsidR="00871040" w:rsidRPr="002946A9">
        <w:rPr>
          <w:rFonts w:ascii="Trebuchet MS" w:hAnsi="Trebuchet MS"/>
          <w:b/>
          <w:bCs/>
          <w:szCs w:val="24"/>
        </w:rPr>
        <w:t xml:space="preserve">de </w:t>
      </w:r>
      <w:r w:rsidRPr="002946A9">
        <w:rPr>
          <w:rFonts w:ascii="Trebuchet MS" w:hAnsi="Trebuchet MS"/>
          <w:b/>
          <w:bCs/>
          <w:szCs w:val="24"/>
        </w:rPr>
        <w:t>miles</w:t>
      </w:r>
      <w:r w:rsidRPr="002946A9">
        <w:rPr>
          <w:rFonts w:ascii="Trebuchet MS" w:hAnsi="Trebuchet MS"/>
          <w:szCs w:val="24"/>
        </w:rPr>
        <w:t>: se utiliza la coma (,)</w:t>
      </w:r>
      <w:r w:rsidR="00203787" w:rsidRPr="002946A9">
        <w:rPr>
          <w:rFonts w:ascii="Trebuchet MS" w:hAnsi="Trebuchet MS"/>
          <w:szCs w:val="24"/>
        </w:rPr>
        <w:t>.</w:t>
      </w:r>
    </w:p>
    <w:p w14:paraId="616D749C" w14:textId="04BE0E76" w:rsidR="00EA6113" w:rsidRPr="002946A9" w:rsidRDefault="00EA6113" w:rsidP="00DF29CB">
      <w:pPr>
        <w:ind w:left="360"/>
        <w:jc w:val="both"/>
        <w:rPr>
          <w:rFonts w:ascii="Trebuchet MS" w:hAnsi="Trebuchet MS"/>
          <w:szCs w:val="24"/>
        </w:rPr>
      </w:pPr>
      <w:r w:rsidRPr="002946A9">
        <w:rPr>
          <w:rFonts w:ascii="Trebuchet MS" w:hAnsi="Trebuchet MS"/>
          <w:b/>
          <w:bCs/>
          <w:szCs w:val="24"/>
        </w:rPr>
        <w:t xml:space="preserve">Separador </w:t>
      </w:r>
      <w:r w:rsidR="00871040" w:rsidRPr="002946A9">
        <w:rPr>
          <w:rFonts w:ascii="Trebuchet MS" w:hAnsi="Trebuchet MS"/>
          <w:b/>
          <w:bCs/>
          <w:szCs w:val="24"/>
        </w:rPr>
        <w:t xml:space="preserve">de </w:t>
      </w:r>
      <w:r w:rsidRPr="002946A9">
        <w:rPr>
          <w:rFonts w:ascii="Trebuchet MS" w:hAnsi="Trebuchet MS"/>
          <w:b/>
          <w:bCs/>
          <w:szCs w:val="24"/>
        </w:rPr>
        <w:t>decimales:</w:t>
      </w:r>
      <w:r w:rsidRPr="002946A9">
        <w:rPr>
          <w:rFonts w:ascii="Trebuchet MS" w:hAnsi="Trebuchet MS"/>
          <w:szCs w:val="24"/>
        </w:rPr>
        <w:t xml:space="preserve"> se utiliza el punto (.)</w:t>
      </w:r>
      <w:r w:rsidR="00203787" w:rsidRPr="002946A9">
        <w:rPr>
          <w:rFonts w:ascii="Trebuchet MS" w:hAnsi="Trebuchet MS"/>
          <w:szCs w:val="24"/>
        </w:rPr>
        <w:t>.</w:t>
      </w:r>
    </w:p>
    <w:p w14:paraId="3F1F7537" w14:textId="77777777" w:rsidR="00EA6113" w:rsidRPr="002946A9" w:rsidRDefault="00EA6113" w:rsidP="00DF29CB">
      <w:pPr>
        <w:ind w:left="360"/>
        <w:jc w:val="both"/>
        <w:rPr>
          <w:rFonts w:ascii="Trebuchet MS" w:hAnsi="Trebuchet MS"/>
          <w:szCs w:val="24"/>
        </w:rPr>
      </w:pPr>
      <w:r w:rsidRPr="002946A9">
        <w:rPr>
          <w:rFonts w:ascii="Trebuchet MS" w:hAnsi="Trebuchet MS"/>
          <w:b/>
          <w:bCs/>
          <w:szCs w:val="24"/>
        </w:rPr>
        <w:t>Sistema de Distribución Local, SDL:</w:t>
      </w:r>
      <w:r w:rsidRPr="002946A9">
        <w:rPr>
          <w:rFonts w:ascii="Trebuchet MS" w:hAnsi="Trebuchet MS"/>
          <w:szCs w:val="24"/>
        </w:rPr>
        <w:t xml:space="preserve"> sistema de transporte de energía eléctrica compuesto por el conjunto de líneas y subestaciones, con sus equipos asociados, que operan en los niveles de tensión 3, 2 y 1 y son utilizados para la prestación del servicio en un mercado de comercialización.</w:t>
      </w:r>
    </w:p>
    <w:p w14:paraId="34E09214" w14:textId="77777777" w:rsidR="00EA6113" w:rsidRPr="002946A9" w:rsidRDefault="00EA6113" w:rsidP="00DF29CB">
      <w:pPr>
        <w:ind w:left="360"/>
        <w:jc w:val="both"/>
        <w:rPr>
          <w:rFonts w:ascii="Trebuchet MS" w:hAnsi="Trebuchet MS"/>
          <w:szCs w:val="24"/>
        </w:rPr>
      </w:pPr>
      <w:r w:rsidRPr="002946A9">
        <w:rPr>
          <w:rFonts w:ascii="Trebuchet MS" w:hAnsi="Trebuchet MS"/>
          <w:b/>
          <w:bCs/>
          <w:szCs w:val="24"/>
        </w:rPr>
        <w:t>Sistema de Transmisión Regional, STR:</w:t>
      </w:r>
      <w:r w:rsidRPr="002946A9">
        <w:rPr>
          <w:rFonts w:ascii="Trebuchet MS" w:hAnsi="Trebuchet MS"/>
          <w:szCs w:val="24"/>
        </w:rPr>
        <w:t xml:space="preserve"> sistema de transporte de energía eléctrica compuesto por los activos de conexión del OR o el TR al STN y el conjunto de líneas, equipos y subestaciones, con sus equipos asociados, que operan en el nivel de tensión 4. Los STR pueden estar conformados por los activos de uno o más OR o TR</w:t>
      </w:r>
    </w:p>
    <w:p w14:paraId="2650CD9A" w14:textId="77777777" w:rsidR="00EA6113" w:rsidRPr="002946A9" w:rsidRDefault="00EA6113" w:rsidP="00DF29CB">
      <w:pPr>
        <w:ind w:left="360"/>
        <w:jc w:val="both"/>
        <w:rPr>
          <w:rFonts w:ascii="Trebuchet MS" w:hAnsi="Trebuchet MS"/>
          <w:szCs w:val="24"/>
        </w:rPr>
      </w:pPr>
      <w:r w:rsidRPr="002946A9">
        <w:rPr>
          <w:rFonts w:ascii="Trebuchet MS" w:hAnsi="Trebuchet MS"/>
          <w:b/>
          <w:bCs/>
          <w:szCs w:val="24"/>
        </w:rPr>
        <w:t>SSPD:</w:t>
      </w:r>
      <w:r w:rsidRPr="002946A9">
        <w:rPr>
          <w:rFonts w:ascii="Trebuchet MS" w:hAnsi="Trebuchet MS"/>
          <w:szCs w:val="24"/>
        </w:rPr>
        <w:t xml:space="preserve"> Superintendencia de Servicios Públicos Domiciliarios</w:t>
      </w:r>
    </w:p>
    <w:p w14:paraId="7A361573" w14:textId="5DA15544" w:rsidR="00EA6113" w:rsidRPr="002946A9" w:rsidRDefault="00EA6113" w:rsidP="00DF29CB">
      <w:pPr>
        <w:ind w:left="360"/>
        <w:jc w:val="both"/>
        <w:rPr>
          <w:rFonts w:ascii="Trebuchet MS" w:hAnsi="Trebuchet MS"/>
          <w:szCs w:val="24"/>
        </w:rPr>
      </w:pPr>
      <w:r w:rsidRPr="002946A9">
        <w:rPr>
          <w:rFonts w:ascii="Trebuchet MS" w:hAnsi="Trebuchet MS"/>
          <w:b/>
          <w:bCs/>
          <w:szCs w:val="24"/>
        </w:rPr>
        <w:t>Unidad constructiva, UC:</w:t>
      </w:r>
      <w:r w:rsidRPr="002946A9">
        <w:rPr>
          <w:rFonts w:ascii="Trebuchet MS" w:hAnsi="Trebuchet MS"/>
          <w:szCs w:val="24"/>
        </w:rPr>
        <w:t xml:space="preserve"> conjunto de elementos que conforman una unidad típica de un sistema eléctrico, destinada a la conexión de otros elementos de una red, al transporte o a la transformación de la energía eléctrica o a la supervisión o al control de la operación de activos de los STR o SDL.</w:t>
      </w:r>
    </w:p>
    <w:p w14:paraId="6926BCA1" w14:textId="77777777" w:rsidR="00302184" w:rsidRDefault="00302184" w:rsidP="00DF29CB">
      <w:pPr>
        <w:ind w:left="360"/>
        <w:jc w:val="both"/>
        <w:rPr>
          <w:rFonts w:ascii="Trebuchet MS" w:hAnsi="Trebuchet MS"/>
          <w:szCs w:val="24"/>
        </w:rPr>
      </w:pPr>
      <w:r w:rsidRPr="002946A9">
        <w:rPr>
          <w:rFonts w:ascii="Trebuchet MS" w:hAnsi="Trebuchet MS"/>
          <w:b/>
          <w:bCs/>
          <w:szCs w:val="24"/>
        </w:rPr>
        <w:t>Unidad constructiva especial:</w:t>
      </w:r>
      <w:r w:rsidRPr="002946A9">
        <w:rPr>
          <w:rFonts w:ascii="Trebuchet MS" w:hAnsi="Trebuchet MS"/>
          <w:szCs w:val="24"/>
        </w:rPr>
        <w:t xml:space="preserve"> es aquella que contiene elementos con características técnicas que no la hace asimilable a las UC definidas.</w:t>
      </w:r>
    </w:p>
    <w:p w14:paraId="2899CA8B" w14:textId="5EB7D2E9" w:rsidR="002D59FC" w:rsidRPr="007056B6" w:rsidRDefault="007056B6" w:rsidP="007056B6">
      <w:pPr>
        <w:ind w:left="360"/>
        <w:jc w:val="both"/>
        <w:rPr>
          <w:rFonts w:ascii="Trebuchet MS" w:hAnsi="Trebuchet MS"/>
          <w:b/>
          <w:bCs/>
          <w:szCs w:val="24"/>
        </w:rPr>
      </w:pPr>
      <w:r>
        <w:rPr>
          <w:rFonts w:ascii="Trebuchet MS" w:hAnsi="Trebuchet MS"/>
          <w:b/>
          <w:bCs/>
          <w:szCs w:val="24"/>
        </w:rPr>
        <w:br w:type="page"/>
      </w:r>
    </w:p>
    <w:p w14:paraId="3BEF4D16" w14:textId="15B5D615" w:rsidR="00FB3C5F" w:rsidRPr="00FB3C5F" w:rsidRDefault="00751CD9" w:rsidP="00FB3C5F">
      <w:pPr>
        <w:pStyle w:val="Ttulo1"/>
        <w:numPr>
          <w:ilvl w:val="0"/>
          <w:numId w:val="1"/>
        </w:numPr>
        <w:jc w:val="both"/>
        <w:rPr>
          <w:rFonts w:ascii="Trebuchet MS" w:hAnsi="Trebuchet MS"/>
          <w:b/>
          <w:sz w:val="28"/>
        </w:rPr>
      </w:pPr>
      <w:bookmarkStart w:id="5" w:name="_Ref67652352"/>
      <w:bookmarkStart w:id="6" w:name="_Toc131109329"/>
      <w:r w:rsidRPr="002946A9">
        <w:rPr>
          <w:rFonts w:ascii="Trebuchet MS" w:hAnsi="Trebuchet MS"/>
          <w:b/>
          <w:sz w:val="28"/>
        </w:rPr>
        <w:t>PLAN DE INVERSIONES 20</w:t>
      </w:r>
      <w:r w:rsidR="00471F84" w:rsidRPr="002946A9">
        <w:rPr>
          <w:rFonts w:ascii="Trebuchet MS" w:hAnsi="Trebuchet MS"/>
          <w:b/>
          <w:sz w:val="28"/>
        </w:rPr>
        <w:t>2</w:t>
      </w:r>
      <w:r w:rsidR="00777DA5" w:rsidRPr="002946A9">
        <w:rPr>
          <w:rFonts w:ascii="Trebuchet MS" w:hAnsi="Trebuchet MS"/>
          <w:b/>
          <w:sz w:val="28"/>
        </w:rPr>
        <w:t>0</w:t>
      </w:r>
      <w:r w:rsidRPr="002946A9">
        <w:rPr>
          <w:rFonts w:ascii="Trebuchet MS" w:hAnsi="Trebuchet MS"/>
          <w:b/>
          <w:sz w:val="28"/>
        </w:rPr>
        <w:t xml:space="preserve"> – 202</w:t>
      </w:r>
      <w:bookmarkEnd w:id="5"/>
      <w:r w:rsidR="00471F84" w:rsidRPr="002946A9">
        <w:rPr>
          <w:rFonts w:ascii="Trebuchet MS" w:hAnsi="Trebuchet MS"/>
          <w:b/>
          <w:sz w:val="28"/>
        </w:rPr>
        <w:t>5</w:t>
      </w:r>
      <w:bookmarkEnd w:id="6"/>
      <w:r w:rsidRPr="002946A9">
        <w:rPr>
          <w:rFonts w:ascii="Trebuchet MS" w:hAnsi="Trebuchet MS"/>
          <w:b/>
          <w:sz w:val="28"/>
        </w:rPr>
        <w:t xml:space="preserve">  </w:t>
      </w:r>
    </w:p>
    <w:p w14:paraId="156A0E4F" w14:textId="77777777" w:rsidR="004A3FC6" w:rsidRPr="002946A9" w:rsidRDefault="004A3FC6" w:rsidP="00DF29CB">
      <w:pPr>
        <w:jc w:val="both"/>
      </w:pPr>
    </w:p>
    <w:p w14:paraId="478C219D" w14:textId="79BE6260" w:rsidR="003308CE" w:rsidRPr="002946A9" w:rsidRDefault="00631502" w:rsidP="00EF3F98">
      <w:pPr>
        <w:ind w:left="360"/>
        <w:jc w:val="both"/>
        <w:rPr>
          <w:rFonts w:ascii="Trebuchet MS" w:hAnsi="Trebuchet MS"/>
          <w:szCs w:val="24"/>
        </w:rPr>
      </w:pPr>
      <w:r w:rsidRPr="002946A9">
        <w:rPr>
          <w:rFonts w:ascii="Trebuchet MS" w:hAnsi="Trebuchet MS"/>
          <w:szCs w:val="24"/>
        </w:rPr>
        <w:t xml:space="preserve">Acorde </w:t>
      </w:r>
      <w:r w:rsidR="00BE38B3" w:rsidRPr="002946A9">
        <w:rPr>
          <w:rFonts w:ascii="Trebuchet MS" w:hAnsi="Trebuchet MS"/>
          <w:szCs w:val="24"/>
        </w:rPr>
        <w:t xml:space="preserve">con el artículo 22, ítem f, de la </w:t>
      </w:r>
      <w:r w:rsidR="002013AA" w:rsidRPr="002946A9">
        <w:rPr>
          <w:rFonts w:ascii="Trebuchet MS" w:hAnsi="Trebuchet MS"/>
          <w:szCs w:val="24"/>
        </w:rPr>
        <w:t>R</w:t>
      </w:r>
      <w:r w:rsidR="00BE38B3" w:rsidRPr="002946A9">
        <w:rPr>
          <w:rFonts w:ascii="Trebuchet MS" w:hAnsi="Trebuchet MS"/>
          <w:szCs w:val="24"/>
        </w:rPr>
        <w:t xml:space="preserve">esolución CREG 015 del 2018, es obligación de los </w:t>
      </w:r>
      <w:r w:rsidR="002013AA" w:rsidRPr="002946A9">
        <w:rPr>
          <w:rFonts w:ascii="Trebuchet MS" w:hAnsi="Trebuchet MS"/>
          <w:szCs w:val="24"/>
        </w:rPr>
        <w:t>OR</w:t>
      </w:r>
      <w:r w:rsidR="00BE38B3" w:rsidRPr="002946A9">
        <w:rPr>
          <w:rFonts w:ascii="Trebuchet MS" w:hAnsi="Trebuchet MS"/>
          <w:szCs w:val="24"/>
        </w:rPr>
        <w:t xml:space="preserve">: </w:t>
      </w:r>
      <w:r w:rsidR="00BE38B3" w:rsidRPr="002946A9">
        <w:rPr>
          <w:rFonts w:ascii="Trebuchet MS" w:hAnsi="Trebuchet MS"/>
          <w:i/>
          <w:iCs/>
          <w:szCs w:val="24"/>
        </w:rPr>
        <w:t>“Planear, formular y ejecutar diligentemente los planes de inversión y mantenimiento para garantizar a los usuarios la prestación del servicio en condiciones de calidad, continuidad y seguridad exigidos por la regulación”</w:t>
      </w:r>
      <w:r w:rsidR="00BE38B3" w:rsidRPr="002946A9">
        <w:rPr>
          <w:rFonts w:ascii="Trebuchet MS" w:hAnsi="Trebuchet MS"/>
          <w:szCs w:val="24"/>
        </w:rPr>
        <w:t>. Con base en esto,</w:t>
      </w:r>
      <w:r w:rsidR="00516A98" w:rsidRPr="002946A9">
        <w:rPr>
          <w:rFonts w:ascii="Trebuchet MS" w:hAnsi="Trebuchet MS"/>
          <w:szCs w:val="24"/>
        </w:rPr>
        <w:t xml:space="preserve"> dentro de la solicitud de aprobación de ingresos y cargos presentada a la CREG, </w:t>
      </w:r>
      <w:r w:rsidRPr="002946A9">
        <w:rPr>
          <w:rFonts w:ascii="Trebuchet MS" w:hAnsi="Trebuchet MS"/>
          <w:szCs w:val="24"/>
        </w:rPr>
        <w:t xml:space="preserve">Empresas Públicas de Medellín E.S.P., en adelante EPM, </w:t>
      </w:r>
      <w:r w:rsidR="00516A98" w:rsidRPr="002946A9">
        <w:rPr>
          <w:rFonts w:ascii="Trebuchet MS" w:hAnsi="Trebuchet MS"/>
          <w:szCs w:val="24"/>
        </w:rPr>
        <w:t xml:space="preserve">sometió la aprobación del plan de </w:t>
      </w:r>
      <w:r w:rsidR="00BE38B3" w:rsidRPr="002946A9">
        <w:rPr>
          <w:rFonts w:ascii="Trebuchet MS" w:hAnsi="Trebuchet MS"/>
          <w:szCs w:val="24"/>
        </w:rPr>
        <w:t>inversiones regulatorio, correspondiente al periodo 2019-2023, bajo los criterios, requisitos e indicaciones estipuladas en el capítulo 6 de la resolución</w:t>
      </w:r>
      <w:r w:rsidR="00A073A9" w:rsidRPr="002946A9">
        <w:rPr>
          <w:rFonts w:ascii="Trebuchet MS" w:hAnsi="Trebuchet MS"/>
          <w:szCs w:val="24"/>
        </w:rPr>
        <w:t xml:space="preserve"> en mención</w:t>
      </w:r>
      <w:r w:rsidR="00BE38B3" w:rsidRPr="002946A9">
        <w:rPr>
          <w:rFonts w:ascii="Trebuchet MS" w:hAnsi="Trebuchet MS"/>
          <w:szCs w:val="24"/>
        </w:rPr>
        <w:t>.</w:t>
      </w:r>
      <w:r w:rsidR="004A04CD" w:rsidRPr="002946A9">
        <w:rPr>
          <w:rFonts w:ascii="Trebuchet MS" w:hAnsi="Trebuchet MS"/>
          <w:szCs w:val="24"/>
        </w:rPr>
        <w:t xml:space="preserve"> Posteriormente, considerando lo estipulado en el numeral 6.6 de la resolución CREG 015/2018, mediante el cual, “</w:t>
      </w:r>
      <w:r w:rsidR="004A04CD" w:rsidRPr="002946A9">
        <w:rPr>
          <w:rFonts w:ascii="Trebuchet MS" w:hAnsi="Trebuchet MS"/>
          <w:i/>
          <w:iCs/>
          <w:szCs w:val="24"/>
        </w:rPr>
        <w:t>Los OR pueden solicitar la revisión de los planes de inversión cada dos años contados a partir del inicio de su remuneración</w:t>
      </w:r>
      <w:r w:rsidR="004A04CD" w:rsidRPr="002946A9">
        <w:rPr>
          <w:rFonts w:ascii="Trebuchet MS" w:hAnsi="Trebuchet MS"/>
          <w:szCs w:val="24"/>
        </w:rPr>
        <w:t>”, EPM presentó ajustes del plan 2019 – 2023 inicialmente aprobado, con lo cual, mediante resoluciones CREG 136 del 2021</w:t>
      </w:r>
      <w:r w:rsidR="000D6CEC">
        <w:rPr>
          <w:rFonts w:ascii="Trebuchet MS" w:hAnsi="Trebuchet MS"/>
          <w:szCs w:val="24"/>
        </w:rPr>
        <w:t>,</w:t>
      </w:r>
      <w:r w:rsidR="004A04CD" w:rsidRPr="002946A9">
        <w:rPr>
          <w:rFonts w:ascii="Trebuchet MS" w:hAnsi="Trebuchet MS"/>
          <w:szCs w:val="24"/>
        </w:rPr>
        <w:t xml:space="preserve"> CREG 501</w:t>
      </w:r>
      <w:r w:rsidR="005F3362" w:rsidRPr="002946A9">
        <w:rPr>
          <w:rFonts w:ascii="Trebuchet MS" w:hAnsi="Trebuchet MS"/>
          <w:szCs w:val="24"/>
        </w:rPr>
        <w:t xml:space="preserve"> - 022</w:t>
      </w:r>
      <w:r w:rsidR="004A04CD" w:rsidRPr="002946A9">
        <w:rPr>
          <w:rFonts w:ascii="Trebuchet MS" w:hAnsi="Trebuchet MS"/>
          <w:szCs w:val="24"/>
        </w:rPr>
        <w:t xml:space="preserve"> del 2022</w:t>
      </w:r>
      <w:r w:rsidR="000D6CEC">
        <w:rPr>
          <w:rFonts w:ascii="Trebuchet MS" w:hAnsi="Trebuchet MS"/>
          <w:szCs w:val="24"/>
        </w:rPr>
        <w:t xml:space="preserve"> y CREG 501 027 del 2022</w:t>
      </w:r>
      <w:r w:rsidR="004A04CD" w:rsidRPr="002946A9">
        <w:rPr>
          <w:rFonts w:ascii="Trebuchet MS" w:hAnsi="Trebuchet MS"/>
          <w:szCs w:val="24"/>
        </w:rPr>
        <w:t>, la CREG aprobó los ajustes</w:t>
      </w:r>
      <w:r w:rsidR="002B25E7" w:rsidRPr="002946A9">
        <w:rPr>
          <w:rFonts w:ascii="Trebuchet MS" w:hAnsi="Trebuchet MS"/>
          <w:szCs w:val="24"/>
        </w:rPr>
        <w:t xml:space="preserve"> presentados correspondientes al periodo 202</w:t>
      </w:r>
      <w:r w:rsidR="005F3362" w:rsidRPr="002946A9">
        <w:rPr>
          <w:rFonts w:ascii="Trebuchet MS" w:hAnsi="Trebuchet MS"/>
          <w:szCs w:val="24"/>
        </w:rPr>
        <w:t>0</w:t>
      </w:r>
      <w:r w:rsidR="002B25E7" w:rsidRPr="002946A9">
        <w:rPr>
          <w:rFonts w:ascii="Trebuchet MS" w:hAnsi="Trebuchet MS"/>
          <w:szCs w:val="24"/>
        </w:rPr>
        <w:t xml:space="preserve"> – 2025.</w:t>
      </w:r>
    </w:p>
    <w:p w14:paraId="1853C4D3" w14:textId="68B3327E" w:rsidR="002B3AC4" w:rsidRPr="00FB3C5F" w:rsidRDefault="00D37679" w:rsidP="00FB3C5F">
      <w:pPr>
        <w:spacing w:after="0"/>
        <w:ind w:left="360"/>
        <w:jc w:val="both"/>
        <w:rPr>
          <w:rFonts w:ascii="Trebuchet MS" w:hAnsi="Trebuchet MS"/>
          <w:szCs w:val="24"/>
        </w:rPr>
      </w:pPr>
      <w:r w:rsidRPr="002946A9">
        <w:rPr>
          <w:rFonts w:ascii="Trebuchet MS" w:hAnsi="Trebuchet MS"/>
          <w:szCs w:val="24"/>
        </w:rPr>
        <w:t>Con relación al</w:t>
      </w:r>
      <w:r w:rsidR="00BE38B3" w:rsidRPr="002946A9">
        <w:rPr>
          <w:rFonts w:ascii="Trebuchet MS" w:hAnsi="Trebuchet MS"/>
          <w:szCs w:val="24"/>
        </w:rPr>
        <w:t xml:space="preserve"> plan de inversiones</w:t>
      </w:r>
      <w:r w:rsidR="00A073A9" w:rsidRPr="002946A9">
        <w:rPr>
          <w:rFonts w:ascii="Trebuchet MS" w:hAnsi="Trebuchet MS"/>
          <w:szCs w:val="24"/>
        </w:rPr>
        <w:t xml:space="preserve"> 20</w:t>
      </w:r>
      <w:r w:rsidR="003308CE" w:rsidRPr="002946A9">
        <w:rPr>
          <w:rFonts w:ascii="Trebuchet MS" w:hAnsi="Trebuchet MS"/>
          <w:szCs w:val="24"/>
        </w:rPr>
        <w:t>2</w:t>
      </w:r>
      <w:r w:rsidR="008C6E2A" w:rsidRPr="002946A9">
        <w:rPr>
          <w:rFonts w:ascii="Trebuchet MS" w:hAnsi="Trebuchet MS"/>
          <w:szCs w:val="24"/>
        </w:rPr>
        <w:t>0</w:t>
      </w:r>
      <w:r w:rsidR="00A073A9" w:rsidRPr="002946A9">
        <w:rPr>
          <w:rFonts w:ascii="Trebuchet MS" w:hAnsi="Trebuchet MS"/>
          <w:szCs w:val="24"/>
        </w:rPr>
        <w:t>-202</w:t>
      </w:r>
      <w:r w:rsidR="003308CE" w:rsidRPr="002946A9">
        <w:rPr>
          <w:rFonts w:ascii="Trebuchet MS" w:hAnsi="Trebuchet MS"/>
          <w:szCs w:val="24"/>
        </w:rPr>
        <w:t>5</w:t>
      </w:r>
      <w:r w:rsidR="00BE38B3" w:rsidRPr="002946A9">
        <w:rPr>
          <w:rFonts w:ascii="Trebuchet MS" w:hAnsi="Trebuchet MS"/>
          <w:szCs w:val="24"/>
        </w:rPr>
        <w:t>, se destacan los siguientes aspectos a considerar:</w:t>
      </w:r>
      <w:bookmarkStart w:id="7" w:name="_Toc61873472"/>
      <w:bookmarkStart w:id="8" w:name="_Toc61873605"/>
      <w:bookmarkStart w:id="9" w:name="_Toc61875066"/>
      <w:bookmarkStart w:id="10" w:name="_Toc61875197"/>
      <w:bookmarkStart w:id="11" w:name="_Toc61875231"/>
      <w:bookmarkStart w:id="12" w:name="_Toc61875828"/>
      <w:bookmarkStart w:id="13" w:name="_Toc61875856"/>
      <w:bookmarkStart w:id="14" w:name="_Toc61877455"/>
      <w:bookmarkStart w:id="15" w:name="_Toc61877555"/>
      <w:bookmarkStart w:id="16" w:name="_Toc61878315"/>
      <w:bookmarkStart w:id="17" w:name="_Toc61880429"/>
      <w:bookmarkStart w:id="18" w:name="_Toc61880461"/>
      <w:bookmarkStart w:id="19" w:name="_Toc61960166"/>
      <w:bookmarkStart w:id="20" w:name="_Toc66954162"/>
      <w:bookmarkStart w:id="21" w:name="_Toc66954575"/>
      <w:bookmarkStart w:id="22" w:name="_Toc66954864"/>
      <w:bookmarkStart w:id="23" w:name="_Toc67033687"/>
      <w:bookmarkStart w:id="24" w:name="_Toc67387473"/>
      <w:bookmarkStart w:id="25" w:name="_Toc67387811"/>
      <w:bookmarkStart w:id="26" w:name="_Toc67387896"/>
      <w:bookmarkStart w:id="27" w:name="_Toc67387992"/>
      <w:bookmarkStart w:id="28" w:name="_Toc67393328"/>
      <w:bookmarkStart w:id="29" w:name="_Toc67394779"/>
      <w:bookmarkStart w:id="30" w:name="_Toc67468481"/>
      <w:bookmarkStart w:id="31" w:name="_Toc67581027"/>
      <w:bookmarkStart w:id="32" w:name="_Toc67581176"/>
      <w:bookmarkStart w:id="33" w:name="_Toc67581625"/>
      <w:bookmarkStart w:id="34" w:name="_Toc67581729"/>
      <w:bookmarkStart w:id="35" w:name="_Toc67584868"/>
      <w:bookmarkStart w:id="36" w:name="_Toc67584969"/>
      <w:bookmarkStart w:id="37" w:name="_Toc67585070"/>
      <w:bookmarkStart w:id="38" w:name="_Toc67644194"/>
      <w:bookmarkStart w:id="39" w:name="_Toc67646554"/>
      <w:bookmarkStart w:id="40" w:name="_Toc67652449"/>
      <w:bookmarkStart w:id="41" w:name="_Toc67658870"/>
      <w:bookmarkStart w:id="42" w:name="_Toc67659349"/>
      <w:bookmarkStart w:id="43" w:name="_Toc67662074"/>
      <w:bookmarkStart w:id="44" w:name="_Toc67666546"/>
      <w:bookmarkStart w:id="45" w:name="_Toc67725041"/>
      <w:bookmarkStart w:id="46" w:name="_Toc67730156"/>
      <w:bookmarkStart w:id="47" w:name="_Toc67730490"/>
      <w:bookmarkStart w:id="48" w:name="_Toc67740092"/>
      <w:bookmarkStart w:id="49" w:name="_Toc67747170"/>
      <w:bookmarkStart w:id="50" w:name="_Toc67748194"/>
      <w:bookmarkStart w:id="51" w:name="_Toc67768782"/>
      <w:bookmarkStart w:id="52" w:name="_Toc67769598"/>
      <w:bookmarkStart w:id="53" w:name="_Toc67770991"/>
      <w:bookmarkStart w:id="54" w:name="_Toc67771481"/>
      <w:bookmarkStart w:id="55" w:name="_Toc67771631"/>
      <w:bookmarkStart w:id="56" w:name="_Toc67771741"/>
      <w:bookmarkStart w:id="57" w:name="_Toc67771864"/>
      <w:bookmarkStart w:id="58" w:name="_Toc67773193"/>
      <w:bookmarkStart w:id="59" w:name="_Toc67773400"/>
      <w:bookmarkStart w:id="60" w:name="_Toc67777778"/>
      <w:bookmarkStart w:id="61" w:name="_Toc67778453"/>
      <w:bookmarkStart w:id="62" w:name="_Toc98946089"/>
      <w:bookmarkStart w:id="63" w:name="_Toc98946153"/>
      <w:bookmarkStart w:id="64" w:name="_Toc98946253"/>
      <w:bookmarkStart w:id="65" w:name="_Toc98946390"/>
      <w:bookmarkStart w:id="66" w:name="_Toc99024879"/>
      <w:bookmarkStart w:id="67" w:name="_Toc99032794"/>
      <w:bookmarkStart w:id="68" w:name="_Toc99032894"/>
      <w:bookmarkStart w:id="69" w:name="_Toc99373481"/>
      <w:bookmarkStart w:id="70" w:name="_Toc99373580"/>
      <w:bookmarkStart w:id="71" w:name="_Toc99373933"/>
      <w:bookmarkStart w:id="72" w:name="_Toc99447519"/>
      <w:bookmarkStart w:id="73" w:name="_Toc99448870"/>
      <w:bookmarkStart w:id="74" w:name="_Toc99458409"/>
      <w:bookmarkStart w:id="75" w:name="_Toc99534575"/>
      <w:bookmarkStart w:id="76" w:name="_Toc99547832"/>
      <w:bookmarkStart w:id="77" w:name="_Toc99560630"/>
      <w:bookmarkStart w:id="78" w:name="_Toc99560730"/>
      <w:bookmarkStart w:id="79" w:name="_Toc99560830"/>
      <w:bookmarkStart w:id="80" w:name="_Toc99567512"/>
      <w:bookmarkStart w:id="81" w:name="_Toc99567640"/>
      <w:bookmarkStart w:id="82" w:name="_Toc99567740"/>
      <w:bookmarkStart w:id="83" w:name="_Toc99567867"/>
      <w:bookmarkStart w:id="84" w:name="_Toc99567967"/>
      <w:bookmarkStart w:id="85" w:name="_Toc99568067"/>
      <w:bookmarkStart w:id="86" w:name="_Toc99568167"/>
      <w:bookmarkStart w:id="87" w:name="_Toc129619830"/>
      <w:bookmarkStart w:id="88" w:name="_Toc131031311"/>
      <w:bookmarkStart w:id="89" w:name="_Toc13103281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6AB13BE7" w14:textId="77777777" w:rsidR="001F36DF" w:rsidRPr="001F36DF" w:rsidRDefault="001F36DF" w:rsidP="001F36DF">
      <w:pPr>
        <w:pStyle w:val="Prrafodelista"/>
        <w:numPr>
          <w:ilvl w:val="0"/>
          <w:numId w:val="2"/>
        </w:numPr>
        <w:jc w:val="both"/>
        <w:outlineLvl w:val="1"/>
        <w:rPr>
          <w:rFonts w:ascii="Trebuchet MS" w:hAnsi="Trebuchet MS"/>
          <w:b/>
          <w:vanish/>
          <w:sz w:val="24"/>
          <w:szCs w:val="32"/>
        </w:rPr>
      </w:pPr>
      <w:bookmarkStart w:id="90" w:name="_Toc131109330"/>
      <w:bookmarkStart w:id="91" w:name="_Hlk61852275"/>
      <w:bookmarkEnd w:id="90"/>
    </w:p>
    <w:p w14:paraId="50F71598" w14:textId="3914B6AF" w:rsidR="002B3AC4" w:rsidRPr="002946A9" w:rsidRDefault="00B85AF4" w:rsidP="001F36DF">
      <w:pPr>
        <w:pStyle w:val="Prrafodelista"/>
        <w:numPr>
          <w:ilvl w:val="1"/>
          <w:numId w:val="2"/>
        </w:numPr>
        <w:jc w:val="both"/>
        <w:outlineLvl w:val="1"/>
        <w:rPr>
          <w:rFonts w:ascii="Trebuchet MS" w:hAnsi="Trebuchet MS"/>
          <w:b/>
          <w:sz w:val="24"/>
          <w:szCs w:val="32"/>
        </w:rPr>
      </w:pPr>
      <w:bookmarkStart w:id="92" w:name="_Toc131109331"/>
      <w:r w:rsidRPr="002946A9">
        <w:rPr>
          <w:rFonts w:ascii="Trebuchet MS" w:hAnsi="Trebuchet MS"/>
          <w:b/>
          <w:sz w:val="24"/>
          <w:szCs w:val="32"/>
        </w:rPr>
        <w:t xml:space="preserve">Acciones </w:t>
      </w:r>
      <w:r w:rsidR="00891257" w:rsidRPr="002946A9">
        <w:rPr>
          <w:rFonts w:ascii="Trebuchet MS" w:hAnsi="Trebuchet MS"/>
          <w:b/>
          <w:sz w:val="24"/>
          <w:szCs w:val="32"/>
        </w:rPr>
        <w:t>encaminadas al beneficio de los usuarios</w:t>
      </w:r>
      <w:bookmarkEnd w:id="92"/>
    </w:p>
    <w:p w14:paraId="1E1CF436" w14:textId="77777777" w:rsidR="002D2C2B" w:rsidRPr="002946A9" w:rsidRDefault="00423934" w:rsidP="00DF29CB">
      <w:pPr>
        <w:ind w:left="360"/>
        <w:jc w:val="both"/>
        <w:rPr>
          <w:rFonts w:ascii="Trebuchet MS" w:hAnsi="Trebuchet MS"/>
          <w:szCs w:val="24"/>
        </w:rPr>
      </w:pPr>
      <w:r w:rsidRPr="002946A9">
        <w:rPr>
          <w:rFonts w:ascii="Trebuchet MS" w:hAnsi="Trebuchet MS"/>
          <w:szCs w:val="24"/>
        </w:rPr>
        <w:t>Conforme con lo establecido en el numeral 6.1 “C</w:t>
      </w:r>
      <w:r w:rsidR="00885A93" w:rsidRPr="002946A9">
        <w:rPr>
          <w:rFonts w:ascii="Trebuchet MS" w:hAnsi="Trebuchet MS"/>
          <w:szCs w:val="24"/>
        </w:rPr>
        <w:t>riterios generales</w:t>
      </w:r>
      <w:r w:rsidRPr="002946A9">
        <w:rPr>
          <w:rFonts w:ascii="Trebuchet MS" w:hAnsi="Trebuchet MS"/>
          <w:szCs w:val="24"/>
        </w:rPr>
        <w:t>”</w:t>
      </w:r>
      <w:r w:rsidR="00885A93" w:rsidRPr="002946A9">
        <w:rPr>
          <w:rFonts w:ascii="Trebuchet MS" w:hAnsi="Trebuchet MS"/>
          <w:szCs w:val="24"/>
        </w:rPr>
        <w:t>,</w:t>
      </w:r>
      <w:r w:rsidRPr="002946A9">
        <w:t xml:space="preserve"> </w:t>
      </w:r>
      <w:r w:rsidRPr="002946A9">
        <w:rPr>
          <w:rFonts w:ascii="Trebuchet MS" w:hAnsi="Trebuchet MS"/>
          <w:szCs w:val="24"/>
        </w:rPr>
        <w:t xml:space="preserve">ítem h, de la Resolución CREG 015 del 2018, los proyectos de inversión contemplados en el plan </w:t>
      </w:r>
      <w:r w:rsidR="00885A93" w:rsidRPr="002946A9">
        <w:rPr>
          <w:rFonts w:ascii="Trebuchet MS" w:hAnsi="Trebuchet MS"/>
          <w:i/>
          <w:iCs/>
          <w:szCs w:val="24"/>
        </w:rPr>
        <w:t>“deben contar con una relación beneficio – costo superior a uno (1), con base en los criterios y metodologías definidos por el OR para la evaluación de sus proyectos”</w:t>
      </w:r>
      <w:r w:rsidR="00885A93" w:rsidRPr="002946A9">
        <w:rPr>
          <w:rFonts w:ascii="Trebuchet MS" w:hAnsi="Trebuchet MS"/>
          <w:szCs w:val="24"/>
        </w:rPr>
        <w:t xml:space="preserve">. </w:t>
      </w:r>
    </w:p>
    <w:p w14:paraId="1893C257" w14:textId="0D9D29D1" w:rsidR="009B6014" w:rsidRPr="002946A9" w:rsidRDefault="00885A93" w:rsidP="00DF29CB">
      <w:pPr>
        <w:ind w:left="360"/>
        <w:jc w:val="both"/>
        <w:rPr>
          <w:rFonts w:ascii="Trebuchet MS" w:hAnsi="Trebuchet MS"/>
          <w:szCs w:val="24"/>
        </w:rPr>
      </w:pPr>
      <w:r w:rsidRPr="002946A9">
        <w:rPr>
          <w:rFonts w:ascii="Trebuchet MS" w:hAnsi="Trebuchet MS"/>
          <w:szCs w:val="24"/>
        </w:rPr>
        <w:t>En este sentido, dentro del Plan de Inversiones Regulatorio 20</w:t>
      </w:r>
      <w:r w:rsidR="00C3739E" w:rsidRPr="002946A9">
        <w:rPr>
          <w:rFonts w:ascii="Trebuchet MS" w:hAnsi="Trebuchet MS"/>
          <w:szCs w:val="24"/>
        </w:rPr>
        <w:t>2</w:t>
      </w:r>
      <w:r w:rsidR="00D14B1E" w:rsidRPr="002946A9">
        <w:rPr>
          <w:rFonts w:ascii="Trebuchet MS" w:hAnsi="Trebuchet MS"/>
          <w:szCs w:val="24"/>
        </w:rPr>
        <w:t>0</w:t>
      </w:r>
      <w:r w:rsidRPr="002946A9">
        <w:rPr>
          <w:rFonts w:ascii="Trebuchet MS" w:hAnsi="Trebuchet MS"/>
          <w:szCs w:val="24"/>
        </w:rPr>
        <w:t xml:space="preserve"> – 202</w:t>
      </w:r>
      <w:r w:rsidR="00C3739E" w:rsidRPr="002946A9">
        <w:rPr>
          <w:rFonts w:ascii="Trebuchet MS" w:hAnsi="Trebuchet MS"/>
          <w:szCs w:val="24"/>
        </w:rPr>
        <w:t>5</w:t>
      </w:r>
      <w:r w:rsidRPr="002946A9">
        <w:rPr>
          <w:rFonts w:ascii="Trebuchet MS" w:hAnsi="Trebuchet MS"/>
          <w:szCs w:val="24"/>
        </w:rPr>
        <w:t xml:space="preserve"> presentado por EPM, se indicaron los beneficios considerados </w:t>
      </w:r>
      <w:r w:rsidR="001671B7" w:rsidRPr="002946A9">
        <w:rPr>
          <w:rFonts w:ascii="Trebuchet MS" w:hAnsi="Trebuchet MS"/>
          <w:szCs w:val="24"/>
        </w:rPr>
        <w:t>en la evaluación de los proyectos</w:t>
      </w:r>
      <w:r w:rsidRPr="002946A9">
        <w:rPr>
          <w:rFonts w:ascii="Trebuchet MS" w:hAnsi="Trebuchet MS"/>
          <w:szCs w:val="24"/>
        </w:rPr>
        <w:t>, los cuales comprenden las retribuciones que recibirán los usuarios conectados al sistema de EPM, en el corto y mediano plazo. Los beneficios se describen a continuación:</w:t>
      </w:r>
    </w:p>
    <w:p w14:paraId="4A37650E" w14:textId="487F8CA7" w:rsidR="009B6014" w:rsidRPr="002946A9" w:rsidRDefault="009B6014" w:rsidP="00DF29CB">
      <w:pPr>
        <w:pStyle w:val="Prrafodelista"/>
        <w:numPr>
          <w:ilvl w:val="0"/>
          <w:numId w:val="4"/>
        </w:numPr>
        <w:spacing w:before="240"/>
        <w:jc w:val="both"/>
        <w:rPr>
          <w:rFonts w:ascii="Trebuchet MS" w:hAnsi="Trebuchet MS"/>
          <w:szCs w:val="24"/>
        </w:rPr>
      </w:pPr>
      <w:r w:rsidRPr="002946A9">
        <w:rPr>
          <w:rFonts w:ascii="Trebuchet MS" w:hAnsi="Trebuchet MS"/>
          <w:b/>
          <w:bCs/>
          <w:i/>
          <w:iCs/>
          <w:szCs w:val="24"/>
        </w:rPr>
        <w:t>Energía no suministrada (ENS):</w:t>
      </w:r>
      <w:r w:rsidRPr="002946A9">
        <w:rPr>
          <w:rFonts w:ascii="Trebuchet MS" w:hAnsi="Trebuchet MS"/>
          <w:szCs w:val="24"/>
        </w:rPr>
        <w:t xml:space="preserve"> Uno de los criterios fundamentales para la atención de la demanda, es la confiabilidad del servicio ante fallas o perturbaciones en el sistema eléctrico; esta variable se refleja como un beneficio a mediano plazo para los usuarios, dado que, ante eventos de la red, se eliminaría o disminuiría la energía no suministrada a los usuarios conectados a la red, permitiendo así el libre desarrollo de las actividades económicas del país.</w:t>
      </w:r>
      <w:r w:rsidRPr="002946A9">
        <w:t xml:space="preserve"> </w:t>
      </w:r>
    </w:p>
    <w:p w14:paraId="6043D070" w14:textId="77777777" w:rsidR="009B6014" w:rsidRPr="002946A9" w:rsidRDefault="009B6014" w:rsidP="00DF29CB">
      <w:pPr>
        <w:pStyle w:val="Prrafodelista"/>
        <w:ind w:left="1080"/>
        <w:jc w:val="both"/>
        <w:rPr>
          <w:rFonts w:ascii="Trebuchet MS" w:hAnsi="Trebuchet MS"/>
          <w:szCs w:val="24"/>
        </w:rPr>
      </w:pPr>
    </w:p>
    <w:p w14:paraId="4CB87FB0" w14:textId="77777777" w:rsidR="003A5A72" w:rsidRDefault="009B6014" w:rsidP="00DF29CB">
      <w:pPr>
        <w:pStyle w:val="Prrafodelista"/>
        <w:numPr>
          <w:ilvl w:val="0"/>
          <w:numId w:val="4"/>
        </w:numPr>
        <w:jc w:val="both"/>
        <w:rPr>
          <w:rFonts w:ascii="Trebuchet MS" w:hAnsi="Trebuchet MS"/>
          <w:szCs w:val="24"/>
        </w:rPr>
      </w:pPr>
      <w:r w:rsidRPr="002946A9">
        <w:rPr>
          <w:rFonts w:ascii="Trebuchet MS" w:hAnsi="Trebuchet MS"/>
          <w:b/>
          <w:bCs/>
          <w:i/>
          <w:iCs/>
          <w:szCs w:val="24"/>
        </w:rPr>
        <w:t>Demanda no atendida (DNA):</w:t>
      </w:r>
      <w:r w:rsidRPr="002946A9">
        <w:rPr>
          <w:rFonts w:ascii="Trebuchet MS" w:hAnsi="Trebuchet MS"/>
          <w:szCs w:val="24"/>
        </w:rPr>
        <w:t xml:space="preserve"> La demanda no atendida es un concepto similar al descrito anteriormente, sin embargo, está enfocada en la atención de la demanda de nuevos usuarios. El criterio principal en este caso es la de expansión del sistema</w:t>
      </w:r>
      <w:r w:rsidR="00002588" w:rsidRPr="002946A9">
        <w:rPr>
          <w:rFonts w:ascii="Trebuchet MS" w:hAnsi="Trebuchet MS"/>
          <w:szCs w:val="24"/>
        </w:rPr>
        <w:t>;</w:t>
      </w:r>
      <w:r w:rsidRPr="002946A9">
        <w:rPr>
          <w:rFonts w:ascii="Trebuchet MS" w:hAnsi="Trebuchet MS"/>
          <w:szCs w:val="24"/>
        </w:rPr>
        <w:t xml:space="preserve"> esta variable se refleja como un beneficio a corto y mediano plazo para los usuarios dado que, ante nuevas solicitudes de conexión </w:t>
      </w:r>
    </w:p>
    <w:p w14:paraId="3C216E55" w14:textId="5489FCEA" w:rsidR="009B6014" w:rsidRPr="002946A9" w:rsidRDefault="009B6014" w:rsidP="00DF29CB">
      <w:pPr>
        <w:pStyle w:val="Prrafodelista"/>
        <w:numPr>
          <w:ilvl w:val="0"/>
          <w:numId w:val="4"/>
        </w:numPr>
        <w:jc w:val="both"/>
        <w:rPr>
          <w:rFonts w:ascii="Trebuchet MS" w:hAnsi="Trebuchet MS"/>
          <w:szCs w:val="24"/>
        </w:rPr>
      </w:pPr>
      <w:r w:rsidRPr="002946A9">
        <w:rPr>
          <w:rFonts w:ascii="Trebuchet MS" w:hAnsi="Trebuchet MS"/>
          <w:szCs w:val="24"/>
        </w:rPr>
        <w:t>a la red, ésta no sería restringida, permitiendo así una expansión en el desarrollo de las actividades económicas del país.</w:t>
      </w:r>
      <w:r w:rsidRPr="002946A9">
        <w:t xml:space="preserve"> </w:t>
      </w:r>
    </w:p>
    <w:p w14:paraId="7B38AE31" w14:textId="77777777" w:rsidR="009B6014" w:rsidRPr="002946A9" w:rsidRDefault="009B6014" w:rsidP="00DF29CB">
      <w:pPr>
        <w:pStyle w:val="Prrafodelista"/>
        <w:ind w:left="1080"/>
        <w:jc w:val="both"/>
        <w:rPr>
          <w:rFonts w:ascii="Trebuchet MS" w:hAnsi="Trebuchet MS"/>
          <w:szCs w:val="24"/>
        </w:rPr>
      </w:pPr>
    </w:p>
    <w:p w14:paraId="0D3F0B4B" w14:textId="46A0FA10" w:rsidR="009B6014" w:rsidRPr="002946A9" w:rsidRDefault="009B6014" w:rsidP="00DF29CB">
      <w:pPr>
        <w:pStyle w:val="Prrafodelista"/>
        <w:numPr>
          <w:ilvl w:val="0"/>
          <w:numId w:val="4"/>
        </w:numPr>
        <w:jc w:val="both"/>
        <w:rPr>
          <w:rFonts w:ascii="Trebuchet MS" w:hAnsi="Trebuchet MS"/>
          <w:szCs w:val="24"/>
        </w:rPr>
      </w:pPr>
      <w:r w:rsidRPr="002946A9">
        <w:rPr>
          <w:rFonts w:ascii="Trebuchet MS" w:hAnsi="Trebuchet MS"/>
          <w:b/>
          <w:bCs/>
          <w:i/>
          <w:iCs/>
          <w:szCs w:val="24"/>
        </w:rPr>
        <w:t>Pérdidas de energía:</w:t>
      </w:r>
      <w:r w:rsidRPr="002946A9">
        <w:rPr>
          <w:rFonts w:ascii="Trebuchet MS" w:hAnsi="Trebuchet MS"/>
          <w:szCs w:val="24"/>
        </w:rPr>
        <w:t xml:space="preserve"> Dentro de la composición de costos que pagan los usuarios por el servicio de energía, se cuenta con una componente de costo de compra, transporte y reducción de pérdidas de energía. Las inversiones planteadas para el sostenimiento de las pérdidas de energía resultan como un beneficio a corto y mediano plazo para los usuarios, dado que esto apuntaría a una reducción en los costos del servicio que deben pagar mensualmente.</w:t>
      </w:r>
    </w:p>
    <w:p w14:paraId="28A60C09" w14:textId="77777777" w:rsidR="009B6014" w:rsidRPr="002946A9" w:rsidRDefault="009B6014" w:rsidP="00DF29CB">
      <w:pPr>
        <w:pStyle w:val="Prrafodelista"/>
        <w:ind w:left="1080"/>
        <w:jc w:val="both"/>
        <w:rPr>
          <w:rFonts w:ascii="Trebuchet MS" w:hAnsi="Trebuchet MS"/>
          <w:szCs w:val="24"/>
        </w:rPr>
      </w:pPr>
    </w:p>
    <w:p w14:paraId="3A99BD8D" w14:textId="77777777" w:rsidR="009B6014" w:rsidRPr="002946A9" w:rsidRDefault="009B6014" w:rsidP="00DF29CB">
      <w:pPr>
        <w:pStyle w:val="Prrafodelista"/>
        <w:numPr>
          <w:ilvl w:val="0"/>
          <w:numId w:val="4"/>
        </w:numPr>
        <w:jc w:val="both"/>
        <w:rPr>
          <w:rFonts w:ascii="Trebuchet MS" w:hAnsi="Trebuchet MS"/>
          <w:szCs w:val="24"/>
        </w:rPr>
      </w:pPr>
      <w:r w:rsidRPr="002946A9">
        <w:t xml:space="preserve"> </w:t>
      </w:r>
      <w:r w:rsidRPr="002946A9">
        <w:rPr>
          <w:rFonts w:ascii="Trebuchet MS" w:hAnsi="Trebuchet MS"/>
          <w:b/>
          <w:bCs/>
          <w:i/>
          <w:iCs/>
          <w:szCs w:val="24"/>
        </w:rPr>
        <w:t>Disminución en restricciones:</w:t>
      </w:r>
      <w:r w:rsidRPr="002946A9">
        <w:rPr>
          <w:rFonts w:ascii="Trebuchet MS" w:hAnsi="Trebuchet MS"/>
          <w:szCs w:val="24"/>
        </w:rPr>
        <w:t xml:space="preserve"> Dentro de la composición de costos que pagan los usuarios por el servicio de energía, se cuenta con una componente de costo de restricciones y de servicios asociados con generación. Las inversiones planteadas para la expansión y reposición de activos en el sistema resultan en un beneficio a corto y mediano plazo para los usuarios, dado que esto apuntaría a una reducción en los costos del servicio que deben pagar mensualmente.</w:t>
      </w:r>
      <w:r w:rsidRPr="002946A9">
        <w:t xml:space="preserve"> </w:t>
      </w:r>
    </w:p>
    <w:p w14:paraId="37099706" w14:textId="77777777" w:rsidR="009B6014" w:rsidRPr="002946A9" w:rsidRDefault="009B6014" w:rsidP="00DF29CB">
      <w:pPr>
        <w:pStyle w:val="Prrafodelista"/>
        <w:jc w:val="both"/>
        <w:rPr>
          <w:rFonts w:ascii="Trebuchet MS" w:hAnsi="Trebuchet MS"/>
          <w:szCs w:val="24"/>
        </w:rPr>
      </w:pPr>
    </w:p>
    <w:p w14:paraId="00633C78" w14:textId="77777777" w:rsidR="009B6014" w:rsidRPr="002946A9" w:rsidRDefault="009B6014" w:rsidP="00DF29CB">
      <w:pPr>
        <w:pStyle w:val="Prrafodelista"/>
        <w:numPr>
          <w:ilvl w:val="0"/>
          <w:numId w:val="4"/>
        </w:numPr>
        <w:jc w:val="both"/>
        <w:rPr>
          <w:rFonts w:ascii="Trebuchet MS" w:hAnsi="Trebuchet MS"/>
          <w:szCs w:val="24"/>
        </w:rPr>
      </w:pPr>
      <w:r w:rsidRPr="002946A9">
        <w:rPr>
          <w:rFonts w:ascii="Trebuchet MS" w:hAnsi="Trebuchet MS"/>
          <w:b/>
          <w:bCs/>
          <w:i/>
          <w:iCs/>
          <w:szCs w:val="24"/>
        </w:rPr>
        <w:t>Efecto sobre el costo marginal de la energía:</w:t>
      </w:r>
      <w:r w:rsidRPr="002946A9">
        <w:rPr>
          <w:rFonts w:ascii="Trebuchet MS" w:hAnsi="Trebuchet MS"/>
          <w:szCs w:val="24"/>
        </w:rPr>
        <w:t xml:space="preserve"> Dadas la inversiones aprobadas para la conexión de terceros que intervienen los activos de uso, los usuarios del sistema se benefician ante la conexión de nuevas plantas de generación que, por su bajo costo de operación, mantenimiento y materias primas de producción como agua, viento o radiación solar, se esperan precios de generación de energía más competitivos para disminuir el costo marginal impuesto por generaciones más costosas como las térmicas.</w:t>
      </w:r>
      <w:r w:rsidRPr="002946A9">
        <w:t xml:space="preserve"> </w:t>
      </w:r>
    </w:p>
    <w:p w14:paraId="7A137EF6" w14:textId="77777777" w:rsidR="009B6014" w:rsidRPr="002946A9" w:rsidRDefault="009B6014" w:rsidP="00DF29CB">
      <w:pPr>
        <w:pStyle w:val="Prrafodelista"/>
        <w:jc w:val="both"/>
        <w:rPr>
          <w:rFonts w:ascii="Trebuchet MS" w:hAnsi="Trebuchet MS"/>
          <w:szCs w:val="24"/>
        </w:rPr>
      </w:pPr>
    </w:p>
    <w:p w14:paraId="4A45E8C3" w14:textId="2AD3F04C" w:rsidR="009B6014" w:rsidRPr="002946A9" w:rsidRDefault="009B6014" w:rsidP="00DF29CB">
      <w:pPr>
        <w:pStyle w:val="Prrafodelista"/>
        <w:numPr>
          <w:ilvl w:val="0"/>
          <w:numId w:val="4"/>
        </w:numPr>
        <w:jc w:val="both"/>
        <w:rPr>
          <w:rFonts w:ascii="Trebuchet MS" w:hAnsi="Trebuchet MS"/>
          <w:szCs w:val="24"/>
        </w:rPr>
      </w:pPr>
      <w:r w:rsidRPr="002946A9">
        <w:rPr>
          <w:rFonts w:ascii="Trebuchet MS" w:hAnsi="Trebuchet MS"/>
          <w:b/>
          <w:bCs/>
          <w:i/>
          <w:iCs/>
          <w:szCs w:val="24"/>
        </w:rPr>
        <w:t>Calidad del servicio:</w:t>
      </w:r>
      <w:r w:rsidRPr="002946A9">
        <w:rPr>
          <w:rFonts w:ascii="Trebuchet MS" w:hAnsi="Trebuchet MS"/>
          <w:szCs w:val="24"/>
        </w:rPr>
        <w:t xml:space="preserve"> Dentro del plan de calidad de EPM se aprobaron inversiones para el proyecto de mejoramiento de la calidad en el servicio, estas obras se reflejan ante el usuario como un beneficio a corto y mediano plazo </w:t>
      </w:r>
      <w:r w:rsidR="00D70C73" w:rsidRPr="002946A9">
        <w:rPr>
          <w:rFonts w:ascii="Trebuchet MS" w:hAnsi="Trebuchet MS"/>
          <w:szCs w:val="24"/>
        </w:rPr>
        <w:t>dado que</w:t>
      </w:r>
      <w:r w:rsidRPr="002946A9">
        <w:rPr>
          <w:rFonts w:ascii="Trebuchet MS" w:hAnsi="Trebuchet MS"/>
          <w:szCs w:val="24"/>
        </w:rPr>
        <w:t xml:space="preserve"> apuntan a reducir el número de veces y el tiempo que los usuarios son desconectados de la red.</w:t>
      </w:r>
      <w:r w:rsidRPr="002946A9">
        <w:t xml:space="preserve"> </w:t>
      </w:r>
    </w:p>
    <w:p w14:paraId="76FF6817" w14:textId="77777777" w:rsidR="009B6014" w:rsidRPr="002946A9" w:rsidRDefault="009B6014" w:rsidP="00DF29CB">
      <w:pPr>
        <w:pStyle w:val="Prrafodelista"/>
        <w:jc w:val="both"/>
        <w:rPr>
          <w:rFonts w:ascii="Trebuchet MS" w:hAnsi="Trebuchet MS"/>
          <w:szCs w:val="24"/>
        </w:rPr>
      </w:pPr>
    </w:p>
    <w:p w14:paraId="1F6F8F21" w14:textId="12CF5DD7" w:rsidR="009B6014" w:rsidRDefault="009B6014" w:rsidP="00DF29CB">
      <w:pPr>
        <w:pStyle w:val="Prrafodelista"/>
        <w:numPr>
          <w:ilvl w:val="0"/>
          <w:numId w:val="4"/>
        </w:numPr>
        <w:jc w:val="both"/>
        <w:rPr>
          <w:rFonts w:ascii="Trebuchet MS" w:hAnsi="Trebuchet MS"/>
          <w:szCs w:val="24"/>
        </w:rPr>
      </w:pPr>
      <w:r w:rsidRPr="002946A9">
        <w:rPr>
          <w:rFonts w:ascii="Trebuchet MS" w:hAnsi="Trebuchet MS"/>
          <w:b/>
          <w:bCs/>
          <w:i/>
          <w:iCs/>
          <w:szCs w:val="24"/>
        </w:rPr>
        <w:t>Confiabilidad del sistema:</w:t>
      </w:r>
      <w:r w:rsidRPr="002946A9">
        <w:rPr>
          <w:rFonts w:ascii="Trebuchet MS" w:hAnsi="Trebuchet MS"/>
          <w:szCs w:val="24"/>
        </w:rPr>
        <w:t xml:space="preserve"> Con la ejecución del plan de inversiones se logrará la instalación de activos nuevos, ya sea en expansión o reposición, y la inversión en nuevas tecnologías, permitiendo así una renovación en la infraestructura eléctrica del sistema. Con esto, se logra reducir las fallas por obsolescencia en la red, lo cual conlleva a una mayor confiabilidad del sistema, y por tanto a una mejor calidad en el servicio.</w:t>
      </w:r>
    </w:p>
    <w:p w14:paraId="4E066ED5" w14:textId="77777777" w:rsidR="00B65017" w:rsidRPr="00B65017" w:rsidRDefault="00B65017" w:rsidP="00B65017">
      <w:pPr>
        <w:pStyle w:val="Prrafodelista"/>
        <w:rPr>
          <w:rFonts w:ascii="Trebuchet MS" w:hAnsi="Trebuchet MS"/>
          <w:szCs w:val="24"/>
        </w:rPr>
      </w:pPr>
    </w:p>
    <w:p w14:paraId="7D5792AA" w14:textId="7DD35D52" w:rsidR="0051136F" w:rsidRPr="002946A9" w:rsidRDefault="0051136F" w:rsidP="00DF29CB">
      <w:pPr>
        <w:pStyle w:val="Prrafodelista"/>
        <w:numPr>
          <w:ilvl w:val="1"/>
          <w:numId w:val="2"/>
        </w:numPr>
        <w:jc w:val="both"/>
        <w:outlineLvl w:val="1"/>
        <w:rPr>
          <w:rFonts w:ascii="Trebuchet MS" w:hAnsi="Trebuchet MS"/>
          <w:b/>
          <w:sz w:val="24"/>
          <w:szCs w:val="32"/>
        </w:rPr>
      </w:pPr>
      <w:bookmarkStart w:id="93" w:name="_Toc131109332"/>
      <w:r w:rsidRPr="002946A9">
        <w:rPr>
          <w:rFonts w:ascii="Trebuchet MS" w:hAnsi="Trebuchet MS"/>
          <w:b/>
          <w:sz w:val="24"/>
          <w:szCs w:val="32"/>
        </w:rPr>
        <w:t>Descripción del sistema operado por EPM</w:t>
      </w:r>
      <w:bookmarkEnd w:id="93"/>
    </w:p>
    <w:p w14:paraId="4F514F2F" w14:textId="0408F5FD" w:rsidR="0051136F" w:rsidRPr="002946A9" w:rsidRDefault="002777B2" w:rsidP="008C4FC8">
      <w:pPr>
        <w:spacing w:after="0"/>
        <w:ind w:left="360"/>
        <w:jc w:val="both"/>
        <w:rPr>
          <w:rFonts w:ascii="Trebuchet MS" w:hAnsi="Trebuchet MS"/>
          <w:szCs w:val="24"/>
        </w:rPr>
      </w:pPr>
      <w:r w:rsidRPr="002946A9">
        <w:rPr>
          <w:rFonts w:ascii="Trebuchet MS" w:hAnsi="Trebuchet MS"/>
          <w:szCs w:val="24"/>
        </w:rPr>
        <w:t xml:space="preserve">A diciembre del año </w:t>
      </w:r>
      <w:r w:rsidR="00FA025C" w:rsidRPr="002946A9">
        <w:rPr>
          <w:rFonts w:ascii="Trebuchet MS" w:hAnsi="Trebuchet MS"/>
          <w:szCs w:val="24"/>
        </w:rPr>
        <w:t>202</w:t>
      </w:r>
      <w:r w:rsidR="00FA025C">
        <w:rPr>
          <w:rFonts w:ascii="Trebuchet MS" w:hAnsi="Trebuchet MS"/>
          <w:szCs w:val="24"/>
        </w:rPr>
        <w:t>2</w:t>
      </w:r>
      <w:r w:rsidR="00FA025C" w:rsidRPr="002946A9">
        <w:rPr>
          <w:rFonts w:ascii="Trebuchet MS" w:hAnsi="Trebuchet MS"/>
          <w:szCs w:val="24"/>
        </w:rPr>
        <w:t xml:space="preserve"> </w:t>
      </w:r>
      <w:r w:rsidRPr="002946A9">
        <w:rPr>
          <w:rFonts w:ascii="Trebuchet MS" w:hAnsi="Trebuchet MS"/>
          <w:szCs w:val="24"/>
        </w:rPr>
        <w:t>el sistema de distribución de energía eléctrica operado por EPM se encuentra caracterizado de la siguiente manera:</w:t>
      </w:r>
    </w:p>
    <w:bookmarkEnd w:id="91"/>
    <w:p w14:paraId="4876E619" w14:textId="77777777" w:rsidR="00A91344" w:rsidRDefault="00A91344" w:rsidP="00DF29CB">
      <w:pPr>
        <w:jc w:val="both"/>
        <w:rPr>
          <w:rFonts w:ascii="Trebuchet MS" w:hAnsi="Trebuchet MS"/>
          <w:b/>
          <w:sz w:val="20"/>
          <w:szCs w:val="24"/>
        </w:rPr>
      </w:pPr>
    </w:p>
    <w:p w14:paraId="664FDF1C" w14:textId="77777777" w:rsidR="00B65017" w:rsidRDefault="00B65017" w:rsidP="00DF29CB">
      <w:pPr>
        <w:jc w:val="both"/>
        <w:rPr>
          <w:rFonts w:ascii="Trebuchet MS" w:hAnsi="Trebuchet MS"/>
          <w:b/>
          <w:sz w:val="20"/>
          <w:szCs w:val="24"/>
        </w:rPr>
      </w:pPr>
    </w:p>
    <w:p w14:paraId="7358E938" w14:textId="77777777" w:rsidR="00B65017" w:rsidRDefault="00B65017" w:rsidP="00DF29CB">
      <w:pPr>
        <w:jc w:val="both"/>
        <w:rPr>
          <w:rFonts w:ascii="Trebuchet MS" w:hAnsi="Trebuchet MS"/>
          <w:b/>
          <w:sz w:val="20"/>
          <w:szCs w:val="24"/>
        </w:rPr>
      </w:pPr>
    </w:p>
    <w:p w14:paraId="4795EDEC" w14:textId="77777777" w:rsidR="003D28EA" w:rsidRPr="002946A9" w:rsidRDefault="003D28EA" w:rsidP="00DF29CB">
      <w:pPr>
        <w:jc w:val="both"/>
        <w:rPr>
          <w:rFonts w:ascii="Trebuchet MS" w:hAnsi="Trebuchet MS"/>
          <w:b/>
          <w:sz w:val="20"/>
          <w:szCs w:val="24"/>
        </w:rPr>
      </w:pPr>
    </w:p>
    <w:p w14:paraId="14661B4F" w14:textId="45BDD06A" w:rsidR="00A91344" w:rsidRPr="002946A9" w:rsidRDefault="00A91344" w:rsidP="00DF29CB">
      <w:pPr>
        <w:pStyle w:val="Prrafodelista"/>
        <w:numPr>
          <w:ilvl w:val="2"/>
          <w:numId w:val="2"/>
        </w:numPr>
        <w:ind w:left="1225" w:hanging="505"/>
        <w:jc w:val="both"/>
        <w:outlineLvl w:val="2"/>
        <w:rPr>
          <w:rFonts w:ascii="Trebuchet MS" w:hAnsi="Trebuchet MS"/>
          <w:b/>
          <w:bCs/>
          <w:szCs w:val="24"/>
        </w:rPr>
      </w:pPr>
      <w:bookmarkStart w:id="94" w:name="_Toc131109333"/>
      <w:r w:rsidRPr="002946A9">
        <w:rPr>
          <w:rFonts w:ascii="Trebuchet MS" w:hAnsi="Trebuchet MS"/>
          <w:b/>
          <w:bCs/>
          <w:szCs w:val="24"/>
        </w:rPr>
        <w:t>Área de influencia</w:t>
      </w:r>
      <w:bookmarkEnd w:id="94"/>
      <w:r w:rsidRPr="002946A9">
        <w:rPr>
          <w:rFonts w:ascii="Trebuchet MS" w:hAnsi="Trebuchet MS"/>
          <w:b/>
          <w:bCs/>
          <w:szCs w:val="24"/>
        </w:rPr>
        <w:t xml:space="preserve">  </w:t>
      </w:r>
    </w:p>
    <w:p w14:paraId="5D8B6A39" w14:textId="742C0022" w:rsidR="00A91344" w:rsidRPr="002946A9" w:rsidRDefault="00006398" w:rsidP="00DF29CB">
      <w:pPr>
        <w:ind w:left="360"/>
        <w:jc w:val="both"/>
        <w:rPr>
          <w:rFonts w:ascii="Trebuchet MS" w:hAnsi="Trebuchet MS"/>
          <w:szCs w:val="24"/>
        </w:rPr>
      </w:pPr>
      <w:r w:rsidRPr="002946A9">
        <w:rPr>
          <w:rFonts w:ascii="Trebuchet MS" w:hAnsi="Trebuchet MS"/>
          <w:szCs w:val="24"/>
        </w:rPr>
        <w:t>EPM cuenta con operación comercial principalmente en el departamento de Antioquia, sin embargo, debido a cercanías geográficas, también cuenta con usuarios rurales en los departamentos del Chocó, Córdoba y Caldas. Todo este sistema funciona como una única área operativa.</w:t>
      </w:r>
    </w:p>
    <w:p w14:paraId="570DFC61" w14:textId="77777777" w:rsidR="0007078E" w:rsidRPr="002946A9" w:rsidRDefault="0007078E" w:rsidP="0007078E">
      <w:pPr>
        <w:spacing w:after="0"/>
        <w:ind w:left="360"/>
        <w:jc w:val="both"/>
        <w:rPr>
          <w:rFonts w:ascii="Trebuchet MS" w:hAnsi="Trebuchet MS"/>
          <w:szCs w:val="24"/>
        </w:rPr>
      </w:pPr>
    </w:p>
    <w:p w14:paraId="4C0900DB" w14:textId="16D8B80D" w:rsidR="00A91344" w:rsidRPr="002946A9" w:rsidRDefault="00974DC0" w:rsidP="00DF29CB">
      <w:pPr>
        <w:pStyle w:val="Prrafodelista"/>
        <w:numPr>
          <w:ilvl w:val="2"/>
          <w:numId w:val="2"/>
        </w:numPr>
        <w:jc w:val="both"/>
        <w:outlineLvl w:val="2"/>
        <w:rPr>
          <w:rFonts w:ascii="Trebuchet MS" w:hAnsi="Trebuchet MS"/>
          <w:b/>
          <w:bCs/>
          <w:szCs w:val="24"/>
        </w:rPr>
      </w:pPr>
      <w:bookmarkStart w:id="95" w:name="_Toc131109334"/>
      <w:r w:rsidRPr="002946A9">
        <w:rPr>
          <w:rFonts w:ascii="Trebuchet MS" w:hAnsi="Trebuchet MS"/>
          <w:b/>
          <w:bCs/>
          <w:szCs w:val="24"/>
        </w:rPr>
        <w:t>Activos operados</w:t>
      </w:r>
      <w:bookmarkEnd w:id="95"/>
      <w:r w:rsidR="00A91344" w:rsidRPr="002946A9">
        <w:rPr>
          <w:rFonts w:ascii="Trebuchet MS" w:hAnsi="Trebuchet MS"/>
          <w:b/>
          <w:bCs/>
          <w:szCs w:val="24"/>
        </w:rPr>
        <w:t xml:space="preserve"> </w:t>
      </w:r>
    </w:p>
    <w:p w14:paraId="397356F4" w14:textId="3A844992" w:rsidR="00423A86" w:rsidRPr="002946A9" w:rsidRDefault="00423A86" w:rsidP="00DF29CB">
      <w:pPr>
        <w:ind w:left="360"/>
        <w:jc w:val="both"/>
        <w:rPr>
          <w:rFonts w:ascii="Trebuchet MS" w:hAnsi="Trebuchet MS"/>
          <w:szCs w:val="24"/>
        </w:rPr>
      </w:pPr>
      <w:r w:rsidRPr="00A60C7F">
        <w:rPr>
          <w:rFonts w:ascii="Trebuchet MS" w:hAnsi="Trebuchet MS"/>
          <w:szCs w:val="24"/>
        </w:rPr>
        <w:t xml:space="preserve">El sistema operado por EPM cubre un área geográfica de  </w:t>
      </w:r>
      <w:r w:rsidR="00A60C7F">
        <w:rPr>
          <w:rFonts w:ascii="Trebuchet MS" w:hAnsi="Trebuchet MS"/>
          <w:szCs w:val="24"/>
        </w:rPr>
        <w:t xml:space="preserve">63,612 </w:t>
      </w:r>
      <w:r w:rsidRPr="00A60C7F">
        <w:rPr>
          <w:rFonts w:ascii="Trebuchet MS" w:hAnsi="Trebuchet MS"/>
          <w:szCs w:val="24"/>
        </w:rPr>
        <w:t>km</w:t>
      </w:r>
      <w:r w:rsidR="00703ABE" w:rsidRPr="00A60C7F">
        <w:rPr>
          <w:rFonts w:ascii="Trebuchet MS" w:hAnsi="Trebuchet MS"/>
          <w:szCs w:val="24"/>
          <w:vertAlign w:val="superscript"/>
        </w:rPr>
        <w:t>2</w:t>
      </w:r>
      <w:r w:rsidRPr="00A60C7F">
        <w:rPr>
          <w:rFonts w:ascii="Trebuchet MS" w:hAnsi="Trebuchet MS"/>
          <w:szCs w:val="24"/>
        </w:rPr>
        <w:t xml:space="preserve"> aproximadamente en los departamentos mencionados anteriormente y cuenta con un índice de cobertura según metodología PIEC de 99,</w:t>
      </w:r>
      <w:r w:rsidR="00A60C7F">
        <w:rPr>
          <w:rFonts w:ascii="Trebuchet MS" w:hAnsi="Trebuchet MS"/>
          <w:szCs w:val="24"/>
        </w:rPr>
        <w:t>56</w:t>
      </w:r>
      <w:r w:rsidR="00A60C7F" w:rsidRPr="00A60C7F" w:rsidDel="00A60C7F">
        <w:rPr>
          <w:rFonts w:ascii="Trebuchet MS" w:hAnsi="Trebuchet MS"/>
          <w:szCs w:val="24"/>
        </w:rPr>
        <w:t xml:space="preserve"> </w:t>
      </w:r>
      <w:r w:rsidRPr="00A60C7F">
        <w:rPr>
          <w:rFonts w:ascii="Trebuchet MS" w:hAnsi="Trebuchet MS"/>
          <w:szCs w:val="24"/>
        </w:rPr>
        <w:t xml:space="preserve">% a diciembre de </w:t>
      </w:r>
      <w:r w:rsidR="00FA025C" w:rsidRPr="00A60C7F">
        <w:rPr>
          <w:rFonts w:ascii="Trebuchet MS" w:hAnsi="Trebuchet MS"/>
          <w:szCs w:val="24"/>
        </w:rPr>
        <w:t>2022</w:t>
      </w:r>
      <w:r w:rsidRPr="00A60C7F">
        <w:rPr>
          <w:rFonts w:ascii="Trebuchet MS" w:hAnsi="Trebuchet MS"/>
          <w:szCs w:val="24"/>
        </w:rPr>
        <w:t xml:space="preserve">. Para el </w:t>
      </w:r>
      <w:r w:rsidR="00F46FB6" w:rsidRPr="00A60C7F">
        <w:rPr>
          <w:rFonts w:ascii="Trebuchet MS" w:hAnsi="Trebuchet MS"/>
          <w:szCs w:val="24"/>
        </w:rPr>
        <w:t xml:space="preserve">año </w:t>
      </w:r>
      <w:r w:rsidR="00FA025C" w:rsidRPr="00A60C7F">
        <w:rPr>
          <w:rFonts w:ascii="Trebuchet MS" w:hAnsi="Trebuchet MS"/>
          <w:szCs w:val="24"/>
        </w:rPr>
        <w:t xml:space="preserve">2022 </w:t>
      </w:r>
      <w:r w:rsidR="00F46FB6" w:rsidRPr="00A60C7F">
        <w:rPr>
          <w:rFonts w:ascii="Trebuchet MS" w:hAnsi="Trebuchet MS"/>
          <w:szCs w:val="24"/>
        </w:rPr>
        <w:t xml:space="preserve">entraron en operación en </w:t>
      </w:r>
      <w:r w:rsidR="00C442AB" w:rsidRPr="00EE59CA">
        <w:rPr>
          <w:rFonts w:ascii="Trebuchet MS" w:hAnsi="Trebuchet MS"/>
          <w:szCs w:val="24"/>
        </w:rPr>
        <w:t>1</w:t>
      </w:r>
      <w:r w:rsidR="00D41A1F">
        <w:rPr>
          <w:rFonts w:ascii="Trebuchet MS" w:hAnsi="Trebuchet MS"/>
          <w:szCs w:val="24"/>
        </w:rPr>
        <w:t>9</w:t>
      </w:r>
      <w:r w:rsidR="00C442AB" w:rsidRPr="00A60C7F">
        <w:rPr>
          <w:rFonts w:ascii="Trebuchet MS" w:hAnsi="Trebuchet MS"/>
          <w:szCs w:val="24"/>
        </w:rPr>
        <w:t xml:space="preserve"> </w:t>
      </w:r>
      <w:r w:rsidR="00F46FB6" w:rsidRPr="00A60C7F">
        <w:rPr>
          <w:rFonts w:ascii="Trebuchet MS" w:hAnsi="Trebuchet MS"/>
          <w:szCs w:val="24"/>
        </w:rPr>
        <w:t xml:space="preserve">circuitos de uso nuevos en el sistema de distribución. Respecto a las subestaciones, </w:t>
      </w:r>
      <w:r w:rsidR="00C442AB">
        <w:rPr>
          <w:rFonts w:ascii="Trebuchet MS" w:hAnsi="Trebuchet MS"/>
          <w:szCs w:val="24"/>
        </w:rPr>
        <w:t xml:space="preserve">entró </w:t>
      </w:r>
      <w:r w:rsidR="009B7BC6">
        <w:rPr>
          <w:rFonts w:ascii="Trebuchet MS" w:hAnsi="Trebuchet MS"/>
          <w:szCs w:val="24"/>
        </w:rPr>
        <w:t xml:space="preserve">en operación la subestación Nueva </w:t>
      </w:r>
      <w:r w:rsidR="00C442AB">
        <w:rPr>
          <w:rFonts w:ascii="Trebuchet MS" w:hAnsi="Trebuchet MS"/>
          <w:szCs w:val="24"/>
        </w:rPr>
        <w:t>Santa Rosa 110/44/13,2 kV</w:t>
      </w:r>
      <w:r w:rsidR="00F46FB6" w:rsidRPr="00A60C7F">
        <w:rPr>
          <w:rFonts w:ascii="Trebuchet MS" w:hAnsi="Trebuchet MS"/>
          <w:szCs w:val="24"/>
        </w:rPr>
        <w:t xml:space="preserve">. </w:t>
      </w:r>
      <w:r w:rsidRPr="00A60C7F">
        <w:rPr>
          <w:rFonts w:ascii="Trebuchet MS" w:hAnsi="Trebuchet MS"/>
          <w:szCs w:val="24"/>
        </w:rPr>
        <w:t>Dentro del plan de inversiones regulatorio 2020-2025 aprobado por la CREG, se aprobaron obras entre 2022 y 2025 para la construcción de 4 nuevas subestaciones en nivel de tensión 4 (110 kV)</w:t>
      </w:r>
      <w:r w:rsidR="00F46FB6" w:rsidRPr="00A60C7F">
        <w:rPr>
          <w:rFonts w:ascii="Trebuchet MS" w:hAnsi="Trebuchet MS"/>
          <w:szCs w:val="24"/>
        </w:rPr>
        <w:t>.</w:t>
      </w:r>
    </w:p>
    <w:p w14:paraId="24422148" w14:textId="77777777" w:rsidR="00D92667" w:rsidRPr="002946A9" w:rsidRDefault="00D92667" w:rsidP="002D59FC">
      <w:pPr>
        <w:spacing w:after="0"/>
        <w:ind w:left="360"/>
        <w:jc w:val="both"/>
        <w:rPr>
          <w:rFonts w:ascii="Trebuchet MS" w:hAnsi="Trebuchet MS"/>
          <w:szCs w:val="24"/>
        </w:rPr>
      </w:pPr>
    </w:p>
    <w:p w14:paraId="7CC3492A" w14:textId="4C8E1C13" w:rsidR="00117036" w:rsidRPr="002946A9" w:rsidRDefault="00974DC0" w:rsidP="00DF29CB">
      <w:pPr>
        <w:pStyle w:val="Prrafodelista"/>
        <w:numPr>
          <w:ilvl w:val="2"/>
          <w:numId w:val="2"/>
        </w:numPr>
        <w:jc w:val="both"/>
        <w:outlineLvl w:val="2"/>
        <w:rPr>
          <w:rFonts w:ascii="Trebuchet MS" w:hAnsi="Trebuchet MS"/>
          <w:b/>
          <w:bCs/>
          <w:szCs w:val="24"/>
        </w:rPr>
      </w:pPr>
      <w:bookmarkStart w:id="96" w:name="_Toc131109335"/>
      <w:r w:rsidRPr="002946A9">
        <w:rPr>
          <w:rFonts w:ascii="Trebuchet MS" w:hAnsi="Trebuchet MS"/>
          <w:b/>
          <w:bCs/>
          <w:szCs w:val="24"/>
        </w:rPr>
        <w:t>Cantidad de usuarios</w:t>
      </w:r>
      <w:bookmarkEnd w:id="96"/>
    </w:p>
    <w:p w14:paraId="6ADAD1E2" w14:textId="13ECCA17" w:rsidR="00117036" w:rsidRPr="002946A9" w:rsidRDefault="003B6ECF" w:rsidP="006E6ED9">
      <w:pPr>
        <w:ind w:left="360"/>
        <w:jc w:val="both"/>
        <w:rPr>
          <w:rFonts w:ascii="Trebuchet MS" w:hAnsi="Trebuchet MS"/>
          <w:szCs w:val="24"/>
        </w:rPr>
      </w:pPr>
      <w:r w:rsidRPr="00137706">
        <w:rPr>
          <w:rFonts w:ascii="Trebuchet MS" w:hAnsi="Trebuchet MS"/>
          <w:szCs w:val="24"/>
        </w:rPr>
        <w:t xml:space="preserve">La cantidad total de usuarios lograda dentro del sistema de EPM para el año </w:t>
      </w:r>
      <w:r w:rsidR="00FA025C" w:rsidRPr="00137706">
        <w:rPr>
          <w:rFonts w:ascii="Trebuchet MS" w:hAnsi="Trebuchet MS"/>
          <w:szCs w:val="24"/>
        </w:rPr>
        <w:t xml:space="preserve">2022 </w:t>
      </w:r>
      <w:r w:rsidRPr="00137706">
        <w:rPr>
          <w:rFonts w:ascii="Trebuchet MS" w:hAnsi="Trebuchet MS"/>
          <w:szCs w:val="24"/>
        </w:rPr>
        <w:t xml:space="preserve">fue de </w:t>
      </w:r>
      <w:r w:rsidR="00137706">
        <w:rPr>
          <w:rFonts w:ascii="Trebuchet MS" w:hAnsi="Trebuchet MS"/>
          <w:szCs w:val="24"/>
        </w:rPr>
        <w:t xml:space="preserve">2,743,875 </w:t>
      </w:r>
      <w:r w:rsidRPr="00137706">
        <w:rPr>
          <w:rFonts w:ascii="Trebuchet MS" w:hAnsi="Trebuchet MS"/>
          <w:szCs w:val="24"/>
        </w:rPr>
        <w:t>usuarios, de los cuales,</w:t>
      </w:r>
      <w:r w:rsidR="00026A8F">
        <w:rPr>
          <w:rFonts w:ascii="Trebuchet MS" w:hAnsi="Trebuchet MS"/>
          <w:szCs w:val="24"/>
        </w:rPr>
        <w:t xml:space="preserve"> </w:t>
      </w:r>
      <w:r w:rsidR="00DB498D">
        <w:rPr>
          <w:rFonts w:ascii="Trebuchet MS" w:hAnsi="Trebuchet MS"/>
          <w:szCs w:val="24"/>
        </w:rPr>
        <w:t xml:space="preserve">2,186,430 </w:t>
      </w:r>
      <w:r w:rsidRPr="00137706">
        <w:rPr>
          <w:rFonts w:ascii="Trebuchet MS" w:hAnsi="Trebuchet MS"/>
          <w:szCs w:val="24"/>
        </w:rPr>
        <w:t>(</w:t>
      </w:r>
      <w:r w:rsidR="002B0BD2">
        <w:rPr>
          <w:rFonts w:ascii="Trebuchet MS" w:hAnsi="Trebuchet MS"/>
          <w:szCs w:val="24"/>
        </w:rPr>
        <w:t>79,6</w:t>
      </w:r>
      <w:r w:rsidRPr="00137706">
        <w:rPr>
          <w:rFonts w:ascii="Trebuchet MS" w:hAnsi="Trebuchet MS"/>
          <w:szCs w:val="24"/>
        </w:rPr>
        <w:t xml:space="preserve">%) corresponden a usuarios residenciales y </w:t>
      </w:r>
      <w:r w:rsidR="002B0BD2">
        <w:rPr>
          <w:rFonts w:ascii="Trebuchet MS" w:hAnsi="Trebuchet MS"/>
          <w:szCs w:val="24"/>
        </w:rPr>
        <w:t>557,445</w:t>
      </w:r>
      <w:r w:rsidRPr="00137706">
        <w:rPr>
          <w:rFonts w:ascii="Trebuchet MS" w:hAnsi="Trebuchet MS"/>
          <w:szCs w:val="24"/>
        </w:rPr>
        <w:t xml:space="preserve"> (</w:t>
      </w:r>
      <w:r w:rsidR="00296533">
        <w:rPr>
          <w:rFonts w:ascii="Trebuchet MS" w:hAnsi="Trebuchet MS"/>
          <w:szCs w:val="24"/>
        </w:rPr>
        <w:t>20,4</w:t>
      </w:r>
      <w:r w:rsidRPr="00137706">
        <w:rPr>
          <w:rFonts w:ascii="Trebuchet MS" w:hAnsi="Trebuchet MS"/>
          <w:szCs w:val="24"/>
        </w:rPr>
        <w:t xml:space="preserve">%) a usuarios no residenciales. </w:t>
      </w:r>
      <w:r w:rsidR="00F70839" w:rsidRPr="00137706">
        <w:rPr>
          <w:rFonts w:ascii="Trebuchet MS" w:hAnsi="Trebuchet MS"/>
          <w:szCs w:val="24"/>
        </w:rPr>
        <w:t>En la</w:t>
      </w:r>
      <w:r w:rsidR="006E6ED9" w:rsidRPr="00137706">
        <w:rPr>
          <w:rFonts w:ascii="Trebuchet MS" w:hAnsi="Trebuchet MS"/>
          <w:szCs w:val="24"/>
        </w:rPr>
        <w:t xml:space="preserve"> </w:t>
      </w:r>
      <w:r w:rsidR="006E6ED9" w:rsidRPr="00137706">
        <w:rPr>
          <w:rFonts w:ascii="Trebuchet MS" w:hAnsi="Trebuchet MS"/>
          <w:szCs w:val="24"/>
        </w:rPr>
        <w:fldChar w:fldCharType="begin"/>
      </w:r>
      <w:r w:rsidR="006E6ED9" w:rsidRPr="00137706">
        <w:rPr>
          <w:rFonts w:ascii="Trebuchet MS" w:hAnsi="Trebuchet MS"/>
          <w:szCs w:val="24"/>
        </w:rPr>
        <w:instrText xml:space="preserve"> REF _Ref67659330 \h </w:instrText>
      </w:r>
      <w:r w:rsidR="002946A9" w:rsidRPr="00137706">
        <w:rPr>
          <w:rFonts w:ascii="Trebuchet MS" w:hAnsi="Trebuchet MS"/>
          <w:szCs w:val="24"/>
        </w:rPr>
        <w:instrText xml:space="preserve"> \* MERGEFORMAT </w:instrText>
      </w:r>
      <w:r w:rsidR="006E6ED9" w:rsidRPr="00137706">
        <w:rPr>
          <w:rFonts w:ascii="Trebuchet MS" w:hAnsi="Trebuchet MS"/>
          <w:szCs w:val="24"/>
        </w:rPr>
      </w:r>
      <w:r w:rsidR="006E6ED9" w:rsidRPr="00137706">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2</w:t>
      </w:r>
      <w:r w:rsidR="00C944CB" w:rsidRPr="002946A9">
        <w:rPr>
          <w:rFonts w:ascii="Trebuchet MS" w:hAnsi="Trebuchet MS"/>
          <w:noProof/>
        </w:rPr>
        <w:t>.</w:t>
      </w:r>
      <w:r w:rsidR="00C944CB">
        <w:rPr>
          <w:rFonts w:ascii="Trebuchet MS" w:hAnsi="Trebuchet MS"/>
          <w:noProof/>
        </w:rPr>
        <w:t>1</w:t>
      </w:r>
      <w:r w:rsidR="006E6ED9" w:rsidRPr="00137706">
        <w:rPr>
          <w:rFonts w:ascii="Trebuchet MS" w:hAnsi="Trebuchet MS"/>
          <w:szCs w:val="24"/>
        </w:rPr>
        <w:fldChar w:fldCharType="end"/>
      </w:r>
      <w:r w:rsidR="006E6ED9" w:rsidRPr="00137706">
        <w:rPr>
          <w:rFonts w:ascii="Trebuchet MS" w:hAnsi="Trebuchet MS"/>
          <w:szCs w:val="24"/>
        </w:rPr>
        <w:t xml:space="preserve"> </w:t>
      </w:r>
      <w:r w:rsidR="00F70839" w:rsidRPr="00137706">
        <w:rPr>
          <w:rFonts w:ascii="Trebuchet MS" w:hAnsi="Trebuchet MS"/>
          <w:szCs w:val="24"/>
        </w:rPr>
        <w:t>se presenta</w:t>
      </w:r>
      <w:r w:rsidR="00E94735" w:rsidRPr="00137706">
        <w:rPr>
          <w:rFonts w:ascii="Trebuchet MS" w:hAnsi="Trebuchet MS"/>
          <w:szCs w:val="24"/>
        </w:rPr>
        <w:t>n</w:t>
      </w:r>
      <w:r w:rsidR="00F70839" w:rsidRPr="00137706">
        <w:rPr>
          <w:rFonts w:ascii="Trebuchet MS" w:hAnsi="Trebuchet MS"/>
          <w:szCs w:val="24"/>
        </w:rPr>
        <w:t xml:space="preserve"> las proyecciones de usuarios </w:t>
      </w:r>
      <w:r w:rsidR="00E94735" w:rsidRPr="00137706">
        <w:rPr>
          <w:rFonts w:ascii="Trebuchet MS" w:hAnsi="Trebuchet MS"/>
          <w:szCs w:val="24"/>
        </w:rPr>
        <w:t xml:space="preserve">a atender por EPM </w:t>
      </w:r>
      <w:r w:rsidR="00F70839" w:rsidRPr="00137706">
        <w:rPr>
          <w:rFonts w:ascii="Trebuchet MS" w:hAnsi="Trebuchet MS"/>
          <w:szCs w:val="24"/>
        </w:rPr>
        <w:t xml:space="preserve">en un horizonte de 5 años, </w:t>
      </w:r>
      <w:r w:rsidRPr="00137706">
        <w:rPr>
          <w:rFonts w:ascii="Trebuchet MS" w:hAnsi="Trebuchet MS"/>
          <w:szCs w:val="24"/>
        </w:rPr>
        <w:t xml:space="preserve">en comparación con </w:t>
      </w:r>
      <w:r w:rsidR="000F5404" w:rsidRPr="00137706">
        <w:rPr>
          <w:rFonts w:ascii="Trebuchet MS" w:hAnsi="Trebuchet MS"/>
          <w:szCs w:val="24"/>
        </w:rPr>
        <w:t xml:space="preserve">la cantidad obtenida en el año </w:t>
      </w:r>
      <w:r w:rsidR="005A5FB2" w:rsidRPr="00137706">
        <w:rPr>
          <w:rFonts w:ascii="Trebuchet MS" w:hAnsi="Trebuchet MS"/>
          <w:szCs w:val="24"/>
        </w:rPr>
        <w:t>2022</w:t>
      </w:r>
      <w:r w:rsidR="000F5404" w:rsidRPr="00137706">
        <w:rPr>
          <w:rFonts w:ascii="Trebuchet MS" w:hAnsi="Trebuchet MS"/>
          <w:szCs w:val="24"/>
        </w:rPr>
        <w:t>.</w:t>
      </w:r>
    </w:p>
    <w:p w14:paraId="49CFBF5D" w14:textId="77777777" w:rsidR="002F6C22" w:rsidRPr="002946A9" w:rsidRDefault="002F6C22" w:rsidP="00E36A1C">
      <w:pPr>
        <w:spacing w:after="0"/>
        <w:ind w:left="360"/>
        <w:jc w:val="both"/>
        <w:rPr>
          <w:rFonts w:ascii="Trebuchet MS" w:hAnsi="Trebuchet MS"/>
        </w:rPr>
      </w:pPr>
      <w:bookmarkStart w:id="97" w:name="_Ref66430132"/>
      <w:bookmarkStart w:id="98" w:name="_Ref66866073"/>
    </w:p>
    <w:p w14:paraId="052E9456" w14:textId="48523415" w:rsidR="00946E4D" w:rsidRPr="00687746" w:rsidRDefault="00946E4D" w:rsidP="00DF29CB">
      <w:pPr>
        <w:ind w:left="360"/>
        <w:jc w:val="both"/>
        <w:rPr>
          <w:rFonts w:ascii="Trebuchet MS" w:hAnsi="Trebuchet MS"/>
        </w:rPr>
      </w:pPr>
      <w:bookmarkStart w:id="99" w:name="_Ref67659330"/>
      <w:bookmarkStart w:id="100" w:name="_Toc131032769"/>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1</w:t>
      </w:r>
      <w:r w:rsidRPr="002946A9">
        <w:rPr>
          <w:rFonts w:ascii="Trebuchet MS" w:hAnsi="Trebuchet MS"/>
        </w:rPr>
        <w:fldChar w:fldCharType="end"/>
      </w:r>
      <w:bookmarkEnd w:id="97"/>
      <w:bookmarkEnd w:id="98"/>
      <w:bookmarkEnd w:id="99"/>
      <w:r w:rsidRPr="002946A9">
        <w:rPr>
          <w:rFonts w:ascii="Trebuchet MS" w:hAnsi="Trebuchet MS"/>
        </w:rPr>
        <w:t xml:space="preserve"> </w:t>
      </w:r>
      <w:r w:rsidR="003B2D13" w:rsidRPr="002946A9">
        <w:rPr>
          <w:rFonts w:ascii="Trebuchet MS" w:hAnsi="Trebuchet MS"/>
        </w:rPr>
        <w:tab/>
      </w:r>
      <w:r w:rsidRPr="00687746">
        <w:rPr>
          <w:rFonts w:ascii="Trebuchet MS" w:hAnsi="Trebuchet MS"/>
        </w:rPr>
        <w:t>Cantidad de usuarios en</w:t>
      </w:r>
      <w:r w:rsidR="009B16FB" w:rsidRPr="00687746">
        <w:rPr>
          <w:rFonts w:ascii="Trebuchet MS" w:hAnsi="Trebuchet MS"/>
        </w:rPr>
        <w:t xml:space="preserve"> el sistema de EPM en</w:t>
      </w:r>
      <w:r w:rsidRPr="00687746">
        <w:rPr>
          <w:rFonts w:ascii="Trebuchet MS" w:hAnsi="Trebuchet MS"/>
        </w:rPr>
        <w:t xml:space="preserve"> un horizonte de 5 años</w:t>
      </w:r>
      <w:r w:rsidR="002B4F1C" w:rsidRPr="00687746">
        <w:rPr>
          <w:rFonts w:ascii="Trebuchet MS" w:hAnsi="Trebuchet MS"/>
        </w:rPr>
        <w:t>.</w:t>
      </w:r>
      <w:bookmarkEnd w:id="100"/>
    </w:p>
    <w:tbl>
      <w:tblPr>
        <w:tblStyle w:val="Tablaconcuadrcula5oscura-nfasis1"/>
        <w:tblW w:w="0" w:type="auto"/>
        <w:jc w:val="center"/>
        <w:tblLook w:val="04A0" w:firstRow="1" w:lastRow="0" w:firstColumn="1" w:lastColumn="0" w:noHBand="0" w:noVBand="1"/>
      </w:tblPr>
      <w:tblGrid>
        <w:gridCol w:w="1569"/>
        <w:gridCol w:w="1056"/>
        <w:gridCol w:w="1055"/>
        <w:gridCol w:w="1055"/>
        <w:gridCol w:w="1055"/>
        <w:gridCol w:w="1055"/>
        <w:gridCol w:w="1055"/>
      </w:tblGrid>
      <w:tr w:rsidR="00CD695B" w:rsidRPr="00687746" w14:paraId="2ECACA4D" w14:textId="77777777" w:rsidTr="00EF3F98">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8" w:type="dxa"/>
            <w:noWrap/>
          </w:tcPr>
          <w:p w14:paraId="0B60B6D4" w14:textId="2B153D60" w:rsidR="00CD695B" w:rsidRPr="00687746" w:rsidRDefault="00CD695B" w:rsidP="00CD695B">
            <w:pPr>
              <w:rPr>
                <w:rFonts w:cs="Arial"/>
                <w:b w:val="0"/>
                <w:color w:val="000000"/>
                <w:sz w:val="18"/>
                <w:szCs w:val="18"/>
              </w:rPr>
            </w:pPr>
            <w:r w:rsidRPr="00687746">
              <w:rPr>
                <w:rFonts w:cs="Arial"/>
                <w:color w:val="000000"/>
                <w:sz w:val="18"/>
                <w:szCs w:val="18"/>
              </w:rPr>
              <w:t>Descripción/año</w:t>
            </w:r>
          </w:p>
        </w:tc>
        <w:tc>
          <w:tcPr>
            <w:tcW w:w="1056" w:type="dxa"/>
            <w:vAlign w:val="top"/>
          </w:tcPr>
          <w:p w14:paraId="333EEA1F" w14:textId="516943D3" w:rsidR="00CD695B" w:rsidRPr="00CD695B" w:rsidRDefault="00CD695B" w:rsidP="00CD695B">
            <w:pP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CD695B">
              <w:rPr>
                <w:rFonts w:cs="Arial"/>
                <w:color w:val="000000"/>
                <w:sz w:val="18"/>
                <w:szCs w:val="18"/>
              </w:rPr>
              <w:t>2022(E)*</w:t>
            </w:r>
          </w:p>
        </w:tc>
        <w:tc>
          <w:tcPr>
            <w:tcW w:w="1055" w:type="dxa"/>
            <w:vAlign w:val="top"/>
          </w:tcPr>
          <w:p w14:paraId="0FA8778D" w14:textId="4E5BDB7B" w:rsidR="00CD695B" w:rsidRPr="00CD695B" w:rsidRDefault="00CD695B" w:rsidP="00CD695B">
            <w:pP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CD695B">
              <w:rPr>
                <w:rFonts w:cs="Arial"/>
                <w:color w:val="000000"/>
                <w:sz w:val="18"/>
                <w:szCs w:val="18"/>
              </w:rPr>
              <w:t>2022(P)**</w:t>
            </w:r>
          </w:p>
        </w:tc>
        <w:tc>
          <w:tcPr>
            <w:tcW w:w="1055" w:type="dxa"/>
            <w:vAlign w:val="top"/>
          </w:tcPr>
          <w:p w14:paraId="4CFF149B" w14:textId="34FFD1C1" w:rsidR="00CD695B" w:rsidRPr="00CD695B" w:rsidRDefault="00CD695B" w:rsidP="00CD695B">
            <w:pP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CD695B">
              <w:rPr>
                <w:rFonts w:cs="Arial"/>
                <w:color w:val="000000"/>
                <w:sz w:val="18"/>
                <w:szCs w:val="18"/>
              </w:rPr>
              <w:t>2023(P)**</w:t>
            </w:r>
          </w:p>
        </w:tc>
        <w:tc>
          <w:tcPr>
            <w:tcW w:w="1055" w:type="dxa"/>
            <w:vAlign w:val="top"/>
          </w:tcPr>
          <w:p w14:paraId="70C65F3A" w14:textId="551EAB4F" w:rsidR="00CD695B" w:rsidRPr="00CD695B" w:rsidRDefault="00CD695B" w:rsidP="00CD695B">
            <w:pP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CD695B">
              <w:rPr>
                <w:rFonts w:cs="Arial"/>
                <w:color w:val="000000"/>
                <w:sz w:val="18"/>
                <w:szCs w:val="18"/>
              </w:rPr>
              <w:t>2024(P)**</w:t>
            </w:r>
          </w:p>
        </w:tc>
        <w:tc>
          <w:tcPr>
            <w:tcW w:w="1055" w:type="dxa"/>
            <w:vAlign w:val="top"/>
          </w:tcPr>
          <w:p w14:paraId="05401F39" w14:textId="149ED982" w:rsidR="00CD695B" w:rsidRPr="00CD695B" w:rsidRDefault="00CD695B" w:rsidP="00CD695B">
            <w:pP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CD695B">
              <w:rPr>
                <w:rFonts w:cs="Arial"/>
                <w:color w:val="000000"/>
                <w:sz w:val="18"/>
                <w:szCs w:val="18"/>
              </w:rPr>
              <w:t>2025(P)**</w:t>
            </w:r>
          </w:p>
        </w:tc>
        <w:tc>
          <w:tcPr>
            <w:tcW w:w="1055" w:type="dxa"/>
            <w:vAlign w:val="top"/>
          </w:tcPr>
          <w:p w14:paraId="07FA7798" w14:textId="2D0B019B" w:rsidR="00CD695B" w:rsidRPr="00CD695B" w:rsidRDefault="00CD695B" w:rsidP="00CD695B">
            <w:pP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CD695B">
              <w:rPr>
                <w:rFonts w:cs="Arial"/>
                <w:color w:val="000000"/>
                <w:sz w:val="18"/>
                <w:szCs w:val="18"/>
              </w:rPr>
              <w:t>2026(P)**</w:t>
            </w:r>
          </w:p>
        </w:tc>
      </w:tr>
      <w:tr w:rsidR="00CD695B" w:rsidRPr="00AD461E" w14:paraId="21AFDBA0" w14:textId="77777777" w:rsidTr="00EF3F9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18" w:type="dxa"/>
            <w:noWrap/>
          </w:tcPr>
          <w:p w14:paraId="34BFBBC6" w14:textId="4562015B" w:rsidR="00CD695B" w:rsidRPr="00066C19" w:rsidRDefault="00CD695B" w:rsidP="00CD695B">
            <w:pPr>
              <w:rPr>
                <w:rFonts w:cs="Arial"/>
                <w:color w:val="auto"/>
                <w:sz w:val="18"/>
                <w:szCs w:val="18"/>
              </w:rPr>
            </w:pPr>
            <w:r w:rsidRPr="00CD695B">
              <w:rPr>
                <w:rFonts w:cs="Arial"/>
                <w:color w:val="auto"/>
                <w:sz w:val="18"/>
                <w:szCs w:val="18"/>
              </w:rPr>
              <w:t>Cantidad de usuarios</w:t>
            </w:r>
          </w:p>
        </w:tc>
        <w:tc>
          <w:tcPr>
            <w:tcW w:w="1056" w:type="dxa"/>
            <w:vAlign w:val="top"/>
          </w:tcPr>
          <w:p w14:paraId="42C5FFD6" w14:textId="1EFA72C3" w:rsidR="00CD695B" w:rsidRPr="004A254B" w:rsidRDefault="00CD695B" w:rsidP="00CD695B">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A254B">
              <w:rPr>
                <w:rFonts w:cs="Arial"/>
                <w:color w:val="000000"/>
                <w:sz w:val="18"/>
                <w:szCs w:val="18"/>
              </w:rPr>
              <w:t>2,743,875</w:t>
            </w:r>
          </w:p>
        </w:tc>
        <w:tc>
          <w:tcPr>
            <w:tcW w:w="1055" w:type="dxa"/>
            <w:vAlign w:val="top"/>
          </w:tcPr>
          <w:p w14:paraId="40F49D7E" w14:textId="09115FC3" w:rsidR="00CD695B" w:rsidRPr="004A254B" w:rsidRDefault="00CD695B" w:rsidP="00CD695B">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A254B">
              <w:rPr>
                <w:rFonts w:cs="Arial"/>
                <w:color w:val="000000"/>
                <w:sz w:val="18"/>
                <w:szCs w:val="18"/>
              </w:rPr>
              <w:t>2,719,120</w:t>
            </w:r>
          </w:p>
        </w:tc>
        <w:tc>
          <w:tcPr>
            <w:tcW w:w="1055" w:type="dxa"/>
            <w:vAlign w:val="top"/>
          </w:tcPr>
          <w:p w14:paraId="034AC212" w14:textId="7A9362CD" w:rsidR="00CD695B" w:rsidRPr="004A254B" w:rsidRDefault="00CD695B" w:rsidP="00CD695B">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A254B">
              <w:rPr>
                <w:rFonts w:cs="Arial"/>
                <w:color w:val="000000"/>
                <w:sz w:val="18"/>
                <w:szCs w:val="18"/>
              </w:rPr>
              <w:t>2,800,562</w:t>
            </w:r>
          </w:p>
        </w:tc>
        <w:tc>
          <w:tcPr>
            <w:tcW w:w="1055" w:type="dxa"/>
            <w:vAlign w:val="top"/>
          </w:tcPr>
          <w:p w14:paraId="6603D11A" w14:textId="03423DB3" w:rsidR="00CD695B" w:rsidRPr="004A254B" w:rsidRDefault="00CD695B" w:rsidP="00CD695B">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A254B">
              <w:rPr>
                <w:rFonts w:cs="Arial"/>
                <w:color w:val="000000"/>
                <w:sz w:val="18"/>
                <w:szCs w:val="18"/>
              </w:rPr>
              <w:t>2,881,903</w:t>
            </w:r>
          </w:p>
        </w:tc>
        <w:tc>
          <w:tcPr>
            <w:tcW w:w="1055" w:type="dxa"/>
            <w:vAlign w:val="top"/>
          </w:tcPr>
          <w:p w14:paraId="3B79C4DD" w14:textId="1F45ACCF" w:rsidR="00CD695B" w:rsidRPr="004A254B" w:rsidRDefault="00CD695B" w:rsidP="00CD695B">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A254B">
              <w:rPr>
                <w:rFonts w:cs="Arial"/>
                <w:color w:val="000000"/>
                <w:sz w:val="18"/>
                <w:szCs w:val="18"/>
              </w:rPr>
              <w:t>2,963,151</w:t>
            </w:r>
          </w:p>
        </w:tc>
        <w:tc>
          <w:tcPr>
            <w:tcW w:w="1055" w:type="dxa"/>
            <w:vAlign w:val="top"/>
          </w:tcPr>
          <w:p w14:paraId="49822AC6" w14:textId="4F033E31" w:rsidR="00CD695B" w:rsidRPr="004A254B" w:rsidRDefault="00CD695B" w:rsidP="00CD695B">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A254B">
              <w:rPr>
                <w:rFonts w:cs="Arial"/>
                <w:color w:val="000000"/>
                <w:sz w:val="18"/>
                <w:szCs w:val="18"/>
              </w:rPr>
              <w:t>3,044,315</w:t>
            </w:r>
          </w:p>
        </w:tc>
      </w:tr>
      <w:tr w:rsidR="00C22028" w:rsidRPr="002946A9" w14:paraId="1B337494" w14:textId="77777777" w:rsidTr="00EF3F98">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7849" w:type="dxa"/>
            <w:gridSpan w:val="7"/>
            <w:shd w:val="clear" w:color="auto" w:fill="DFF0D3" w:themeFill="accent2" w:themeFillTint="33"/>
            <w:noWrap/>
          </w:tcPr>
          <w:p w14:paraId="72895FF7" w14:textId="10CCF3E4" w:rsidR="00C22028" w:rsidRPr="00CD695B" w:rsidRDefault="00C22028" w:rsidP="00F024D9">
            <w:pPr>
              <w:jc w:val="both"/>
              <w:rPr>
                <w:rFonts w:cs="Arial"/>
                <w:i/>
                <w:color w:val="auto"/>
                <w:sz w:val="18"/>
                <w:szCs w:val="18"/>
              </w:rPr>
            </w:pPr>
            <w:r w:rsidRPr="00CD695B">
              <w:rPr>
                <w:rFonts w:cs="Arial"/>
                <w:i/>
                <w:color w:val="auto"/>
                <w:sz w:val="18"/>
                <w:szCs w:val="18"/>
              </w:rPr>
              <w:t>* (E): atendidos en el año indicado; **(P): proyectados en el horizonte de planeación</w:t>
            </w:r>
          </w:p>
        </w:tc>
      </w:tr>
      <w:tr w:rsidR="00026A8F" w:rsidRPr="002946A9" w14:paraId="33505A5F" w14:textId="77777777" w:rsidTr="00CD695B">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7849" w:type="dxa"/>
            <w:gridSpan w:val="7"/>
            <w:shd w:val="clear" w:color="auto" w:fill="DFF0D3" w:themeFill="accent2" w:themeFillTint="33"/>
            <w:noWrap/>
          </w:tcPr>
          <w:p w14:paraId="3B331F9B" w14:textId="77777777" w:rsidR="00026A8F" w:rsidRPr="00CD695B" w:rsidDel="00381025" w:rsidRDefault="00026A8F" w:rsidP="00F024D9">
            <w:pPr>
              <w:jc w:val="both"/>
              <w:rPr>
                <w:rFonts w:cs="Arial"/>
                <w:i/>
                <w:color w:val="auto"/>
                <w:sz w:val="18"/>
                <w:szCs w:val="18"/>
              </w:rPr>
            </w:pPr>
          </w:p>
        </w:tc>
      </w:tr>
    </w:tbl>
    <w:p w14:paraId="3064EE20" w14:textId="77777777" w:rsidR="00381025" w:rsidRPr="002946A9" w:rsidRDefault="00381025" w:rsidP="00CD695B">
      <w:pPr>
        <w:spacing w:after="0"/>
        <w:jc w:val="both"/>
        <w:rPr>
          <w:rFonts w:ascii="Trebuchet MS" w:hAnsi="Trebuchet MS"/>
          <w:szCs w:val="24"/>
        </w:rPr>
      </w:pPr>
    </w:p>
    <w:p w14:paraId="0C3B6A50" w14:textId="1F712B4E" w:rsidR="00A35F1D" w:rsidRDefault="00A35F1D" w:rsidP="00A803E4">
      <w:pPr>
        <w:spacing w:after="0"/>
        <w:ind w:left="360"/>
        <w:jc w:val="both"/>
        <w:rPr>
          <w:rFonts w:ascii="Trebuchet MS" w:hAnsi="Trebuchet MS"/>
          <w:szCs w:val="24"/>
        </w:rPr>
      </w:pPr>
      <w:r w:rsidRPr="00066C19">
        <w:rPr>
          <w:rFonts w:ascii="Trebuchet MS" w:hAnsi="Trebuchet MS"/>
          <w:szCs w:val="24"/>
        </w:rPr>
        <w:t>De acuerdo con las proyeccione</w:t>
      </w:r>
      <w:r w:rsidR="00841F29" w:rsidRPr="00066C19">
        <w:rPr>
          <w:rFonts w:ascii="Trebuchet MS" w:hAnsi="Trebuchet MS"/>
          <w:szCs w:val="24"/>
        </w:rPr>
        <w:t>s presentadas en l</w:t>
      </w:r>
      <w:r w:rsidR="005A2B3E" w:rsidRPr="00066C19">
        <w:rPr>
          <w:rFonts w:ascii="Trebuchet MS" w:hAnsi="Trebuchet MS"/>
          <w:szCs w:val="24"/>
        </w:rPr>
        <w:t xml:space="preserve">a </w:t>
      </w:r>
      <w:r w:rsidR="005A2B3E" w:rsidRPr="00066C19">
        <w:rPr>
          <w:rFonts w:ascii="Trebuchet MS" w:hAnsi="Trebuchet MS"/>
          <w:szCs w:val="24"/>
        </w:rPr>
        <w:fldChar w:fldCharType="begin"/>
      </w:r>
      <w:r w:rsidR="005A2B3E" w:rsidRPr="00066C19">
        <w:rPr>
          <w:rFonts w:ascii="Trebuchet MS" w:hAnsi="Trebuchet MS"/>
          <w:szCs w:val="24"/>
        </w:rPr>
        <w:instrText xml:space="preserve"> REF _Ref67659330 \h </w:instrText>
      </w:r>
      <w:r w:rsidR="002946A9" w:rsidRPr="00066C19">
        <w:rPr>
          <w:rFonts w:ascii="Trebuchet MS" w:hAnsi="Trebuchet MS"/>
          <w:szCs w:val="24"/>
        </w:rPr>
        <w:instrText xml:space="preserve"> \* MERGEFORMAT </w:instrText>
      </w:r>
      <w:r w:rsidR="005A2B3E" w:rsidRPr="00066C19">
        <w:rPr>
          <w:rFonts w:ascii="Trebuchet MS" w:hAnsi="Trebuchet MS"/>
          <w:szCs w:val="24"/>
        </w:rPr>
      </w:r>
      <w:r w:rsidR="005A2B3E" w:rsidRPr="00066C1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2</w:t>
      </w:r>
      <w:r w:rsidR="00C944CB" w:rsidRPr="002946A9">
        <w:rPr>
          <w:rFonts w:ascii="Trebuchet MS" w:hAnsi="Trebuchet MS"/>
          <w:noProof/>
        </w:rPr>
        <w:t>.</w:t>
      </w:r>
      <w:r w:rsidR="00C944CB">
        <w:rPr>
          <w:rFonts w:ascii="Trebuchet MS" w:hAnsi="Trebuchet MS"/>
          <w:noProof/>
        </w:rPr>
        <w:t>1</w:t>
      </w:r>
      <w:r w:rsidR="005A2B3E" w:rsidRPr="00066C19">
        <w:rPr>
          <w:rFonts w:ascii="Trebuchet MS" w:hAnsi="Trebuchet MS"/>
          <w:szCs w:val="24"/>
        </w:rPr>
        <w:fldChar w:fldCharType="end"/>
      </w:r>
      <w:r w:rsidR="00C5109F" w:rsidRPr="00066C19">
        <w:rPr>
          <w:rFonts w:ascii="Trebuchet MS" w:hAnsi="Trebuchet MS"/>
          <w:szCs w:val="24"/>
        </w:rPr>
        <w:t xml:space="preserve">, </w:t>
      </w:r>
      <w:r w:rsidRPr="00066C19">
        <w:rPr>
          <w:rFonts w:ascii="Trebuchet MS" w:hAnsi="Trebuchet MS"/>
          <w:szCs w:val="24"/>
        </w:rPr>
        <w:t xml:space="preserve">para el año </w:t>
      </w:r>
      <w:r w:rsidR="005A5FB2" w:rsidRPr="00066C19">
        <w:rPr>
          <w:rFonts w:ascii="Trebuchet MS" w:hAnsi="Trebuchet MS"/>
          <w:szCs w:val="24"/>
        </w:rPr>
        <w:t xml:space="preserve">2022 </w:t>
      </w:r>
      <w:r w:rsidR="00C5109F" w:rsidRPr="00066C19">
        <w:rPr>
          <w:rFonts w:ascii="Trebuchet MS" w:hAnsi="Trebuchet MS"/>
          <w:szCs w:val="24"/>
        </w:rPr>
        <w:t xml:space="preserve">se esperaba </w:t>
      </w:r>
      <w:r w:rsidRPr="00066C19">
        <w:rPr>
          <w:rFonts w:ascii="Trebuchet MS" w:hAnsi="Trebuchet MS"/>
          <w:szCs w:val="24"/>
        </w:rPr>
        <w:t xml:space="preserve">contar con un </w:t>
      </w:r>
      <w:r w:rsidR="00CD1997" w:rsidRPr="00066C19">
        <w:rPr>
          <w:rFonts w:ascii="Trebuchet MS" w:hAnsi="Trebuchet MS"/>
          <w:szCs w:val="24"/>
        </w:rPr>
        <w:t>total de</w:t>
      </w:r>
      <w:r w:rsidR="00187DD1" w:rsidRPr="00066C19">
        <w:rPr>
          <w:rFonts w:ascii="Trebuchet MS" w:hAnsi="Trebuchet MS"/>
          <w:szCs w:val="24"/>
        </w:rPr>
        <w:t xml:space="preserve"> </w:t>
      </w:r>
      <w:r w:rsidR="007E1946">
        <w:rPr>
          <w:rFonts w:ascii="Trebuchet MS" w:hAnsi="Trebuchet MS"/>
          <w:szCs w:val="24"/>
        </w:rPr>
        <w:t xml:space="preserve">2,719,120 </w:t>
      </w:r>
      <w:r w:rsidR="00187DD1" w:rsidRPr="00066C19">
        <w:rPr>
          <w:rFonts w:ascii="Trebuchet MS" w:hAnsi="Trebuchet MS"/>
          <w:szCs w:val="24"/>
        </w:rPr>
        <w:t>usuarios</w:t>
      </w:r>
      <w:r w:rsidRPr="00066C19">
        <w:rPr>
          <w:rFonts w:ascii="Trebuchet MS" w:hAnsi="Trebuchet MS"/>
          <w:szCs w:val="24"/>
        </w:rPr>
        <w:t xml:space="preserve">, </w:t>
      </w:r>
      <w:r w:rsidR="00532946" w:rsidRPr="00066C19">
        <w:rPr>
          <w:rFonts w:ascii="Trebuchet MS" w:hAnsi="Trebuchet MS"/>
          <w:szCs w:val="24"/>
        </w:rPr>
        <w:t xml:space="preserve">sin embargo, </w:t>
      </w:r>
      <w:r w:rsidRPr="00066C19">
        <w:rPr>
          <w:rFonts w:ascii="Trebuchet MS" w:hAnsi="Trebuchet MS"/>
          <w:szCs w:val="24"/>
        </w:rPr>
        <w:t>finalmente</w:t>
      </w:r>
      <w:r w:rsidR="009E2DFA" w:rsidRPr="00066C19">
        <w:rPr>
          <w:rFonts w:ascii="Trebuchet MS" w:hAnsi="Trebuchet MS"/>
          <w:szCs w:val="24"/>
        </w:rPr>
        <w:t xml:space="preserve"> se</w:t>
      </w:r>
      <w:r w:rsidR="006E6ED9" w:rsidRPr="00066C19">
        <w:rPr>
          <w:rFonts w:ascii="Trebuchet MS" w:hAnsi="Trebuchet MS"/>
          <w:szCs w:val="24"/>
        </w:rPr>
        <w:t xml:space="preserve"> </w:t>
      </w:r>
      <w:r w:rsidR="00D37426" w:rsidRPr="00066C19">
        <w:rPr>
          <w:rFonts w:ascii="Trebuchet MS" w:hAnsi="Trebuchet MS"/>
          <w:szCs w:val="24"/>
        </w:rPr>
        <w:t xml:space="preserve">lograron </w:t>
      </w:r>
      <w:r w:rsidR="00D37426">
        <w:rPr>
          <w:rFonts w:ascii="Trebuchet MS" w:hAnsi="Trebuchet MS"/>
          <w:szCs w:val="24"/>
        </w:rPr>
        <w:t>2,743,875</w:t>
      </w:r>
      <w:r w:rsidR="00FA29BD" w:rsidRPr="00066C19">
        <w:rPr>
          <w:rFonts w:ascii="Trebuchet MS" w:hAnsi="Trebuchet MS"/>
          <w:szCs w:val="24"/>
        </w:rPr>
        <w:t xml:space="preserve"> </w:t>
      </w:r>
      <w:r w:rsidR="009E2DFA" w:rsidRPr="00066C19">
        <w:rPr>
          <w:rFonts w:ascii="Trebuchet MS" w:hAnsi="Trebuchet MS"/>
          <w:szCs w:val="24"/>
        </w:rPr>
        <w:t>usuarios</w:t>
      </w:r>
      <w:r w:rsidRPr="00066C19">
        <w:rPr>
          <w:rFonts w:ascii="Trebuchet MS" w:hAnsi="Trebuchet MS"/>
          <w:szCs w:val="24"/>
        </w:rPr>
        <w:t>,</w:t>
      </w:r>
      <w:r w:rsidR="009E2DFA" w:rsidRPr="00066C19">
        <w:rPr>
          <w:rFonts w:ascii="Trebuchet MS" w:hAnsi="Trebuchet MS"/>
          <w:szCs w:val="24"/>
        </w:rPr>
        <w:t xml:space="preserve"> </w:t>
      </w:r>
      <w:r w:rsidR="00FA29BD" w:rsidRPr="00066C19">
        <w:rPr>
          <w:rFonts w:ascii="Trebuchet MS" w:hAnsi="Trebuchet MS"/>
          <w:szCs w:val="24"/>
        </w:rPr>
        <w:t xml:space="preserve">lo que corresponde a </w:t>
      </w:r>
      <w:r w:rsidR="008A26B3">
        <w:rPr>
          <w:rFonts w:ascii="Trebuchet MS" w:hAnsi="Trebuchet MS"/>
          <w:szCs w:val="24"/>
        </w:rPr>
        <w:t xml:space="preserve"> 24,755</w:t>
      </w:r>
      <w:r w:rsidR="00FA29BD" w:rsidRPr="00066C19">
        <w:rPr>
          <w:rFonts w:ascii="Trebuchet MS" w:hAnsi="Trebuchet MS"/>
          <w:szCs w:val="24"/>
        </w:rPr>
        <w:t xml:space="preserve"> usuarios más de lo esperado, es decir, un 0.</w:t>
      </w:r>
      <w:r w:rsidR="00FE2F80">
        <w:rPr>
          <w:rFonts w:ascii="Trebuchet MS" w:hAnsi="Trebuchet MS"/>
          <w:szCs w:val="24"/>
        </w:rPr>
        <w:t>91</w:t>
      </w:r>
      <w:r w:rsidR="00FA29BD" w:rsidRPr="00066C19">
        <w:rPr>
          <w:rFonts w:ascii="Trebuchet MS" w:hAnsi="Trebuchet MS"/>
          <w:szCs w:val="24"/>
        </w:rPr>
        <w:t>% por encima.</w:t>
      </w:r>
    </w:p>
    <w:p w14:paraId="2FDC7425" w14:textId="77777777" w:rsidR="00085872" w:rsidRPr="002946A9" w:rsidRDefault="00085872" w:rsidP="00A803E4">
      <w:pPr>
        <w:spacing w:after="0"/>
        <w:ind w:left="360"/>
        <w:jc w:val="both"/>
        <w:rPr>
          <w:rFonts w:ascii="Trebuchet MS" w:hAnsi="Trebuchet MS"/>
          <w:szCs w:val="24"/>
        </w:rPr>
      </w:pPr>
    </w:p>
    <w:p w14:paraId="6ECD6057" w14:textId="685C989B" w:rsidR="00974DC0" w:rsidRPr="002946A9" w:rsidRDefault="00A45F77" w:rsidP="00DF29CB">
      <w:pPr>
        <w:pStyle w:val="Prrafodelista"/>
        <w:numPr>
          <w:ilvl w:val="2"/>
          <w:numId w:val="2"/>
        </w:numPr>
        <w:jc w:val="both"/>
        <w:outlineLvl w:val="2"/>
        <w:rPr>
          <w:rFonts w:ascii="Trebuchet MS" w:hAnsi="Trebuchet MS"/>
          <w:b/>
          <w:bCs/>
          <w:szCs w:val="24"/>
        </w:rPr>
      </w:pPr>
      <w:bookmarkStart w:id="101" w:name="_Toc131109336"/>
      <w:r w:rsidRPr="002946A9">
        <w:rPr>
          <w:rFonts w:ascii="Trebuchet MS" w:hAnsi="Trebuchet MS"/>
          <w:b/>
          <w:bCs/>
          <w:szCs w:val="24"/>
        </w:rPr>
        <w:t xml:space="preserve">Demanda de </w:t>
      </w:r>
      <w:r w:rsidR="00B01C31" w:rsidRPr="002946A9">
        <w:rPr>
          <w:rFonts w:ascii="Trebuchet MS" w:hAnsi="Trebuchet MS"/>
          <w:b/>
          <w:bCs/>
          <w:szCs w:val="24"/>
        </w:rPr>
        <w:t>energía</w:t>
      </w:r>
      <w:bookmarkEnd w:id="101"/>
      <w:r w:rsidR="00974DC0" w:rsidRPr="002946A9">
        <w:rPr>
          <w:rFonts w:ascii="Trebuchet MS" w:hAnsi="Trebuchet MS"/>
          <w:b/>
          <w:bCs/>
          <w:szCs w:val="24"/>
        </w:rPr>
        <w:t xml:space="preserve">  </w:t>
      </w:r>
    </w:p>
    <w:p w14:paraId="0EDEC51A" w14:textId="64D662FB" w:rsidR="00061605" w:rsidRPr="00FE2F80" w:rsidRDefault="00061605" w:rsidP="00DF29CB">
      <w:pPr>
        <w:ind w:left="360"/>
        <w:jc w:val="both"/>
        <w:rPr>
          <w:rFonts w:ascii="Trebuchet MS" w:hAnsi="Trebuchet MS"/>
          <w:szCs w:val="24"/>
        </w:rPr>
      </w:pPr>
      <w:r w:rsidRPr="00FE2F80">
        <w:rPr>
          <w:rFonts w:ascii="Trebuchet MS" w:hAnsi="Trebuchet MS"/>
          <w:szCs w:val="24"/>
        </w:rPr>
        <w:t xml:space="preserve">En la </w:t>
      </w:r>
      <w:r w:rsidRPr="00FE2F80">
        <w:rPr>
          <w:rFonts w:ascii="Trebuchet MS" w:hAnsi="Trebuchet MS"/>
          <w:szCs w:val="24"/>
        </w:rPr>
        <w:fldChar w:fldCharType="begin"/>
      </w:r>
      <w:r w:rsidRPr="00FE2F80">
        <w:rPr>
          <w:rFonts w:ascii="Trebuchet MS" w:hAnsi="Trebuchet MS"/>
          <w:szCs w:val="24"/>
        </w:rPr>
        <w:instrText xml:space="preserve"> REF _Ref66431251 \h </w:instrText>
      </w:r>
      <w:r w:rsidR="00DF29CB" w:rsidRPr="00FE2F80">
        <w:rPr>
          <w:rFonts w:ascii="Trebuchet MS" w:hAnsi="Trebuchet MS"/>
          <w:szCs w:val="24"/>
        </w:rPr>
        <w:instrText xml:space="preserve"> \* MERGEFORMAT </w:instrText>
      </w:r>
      <w:r w:rsidRPr="00FE2F80">
        <w:rPr>
          <w:rFonts w:ascii="Trebuchet MS" w:hAnsi="Trebuchet MS"/>
          <w:szCs w:val="24"/>
        </w:rPr>
      </w:r>
      <w:r w:rsidRPr="00FE2F80">
        <w:rPr>
          <w:rFonts w:ascii="Trebuchet MS" w:hAnsi="Trebuchet MS"/>
          <w:szCs w:val="24"/>
        </w:rPr>
        <w:fldChar w:fldCharType="separate"/>
      </w:r>
      <w:r w:rsidR="00C944CB" w:rsidRPr="00FE7A06">
        <w:rPr>
          <w:rFonts w:ascii="Trebuchet MS" w:hAnsi="Trebuchet MS"/>
        </w:rPr>
        <w:t xml:space="preserve">Tabla </w:t>
      </w:r>
      <w:r w:rsidR="00C944CB">
        <w:rPr>
          <w:rFonts w:ascii="Trebuchet MS" w:hAnsi="Trebuchet MS"/>
          <w:noProof/>
        </w:rPr>
        <w:t>2</w:t>
      </w:r>
      <w:r w:rsidR="00C944CB" w:rsidRPr="00FE7A06">
        <w:rPr>
          <w:rFonts w:ascii="Trebuchet MS" w:hAnsi="Trebuchet MS"/>
          <w:noProof/>
        </w:rPr>
        <w:t>.</w:t>
      </w:r>
      <w:r w:rsidR="00C944CB">
        <w:rPr>
          <w:rFonts w:ascii="Trebuchet MS" w:hAnsi="Trebuchet MS"/>
          <w:noProof/>
        </w:rPr>
        <w:t>2</w:t>
      </w:r>
      <w:r w:rsidRPr="00FE2F80">
        <w:rPr>
          <w:rFonts w:ascii="Trebuchet MS" w:hAnsi="Trebuchet MS"/>
          <w:szCs w:val="24"/>
        </w:rPr>
        <w:fldChar w:fldCharType="end"/>
      </w:r>
      <w:r w:rsidRPr="00FE2F80">
        <w:rPr>
          <w:rFonts w:ascii="Trebuchet MS" w:hAnsi="Trebuchet MS"/>
          <w:szCs w:val="24"/>
        </w:rPr>
        <w:t xml:space="preserve"> se presenta la demanda de </w:t>
      </w:r>
      <w:r w:rsidR="000D305C" w:rsidRPr="00FE2F80">
        <w:rPr>
          <w:rFonts w:ascii="Trebuchet MS" w:hAnsi="Trebuchet MS"/>
          <w:szCs w:val="24"/>
        </w:rPr>
        <w:t xml:space="preserve">energía </w:t>
      </w:r>
      <w:r w:rsidRPr="00FE2F80">
        <w:rPr>
          <w:rFonts w:ascii="Trebuchet MS" w:hAnsi="Trebuchet MS"/>
          <w:szCs w:val="24"/>
        </w:rPr>
        <w:t xml:space="preserve">proyectada por EPM </w:t>
      </w:r>
      <w:r w:rsidR="00AD30FB" w:rsidRPr="00FE2F80">
        <w:rPr>
          <w:rFonts w:ascii="Trebuchet MS" w:hAnsi="Trebuchet MS"/>
          <w:szCs w:val="24"/>
        </w:rPr>
        <w:t xml:space="preserve">en un horizonte de planeación de 5 años, realizado durante la preparación del plan de inversiones regulatorio, así como la cantidad de demanda obtenida en el año </w:t>
      </w:r>
      <w:r w:rsidR="005A5FB2" w:rsidRPr="00FE2F80">
        <w:rPr>
          <w:rFonts w:ascii="Trebuchet MS" w:hAnsi="Trebuchet MS"/>
          <w:szCs w:val="24"/>
        </w:rPr>
        <w:t>2022</w:t>
      </w:r>
    </w:p>
    <w:p w14:paraId="4E95D928" w14:textId="77777777" w:rsidR="00331AD6" w:rsidRDefault="00331AD6" w:rsidP="00DF29CB">
      <w:pPr>
        <w:spacing w:after="0"/>
        <w:ind w:left="360"/>
        <w:jc w:val="both"/>
        <w:rPr>
          <w:rFonts w:ascii="Trebuchet MS" w:hAnsi="Trebuchet MS"/>
          <w:szCs w:val="24"/>
          <w:highlight w:val="green"/>
        </w:rPr>
      </w:pPr>
    </w:p>
    <w:p w14:paraId="593BBC84" w14:textId="77777777" w:rsidR="0085234B" w:rsidRPr="00EF3F98" w:rsidRDefault="0085234B" w:rsidP="00DF29CB">
      <w:pPr>
        <w:spacing w:after="0"/>
        <w:ind w:left="360"/>
        <w:jc w:val="both"/>
        <w:rPr>
          <w:rFonts w:ascii="Trebuchet MS" w:hAnsi="Trebuchet MS"/>
          <w:szCs w:val="24"/>
          <w:highlight w:val="green"/>
        </w:rPr>
      </w:pPr>
    </w:p>
    <w:p w14:paraId="434DD781" w14:textId="70F65A06" w:rsidR="00331AD6" w:rsidRPr="00FE7A06" w:rsidRDefault="00331AD6" w:rsidP="00DF29CB">
      <w:pPr>
        <w:ind w:left="360"/>
        <w:jc w:val="both"/>
        <w:rPr>
          <w:rFonts w:ascii="Trebuchet MS" w:hAnsi="Trebuchet MS"/>
        </w:rPr>
      </w:pPr>
      <w:bookmarkStart w:id="102" w:name="_Ref66431251"/>
      <w:bookmarkStart w:id="103" w:name="_Toc131032770"/>
      <w:r w:rsidRPr="00FE7A06">
        <w:rPr>
          <w:rFonts w:ascii="Trebuchet MS" w:hAnsi="Trebuchet MS"/>
        </w:rPr>
        <w:t xml:space="preserve">Tabla </w:t>
      </w:r>
      <w:r w:rsidRPr="00FE7A06">
        <w:rPr>
          <w:rFonts w:ascii="Trebuchet MS" w:hAnsi="Trebuchet MS"/>
        </w:rPr>
        <w:fldChar w:fldCharType="begin"/>
      </w:r>
      <w:r w:rsidRPr="00FE7A06">
        <w:rPr>
          <w:rFonts w:ascii="Trebuchet MS" w:hAnsi="Trebuchet MS"/>
        </w:rPr>
        <w:instrText xml:space="preserve"> STYLEREF 1 \s </w:instrText>
      </w:r>
      <w:r w:rsidRPr="00FE7A06">
        <w:rPr>
          <w:rFonts w:ascii="Trebuchet MS" w:hAnsi="Trebuchet MS"/>
        </w:rPr>
        <w:fldChar w:fldCharType="separate"/>
      </w:r>
      <w:r w:rsidR="00C944CB">
        <w:rPr>
          <w:rFonts w:ascii="Trebuchet MS" w:hAnsi="Trebuchet MS"/>
          <w:noProof/>
        </w:rPr>
        <w:t>2</w:t>
      </w:r>
      <w:r w:rsidRPr="00FE7A06">
        <w:rPr>
          <w:rFonts w:ascii="Trebuchet MS" w:hAnsi="Trebuchet MS"/>
        </w:rPr>
        <w:fldChar w:fldCharType="end"/>
      </w:r>
      <w:r w:rsidRPr="00FE7A06">
        <w:rPr>
          <w:rFonts w:ascii="Trebuchet MS" w:hAnsi="Trebuchet MS"/>
        </w:rPr>
        <w:t>.</w:t>
      </w:r>
      <w:r w:rsidRPr="00FE7A06">
        <w:rPr>
          <w:rFonts w:ascii="Trebuchet MS" w:hAnsi="Trebuchet MS"/>
        </w:rPr>
        <w:fldChar w:fldCharType="begin"/>
      </w:r>
      <w:r w:rsidRPr="00FE7A06">
        <w:rPr>
          <w:rFonts w:ascii="Trebuchet MS" w:hAnsi="Trebuchet MS"/>
        </w:rPr>
        <w:instrText xml:space="preserve"> SEQ Tabla \* ARABIC \s 1 </w:instrText>
      </w:r>
      <w:r w:rsidRPr="00FE7A06">
        <w:rPr>
          <w:rFonts w:ascii="Trebuchet MS" w:hAnsi="Trebuchet MS"/>
        </w:rPr>
        <w:fldChar w:fldCharType="separate"/>
      </w:r>
      <w:r w:rsidR="00C944CB">
        <w:rPr>
          <w:rFonts w:ascii="Trebuchet MS" w:hAnsi="Trebuchet MS"/>
          <w:noProof/>
        </w:rPr>
        <w:t>2</w:t>
      </w:r>
      <w:r w:rsidRPr="00FE7A06">
        <w:rPr>
          <w:rFonts w:ascii="Trebuchet MS" w:hAnsi="Trebuchet MS"/>
        </w:rPr>
        <w:fldChar w:fldCharType="end"/>
      </w:r>
      <w:bookmarkEnd w:id="102"/>
      <w:r w:rsidRPr="00FE7A06">
        <w:rPr>
          <w:rFonts w:ascii="Trebuchet MS" w:hAnsi="Trebuchet MS"/>
        </w:rPr>
        <w:t xml:space="preserve"> </w:t>
      </w:r>
      <w:r w:rsidR="003B2D13" w:rsidRPr="00FE7A06">
        <w:rPr>
          <w:rFonts w:ascii="Trebuchet MS" w:hAnsi="Trebuchet MS"/>
        </w:rPr>
        <w:tab/>
      </w:r>
      <w:r w:rsidRPr="00FE7A06">
        <w:rPr>
          <w:rFonts w:ascii="Trebuchet MS" w:hAnsi="Trebuchet MS"/>
        </w:rPr>
        <w:t>Demanda de energía en el sistema de EPM en un horizonte de 5 años.</w:t>
      </w:r>
      <w:bookmarkEnd w:id="103"/>
    </w:p>
    <w:tbl>
      <w:tblPr>
        <w:tblStyle w:val="Tablaconcuadrcula5oscura-nfasis1"/>
        <w:tblW w:w="9117" w:type="dxa"/>
        <w:jc w:val="center"/>
        <w:tblLayout w:type="fixed"/>
        <w:tblLook w:val="04A0" w:firstRow="1" w:lastRow="0" w:firstColumn="1" w:lastColumn="0" w:noHBand="0" w:noVBand="1"/>
      </w:tblPr>
      <w:tblGrid>
        <w:gridCol w:w="1239"/>
        <w:gridCol w:w="1105"/>
        <w:gridCol w:w="1215"/>
        <w:gridCol w:w="1105"/>
        <w:gridCol w:w="1105"/>
        <w:gridCol w:w="1105"/>
        <w:gridCol w:w="1105"/>
        <w:gridCol w:w="1138"/>
      </w:tblGrid>
      <w:tr w:rsidR="00CD695B" w:rsidRPr="00CD695B" w14:paraId="10114112" w14:textId="51C07215" w:rsidTr="004A254B">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239" w:type="dxa"/>
            <w:noWrap/>
            <w:hideMark/>
          </w:tcPr>
          <w:p w14:paraId="62D14A61" w14:textId="25059A10" w:rsidR="00CD695B" w:rsidRPr="00CD695B" w:rsidRDefault="00CD695B" w:rsidP="00CD695B">
            <w:pPr>
              <w:jc w:val="both"/>
              <w:rPr>
                <w:rFonts w:cs="Arial"/>
                <w:b w:val="0"/>
                <w:color w:val="auto"/>
                <w:sz w:val="18"/>
                <w:szCs w:val="18"/>
              </w:rPr>
            </w:pPr>
            <w:bookmarkStart w:id="104" w:name="_Hlk98946596"/>
            <w:r w:rsidRPr="00CD695B">
              <w:rPr>
                <w:rFonts w:cs="Arial"/>
                <w:color w:val="auto"/>
                <w:sz w:val="18"/>
                <w:szCs w:val="18"/>
              </w:rPr>
              <w:t>Descripción/año</w:t>
            </w:r>
          </w:p>
        </w:tc>
        <w:tc>
          <w:tcPr>
            <w:tcW w:w="1105" w:type="dxa"/>
            <w:noWrap/>
            <w:vAlign w:val="top"/>
          </w:tcPr>
          <w:p w14:paraId="121F6214" w14:textId="05748ED6" w:rsidR="00CD695B" w:rsidRPr="00CD695B" w:rsidRDefault="00CD695B" w:rsidP="00CD695B">
            <w:pP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CD695B">
              <w:rPr>
                <w:rFonts w:cs="Arial"/>
                <w:color w:val="auto"/>
                <w:sz w:val="18"/>
                <w:szCs w:val="18"/>
              </w:rPr>
              <w:t>2020(E)*</w:t>
            </w:r>
          </w:p>
        </w:tc>
        <w:tc>
          <w:tcPr>
            <w:tcW w:w="1215" w:type="dxa"/>
            <w:vAlign w:val="top"/>
          </w:tcPr>
          <w:p w14:paraId="59024FE3" w14:textId="6629EDF0" w:rsidR="00CD695B" w:rsidRPr="00CD695B" w:rsidRDefault="00CD695B" w:rsidP="00CD695B">
            <w:pP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CD695B">
              <w:rPr>
                <w:rFonts w:cs="Arial"/>
                <w:color w:val="auto"/>
                <w:sz w:val="18"/>
                <w:szCs w:val="18"/>
              </w:rPr>
              <w:t>2021(E)*</w:t>
            </w:r>
          </w:p>
        </w:tc>
        <w:tc>
          <w:tcPr>
            <w:tcW w:w="1105" w:type="dxa"/>
            <w:vAlign w:val="top"/>
          </w:tcPr>
          <w:p w14:paraId="48BFA143" w14:textId="3B0125B4" w:rsidR="00CD695B" w:rsidRPr="00CD695B" w:rsidRDefault="00CD695B" w:rsidP="00CD695B">
            <w:pP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CD695B">
              <w:rPr>
                <w:rFonts w:cs="Arial"/>
                <w:color w:val="auto"/>
                <w:sz w:val="18"/>
                <w:szCs w:val="18"/>
              </w:rPr>
              <w:t>2022(E)*</w:t>
            </w:r>
          </w:p>
        </w:tc>
        <w:tc>
          <w:tcPr>
            <w:tcW w:w="1105" w:type="dxa"/>
            <w:vAlign w:val="top"/>
          </w:tcPr>
          <w:p w14:paraId="7A9A7375" w14:textId="28E85F2D" w:rsidR="00CD695B" w:rsidRPr="00CD695B" w:rsidRDefault="00CD695B" w:rsidP="00CD695B">
            <w:pP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CD695B">
              <w:rPr>
                <w:rFonts w:cs="Arial"/>
                <w:color w:val="auto"/>
                <w:sz w:val="18"/>
                <w:szCs w:val="18"/>
              </w:rPr>
              <w:t>2022(P)**</w:t>
            </w:r>
          </w:p>
        </w:tc>
        <w:tc>
          <w:tcPr>
            <w:tcW w:w="1105" w:type="dxa"/>
            <w:vAlign w:val="top"/>
          </w:tcPr>
          <w:p w14:paraId="124C53D5" w14:textId="65A8A582" w:rsidR="00CD695B" w:rsidRPr="00CD695B" w:rsidRDefault="00CD695B" w:rsidP="00CD695B">
            <w:pP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CD695B">
              <w:rPr>
                <w:rFonts w:cs="Arial"/>
                <w:color w:val="auto"/>
                <w:sz w:val="18"/>
                <w:szCs w:val="18"/>
              </w:rPr>
              <w:t>2023(P)**</w:t>
            </w:r>
          </w:p>
        </w:tc>
        <w:tc>
          <w:tcPr>
            <w:tcW w:w="1105" w:type="dxa"/>
            <w:vAlign w:val="top"/>
          </w:tcPr>
          <w:p w14:paraId="1538BD77" w14:textId="313C4520" w:rsidR="00CD695B" w:rsidRPr="00CD695B" w:rsidRDefault="00CD695B" w:rsidP="00CD695B">
            <w:pP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CD695B">
              <w:rPr>
                <w:rFonts w:cs="Arial"/>
                <w:color w:val="auto"/>
                <w:sz w:val="18"/>
                <w:szCs w:val="18"/>
              </w:rPr>
              <w:t>2024(P)**</w:t>
            </w:r>
          </w:p>
        </w:tc>
        <w:tc>
          <w:tcPr>
            <w:tcW w:w="1134" w:type="dxa"/>
            <w:vAlign w:val="top"/>
          </w:tcPr>
          <w:p w14:paraId="3CC942B7" w14:textId="2DD92C7A" w:rsidR="00CD695B" w:rsidRPr="00CD695B" w:rsidRDefault="00CD695B" w:rsidP="00CD695B">
            <w:pP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CD695B">
              <w:rPr>
                <w:rFonts w:cs="Arial"/>
                <w:color w:val="auto"/>
                <w:sz w:val="18"/>
                <w:szCs w:val="18"/>
              </w:rPr>
              <w:t>2025(P)**</w:t>
            </w:r>
          </w:p>
        </w:tc>
      </w:tr>
      <w:tr w:rsidR="00CD695B" w:rsidRPr="00CD695B" w14:paraId="16053F74" w14:textId="47D9E06F" w:rsidTr="004A254B">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1239" w:type="dxa"/>
            <w:noWrap/>
            <w:hideMark/>
          </w:tcPr>
          <w:p w14:paraId="00FA1A2C" w14:textId="22736D9D" w:rsidR="00CD695B" w:rsidRPr="00CD695B" w:rsidRDefault="00CD695B" w:rsidP="00CD695B">
            <w:pPr>
              <w:jc w:val="both"/>
              <w:rPr>
                <w:rFonts w:cs="Arial"/>
                <w:color w:val="auto"/>
                <w:sz w:val="18"/>
                <w:szCs w:val="18"/>
              </w:rPr>
            </w:pPr>
            <w:r w:rsidRPr="00CD695B">
              <w:rPr>
                <w:rFonts w:cs="Arial"/>
                <w:color w:val="auto"/>
                <w:sz w:val="18"/>
                <w:szCs w:val="18"/>
              </w:rPr>
              <w:t>Demanda Total [MWh]</w:t>
            </w:r>
          </w:p>
        </w:tc>
        <w:tc>
          <w:tcPr>
            <w:tcW w:w="1105" w:type="dxa"/>
            <w:noWrap/>
            <w:vAlign w:val="top"/>
          </w:tcPr>
          <w:p w14:paraId="15CABA2B" w14:textId="6BF9CF71" w:rsidR="00CD695B" w:rsidRPr="004A254B" w:rsidRDefault="00CD695B" w:rsidP="00CD695B">
            <w:pPr>
              <w:jc w:val="left"/>
              <w:cnfStyle w:val="000000100000" w:firstRow="0" w:lastRow="0" w:firstColumn="0" w:lastColumn="0" w:oddVBand="0" w:evenVBand="0" w:oddHBand="1" w:evenHBand="0" w:firstRowFirstColumn="0" w:firstRowLastColumn="0" w:lastRowFirstColumn="0" w:lastRowLastColumn="0"/>
              <w:rPr>
                <w:rFonts w:cs="Arial"/>
                <w:iCs/>
                <w:sz w:val="18"/>
                <w:szCs w:val="18"/>
              </w:rPr>
            </w:pPr>
            <w:r w:rsidRPr="004A254B">
              <w:rPr>
                <w:rFonts w:cs="Arial"/>
                <w:iCs/>
                <w:sz w:val="18"/>
                <w:szCs w:val="18"/>
              </w:rPr>
              <w:t>9,351,908</w:t>
            </w:r>
          </w:p>
        </w:tc>
        <w:tc>
          <w:tcPr>
            <w:tcW w:w="1215" w:type="dxa"/>
            <w:vAlign w:val="top"/>
          </w:tcPr>
          <w:p w14:paraId="1D54AF3C" w14:textId="07A9DFF0" w:rsidR="00CD695B" w:rsidRPr="004A254B" w:rsidRDefault="00CD695B" w:rsidP="00CD695B">
            <w:pPr>
              <w:jc w:val="left"/>
              <w:cnfStyle w:val="000000100000" w:firstRow="0" w:lastRow="0" w:firstColumn="0" w:lastColumn="0" w:oddVBand="0" w:evenVBand="0" w:oddHBand="1" w:evenHBand="0" w:firstRowFirstColumn="0" w:firstRowLastColumn="0" w:lastRowFirstColumn="0" w:lastRowLastColumn="0"/>
              <w:rPr>
                <w:rFonts w:cs="Arial"/>
                <w:iCs/>
                <w:sz w:val="18"/>
                <w:szCs w:val="18"/>
              </w:rPr>
            </w:pPr>
            <w:r w:rsidRPr="004A254B">
              <w:rPr>
                <w:rFonts w:cs="Arial"/>
                <w:iCs/>
                <w:sz w:val="18"/>
                <w:szCs w:val="18"/>
              </w:rPr>
              <w:t>10,051,300</w:t>
            </w:r>
          </w:p>
        </w:tc>
        <w:tc>
          <w:tcPr>
            <w:tcW w:w="1105" w:type="dxa"/>
            <w:vAlign w:val="top"/>
          </w:tcPr>
          <w:p w14:paraId="54D344D5" w14:textId="06F5E332" w:rsidR="00CD695B" w:rsidRPr="004A254B" w:rsidRDefault="00CD695B" w:rsidP="00CD695B">
            <w:pPr>
              <w:jc w:val="left"/>
              <w:cnfStyle w:val="000000100000" w:firstRow="0" w:lastRow="0" w:firstColumn="0" w:lastColumn="0" w:oddVBand="0" w:evenVBand="0" w:oddHBand="1" w:evenHBand="0" w:firstRowFirstColumn="0" w:firstRowLastColumn="0" w:lastRowFirstColumn="0" w:lastRowLastColumn="0"/>
              <w:rPr>
                <w:rFonts w:cs="Arial"/>
                <w:iCs/>
                <w:sz w:val="18"/>
                <w:szCs w:val="18"/>
              </w:rPr>
            </w:pPr>
            <w:r w:rsidRPr="004A254B">
              <w:rPr>
                <w:rFonts w:cs="Arial"/>
                <w:iCs/>
                <w:sz w:val="18"/>
                <w:szCs w:val="18"/>
              </w:rPr>
              <w:t>10,392,610</w:t>
            </w:r>
          </w:p>
        </w:tc>
        <w:tc>
          <w:tcPr>
            <w:tcW w:w="1105" w:type="dxa"/>
            <w:vAlign w:val="top"/>
          </w:tcPr>
          <w:p w14:paraId="48049222" w14:textId="4F97F408" w:rsidR="00CD695B" w:rsidRPr="004A254B" w:rsidRDefault="00CD695B" w:rsidP="00CD695B">
            <w:pPr>
              <w:jc w:val="center"/>
              <w:cnfStyle w:val="000000100000" w:firstRow="0" w:lastRow="0" w:firstColumn="0" w:lastColumn="0" w:oddVBand="0" w:evenVBand="0" w:oddHBand="1" w:evenHBand="0" w:firstRowFirstColumn="0" w:firstRowLastColumn="0" w:lastRowFirstColumn="0" w:lastRowLastColumn="0"/>
              <w:rPr>
                <w:rFonts w:cs="Arial"/>
                <w:iCs/>
                <w:sz w:val="18"/>
                <w:szCs w:val="18"/>
              </w:rPr>
            </w:pPr>
            <w:r w:rsidRPr="004A254B">
              <w:rPr>
                <w:rFonts w:cs="Arial"/>
                <w:iCs/>
                <w:sz w:val="18"/>
                <w:szCs w:val="18"/>
              </w:rPr>
              <w:t>10,440,152</w:t>
            </w:r>
          </w:p>
        </w:tc>
        <w:tc>
          <w:tcPr>
            <w:tcW w:w="1105" w:type="dxa"/>
            <w:vAlign w:val="top"/>
          </w:tcPr>
          <w:p w14:paraId="7266EFF9" w14:textId="3EBABE58" w:rsidR="00CD695B" w:rsidRPr="004A254B" w:rsidRDefault="00CD695B" w:rsidP="00CD695B">
            <w:pPr>
              <w:jc w:val="center"/>
              <w:cnfStyle w:val="000000100000" w:firstRow="0" w:lastRow="0" w:firstColumn="0" w:lastColumn="0" w:oddVBand="0" w:evenVBand="0" w:oddHBand="1" w:evenHBand="0" w:firstRowFirstColumn="0" w:firstRowLastColumn="0" w:lastRowFirstColumn="0" w:lastRowLastColumn="0"/>
              <w:rPr>
                <w:rFonts w:cs="Arial"/>
                <w:iCs/>
                <w:sz w:val="18"/>
                <w:szCs w:val="18"/>
              </w:rPr>
            </w:pPr>
            <w:r w:rsidRPr="004A254B">
              <w:rPr>
                <w:rFonts w:cs="Arial"/>
                <w:iCs/>
                <w:sz w:val="18"/>
                <w:szCs w:val="18"/>
              </w:rPr>
              <w:t>10,813,808</w:t>
            </w:r>
          </w:p>
        </w:tc>
        <w:tc>
          <w:tcPr>
            <w:tcW w:w="1105" w:type="dxa"/>
            <w:vAlign w:val="top"/>
          </w:tcPr>
          <w:p w14:paraId="72112A8D" w14:textId="30527B97" w:rsidR="00CD695B" w:rsidRPr="004A254B" w:rsidRDefault="00CD695B" w:rsidP="00CD695B">
            <w:pPr>
              <w:jc w:val="center"/>
              <w:cnfStyle w:val="000000100000" w:firstRow="0" w:lastRow="0" w:firstColumn="0" w:lastColumn="0" w:oddVBand="0" w:evenVBand="0" w:oddHBand="1" w:evenHBand="0" w:firstRowFirstColumn="0" w:firstRowLastColumn="0" w:lastRowFirstColumn="0" w:lastRowLastColumn="0"/>
              <w:rPr>
                <w:rFonts w:cs="Arial"/>
                <w:iCs/>
                <w:sz w:val="18"/>
                <w:szCs w:val="18"/>
              </w:rPr>
            </w:pPr>
            <w:r w:rsidRPr="004A254B">
              <w:rPr>
                <w:rFonts w:cs="Arial"/>
                <w:iCs/>
                <w:sz w:val="18"/>
                <w:szCs w:val="18"/>
              </w:rPr>
              <w:t>11,075,839</w:t>
            </w:r>
          </w:p>
        </w:tc>
        <w:tc>
          <w:tcPr>
            <w:tcW w:w="1134" w:type="dxa"/>
            <w:vAlign w:val="top"/>
          </w:tcPr>
          <w:p w14:paraId="179A503F" w14:textId="540656DD" w:rsidR="00CD695B" w:rsidRPr="004A254B" w:rsidRDefault="00CD695B" w:rsidP="00CD695B">
            <w:pPr>
              <w:jc w:val="center"/>
              <w:cnfStyle w:val="000000100000" w:firstRow="0" w:lastRow="0" w:firstColumn="0" w:lastColumn="0" w:oddVBand="0" w:evenVBand="0" w:oddHBand="1" w:evenHBand="0" w:firstRowFirstColumn="0" w:firstRowLastColumn="0" w:lastRowFirstColumn="0" w:lastRowLastColumn="0"/>
              <w:rPr>
                <w:rFonts w:cs="Arial"/>
                <w:iCs/>
                <w:sz w:val="18"/>
                <w:szCs w:val="18"/>
              </w:rPr>
            </w:pPr>
            <w:r w:rsidRPr="004A254B">
              <w:rPr>
                <w:rFonts w:cs="Arial"/>
                <w:iCs/>
                <w:sz w:val="18"/>
                <w:szCs w:val="18"/>
              </w:rPr>
              <w:t>11,340,730</w:t>
            </w:r>
          </w:p>
        </w:tc>
      </w:tr>
      <w:tr w:rsidR="00CD695B" w:rsidRPr="00CD695B" w14:paraId="1AAB8AB7" w14:textId="0EC36967" w:rsidTr="004A254B">
        <w:trPr>
          <w:cnfStyle w:val="000000010000" w:firstRow="0" w:lastRow="0" w:firstColumn="0" w:lastColumn="0" w:oddVBand="0" w:evenVBand="0" w:oddHBand="0" w:evenHBand="1"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9117" w:type="dxa"/>
            <w:gridSpan w:val="8"/>
            <w:shd w:val="clear" w:color="auto" w:fill="DFF0D3" w:themeFill="accent2" w:themeFillTint="33"/>
            <w:noWrap/>
          </w:tcPr>
          <w:p w14:paraId="62601251" w14:textId="30282295" w:rsidR="002439D7" w:rsidRPr="00CD695B" w:rsidRDefault="002439D7" w:rsidP="00F024D9">
            <w:pPr>
              <w:jc w:val="both"/>
              <w:rPr>
                <w:rFonts w:cs="Arial"/>
                <w:i/>
                <w:color w:val="auto"/>
                <w:sz w:val="18"/>
                <w:szCs w:val="18"/>
              </w:rPr>
            </w:pPr>
            <w:r w:rsidRPr="00CD695B">
              <w:rPr>
                <w:rFonts w:cs="Arial"/>
                <w:i/>
                <w:color w:val="auto"/>
                <w:sz w:val="18"/>
                <w:szCs w:val="18"/>
              </w:rPr>
              <w:t>* (E): demanda obtenida en el año indicado; **(P): proyección en el horizonte de planeación.</w:t>
            </w:r>
          </w:p>
        </w:tc>
      </w:tr>
      <w:bookmarkEnd w:id="104"/>
    </w:tbl>
    <w:p w14:paraId="0CCE2C26" w14:textId="77777777" w:rsidR="00FC0FCB" w:rsidRPr="00EF3F98" w:rsidRDefault="00FC0FCB" w:rsidP="00CD695B">
      <w:pPr>
        <w:spacing w:after="0"/>
        <w:jc w:val="both"/>
        <w:rPr>
          <w:rFonts w:ascii="Trebuchet MS" w:hAnsi="Trebuchet MS"/>
          <w:szCs w:val="24"/>
          <w:highlight w:val="green"/>
        </w:rPr>
      </w:pPr>
    </w:p>
    <w:p w14:paraId="3C30D3E0" w14:textId="4106390E" w:rsidR="00061605" w:rsidRPr="002946A9" w:rsidRDefault="00FB43D9" w:rsidP="00B41B96">
      <w:pPr>
        <w:spacing w:after="0"/>
        <w:ind w:left="360"/>
        <w:jc w:val="both"/>
        <w:rPr>
          <w:rFonts w:ascii="Trebuchet MS" w:hAnsi="Trebuchet MS"/>
          <w:szCs w:val="24"/>
        </w:rPr>
      </w:pPr>
      <w:r w:rsidRPr="00775FC0">
        <w:rPr>
          <w:rFonts w:ascii="Trebuchet MS" w:hAnsi="Trebuchet MS"/>
          <w:szCs w:val="24"/>
        </w:rPr>
        <w:t xml:space="preserve">Se observa que la demanda de energía obtenida en el sistema eléctrico de EPM en el año </w:t>
      </w:r>
      <w:r w:rsidR="005A5FB2" w:rsidRPr="00775FC0">
        <w:rPr>
          <w:rFonts w:ascii="Trebuchet MS" w:hAnsi="Trebuchet MS"/>
          <w:szCs w:val="24"/>
        </w:rPr>
        <w:t xml:space="preserve">2022 </w:t>
      </w:r>
      <w:r w:rsidRPr="00775FC0">
        <w:rPr>
          <w:rFonts w:ascii="Trebuchet MS" w:hAnsi="Trebuchet MS"/>
          <w:szCs w:val="24"/>
        </w:rPr>
        <w:t xml:space="preserve">fue de  </w:t>
      </w:r>
      <w:r w:rsidR="001F1323" w:rsidRPr="00EF3F98">
        <w:rPr>
          <w:rFonts w:ascii="Trebuchet MS" w:hAnsi="Trebuchet MS"/>
          <w:szCs w:val="24"/>
        </w:rPr>
        <w:t>10,</w:t>
      </w:r>
      <w:r w:rsidR="00E95465" w:rsidRPr="00EF3F98">
        <w:rPr>
          <w:rFonts w:ascii="Trebuchet MS" w:hAnsi="Trebuchet MS"/>
          <w:szCs w:val="24"/>
        </w:rPr>
        <w:t>392,610</w:t>
      </w:r>
      <w:r w:rsidRPr="00775FC0">
        <w:rPr>
          <w:rFonts w:ascii="Trebuchet MS" w:hAnsi="Trebuchet MS"/>
          <w:szCs w:val="24"/>
        </w:rPr>
        <w:t xml:space="preserve">MWh, la cual, en comparación con los </w:t>
      </w:r>
      <w:r w:rsidR="00802B44" w:rsidRPr="00EF3F98">
        <w:rPr>
          <w:rFonts w:ascii="Trebuchet MS" w:hAnsi="Trebuchet MS"/>
          <w:szCs w:val="24"/>
        </w:rPr>
        <w:t>10,</w:t>
      </w:r>
      <w:r w:rsidR="00DE1320" w:rsidRPr="00EF3F98">
        <w:rPr>
          <w:rFonts w:ascii="Trebuchet MS" w:hAnsi="Trebuchet MS"/>
          <w:szCs w:val="24"/>
        </w:rPr>
        <w:t>440,152</w:t>
      </w:r>
      <w:r w:rsidR="002A7302" w:rsidRPr="00EF3F98">
        <w:rPr>
          <w:rFonts w:ascii="Trebuchet MS" w:hAnsi="Trebuchet MS"/>
          <w:szCs w:val="24"/>
        </w:rPr>
        <w:t xml:space="preserve"> </w:t>
      </w:r>
      <w:r w:rsidRPr="00775FC0">
        <w:rPr>
          <w:rFonts w:ascii="Trebuchet MS" w:hAnsi="Trebuchet MS"/>
          <w:szCs w:val="24"/>
        </w:rPr>
        <w:t>MWh</w:t>
      </w:r>
      <w:r w:rsidR="00110D70" w:rsidRPr="00775FC0">
        <w:rPr>
          <w:rFonts w:ascii="Trebuchet MS" w:hAnsi="Trebuchet MS"/>
          <w:szCs w:val="24"/>
        </w:rPr>
        <w:t xml:space="preserve"> proyectados para el </w:t>
      </w:r>
      <w:r w:rsidR="005A5FB2" w:rsidRPr="00775FC0">
        <w:rPr>
          <w:rFonts w:ascii="Trebuchet MS" w:hAnsi="Trebuchet MS"/>
          <w:szCs w:val="24"/>
        </w:rPr>
        <w:t xml:space="preserve">2022 </w:t>
      </w:r>
      <w:r w:rsidR="00110D70" w:rsidRPr="00775FC0">
        <w:rPr>
          <w:rFonts w:ascii="Trebuchet MS" w:hAnsi="Trebuchet MS"/>
          <w:szCs w:val="24"/>
        </w:rPr>
        <w:t>según las proyecciones de consumos de energía que se plantearon durante la elaboración del plan de inversiones</w:t>
      </w:r>
      <w:r w:rsidRPr="00775FC0">
        <w:rPr>
          <w:rFonts w:ascii="Trebuchet MS" w:hAnsi="Trebuchet MS"/>
          <w:szCs w:val="24"/>
        </w:rPr>
        <w:t xml:space="preserve">, se encuentra </w:t>
      </w:r>
      <w:r w:rsidR="00E27D75" w:rsidRPr="00EF3F98">
        <w:rPr>
          <w:rFonts w:ascii="Trebuchet MS" w:hAnsi="Trebuchet MS"/>
          <w:szCs w:val="24"/>
        </w:rPr>
        <w:t>47,542</w:t>
      </w:r>
      <w:r w:rsidRPr="00775FC0">
        <w:rPr>
          <w:rFonts w:ascii="Trebuchet MS" w:hAnsi="Trebuchet MS"/>
          <w:szCs w:val="24"/>
        </w:rPr>
        <w:t xml:space="preserve"> MWh por debajo, es decir, se </w:t>
      </w:r>
      <w:r w:rsidR="00EE57D4">
        <w:rPr>
          <w:rFonts w:ascii="Trebuchet MS" w:hAnsi="Trebuchet MS"/>
          <w:szCs w:val="24"/>
        </w:rPr>
        <w:t>obtuvo</w:t>
      </w:r>
      <w:r w:rsidR="00EE57D4" w:rsidRPr="00775FC0">
        <w:rPr>
          <w:rFonts w:ascii="Trebuchet MS" w:hAnsi="Trebuchet MS"/>
          <w:szCs w:val="24"/>
        </w:rPr>
        <w:t xml:space="preserve"> </w:t>
      </w:r>
      <w:r w:rsidRPr="00775FC0">
        <w:rPr>
          <w:rFonts w:ascii="Trebuchet MS" w:hAnsi="Trebuchet MS"/>
          <w:szCs w:val="24"/>
        </w:rPr>
        <w:t xml:space="preserve">un </w:t>
      </w:r>
      <w:r w:rsidR="00E27D75" w:rsidRPr="00EF3F98">
        <w:rPr>
          <w:rFonts w:ascii="Trebuchet MS" w:hAnsi="Trebuchet MS"/>
          <w:szCs w:val="24"/>
        </w:rPr>
        <w:t>0,45</w:t>
      </w:r>
      <w:r w:rsidRPr="00775FC0">
        <w:rPr>
          <w:rFonts w:ascii="Trebuchet MS" w:hAnsi="Trebuchet MS"/>
          <w:szCs w:val="24"/>
        </w:rPr>
        <w:t xml:space="preserve">% menos de lo esperado. Asimismo, se destaca un incremento respecto al año </w:t>
      </w:r>
      <w:r w:rsidR="00CF31ED" w:rsidRPr="00775FC0">
        <w:rPr>
          <w:rFonts w:ascii="Trebuchet MS" w:hAnsi="Trebuchet MS"/>
          <w:szCs w:val="24"/>
        </w:rPr>
        <w:t>202</w:t>
      </w:r>
      <w:r w:rsidR="00CF31ED" w:rsidRPr="00EF3F98">
        <w:rPr>
          <w:rFonts w:ascii="Trebuchet MS" w:hAnsi="Trebuchet MS"/>
          <w:szCs w:val="24"/>
        </w:rPr>
        <w:t>1</w:t>
      </w:r>
      <w:r w:rsidR="00CF31ED" w:rsidRPr="00775FC0">
        <w:rPr>
          <w:rFonts w:ascii="Trebuchet MS" w:hAnsi="Trebuchet MS"/>
          <w:szCs w:val="24"/>
        </w:rPr>
        <w:t xml:space="preserve"> </w:t>
      </w:r>
      <w:r w:rsidRPr="00775FC0">
        <w:rPr>
          <w:rFonts w:ascii="Trebuchet MS" w:hAnsi="Trebuchet MS"/>
          <w:szCs w:val="24"/>
        </w:rPr>
        <w:t xml:space="preserve">de </w:t>
      </w:r>
      <w:r w:rsidR="00CF31ED" w:rsidRPr="00EF3F98">
        <w:rPr>
          <w:rFonts w:ascii="Trebuchet MS" w:hAnsi="Trebuchet MS"/>
          <w:szCs w:val="24"/>
        </w:rPr>
        <w:t xml:space="preserve">341,310 </w:t>
      </w:r>
      <w:r w:rsidRPr="00775FC0">
        <w:rPr>
          <w:rFonts w:ascii="Trebuchet MS" w:hAnsi="Trebuchet MS"/>
          <w:szCs w:val="24"/>
        </w:rPr>
        <w:t xml:space="preserve">MWh, lo cual equivale a un </w:t>
      </w:r>
      <w:r w:rsidR="00CF31ED" w:rsidRPr="00EF3F98">
        <w:rPr>
          <w:rFonts w:ascii="Trebuchet MS" w:hAnsi="Trebuchet MS"/>
          <w:szCs w:val="24"/>
        </w:rPr>
        <w:t>3,39</w:t>
      </w:r>
      <w:r w:rsidRPr="00775FC0">
        <w:rPr>
          <w:rFonts w:ascii="Trebuchet MS" w:hAnsi="Trebuchet MS"/>
          <w:szCs w:val="24"/>
        </w:rPr>
        <w:t>% de incremento porcentual.</w:t>
      </w:r>
    </w:p>
    <w:p w14:paraId="40D811D4" w14:textId="77777777" w:rsidR="00061605" w:rsidRPr="002946A9" w:rsidRDefault="00061605" w:rsidP="00DF29CB">
      <w:pPr>
        <w:ind w:left="360"/>
        <w:jc w:val="both"/>
        <w:rPr>
          <w:rFonts w:ascii="Trebuchet MS" w:hAnsi="Trebuchet MS"/>
          <w:szCs w:val="24"/>
        </w:rPr>
      </w:pPr>
    </w:p>
    <w:p w14:paraId="680211F3" w14:textId="0BF1491F" w:rsidR="00974DC0" w:rsidRPr="002946A9" w:rsidRDefault="00B01C31" w:rsidP="00DF29CB">
      <w:pPr>
        <w:pStyle w:val="Prrafodelista"/>
        <w:numPr>
          <w:ilvl w:val="2"/>
          <w:numId w:val="2"/>
        </w:numPr>
        <w:jc w:val="both"/>
        <w:outlineLvl w:val="2"/>
        <w:rPr>
          <w:rFonts w:ascii="Trebuchet MS" w:hAnsi="Trebuchet MS"/>
          <w:b/>
          <w:bCs/>
          <w:szCs w:val="24"/>
        </w:rPr>
      </w:pPr>
      <w:bookmarkStart w:id="105" w:name="_Toc131109337"/>
      <w:r w:rsidRPr="002946A9">
        <w:rPr>
          <w:rFonts w:ascii="Trebuchet MS" w:hAnsi="Trebuchet MS"/>
          <w:b/>
          <w:bCs/>
          <w:szCs w:val="24"/>
        </w:rPr>
        <w:t>Demanda de potencia</w:t>
      </w:r>
      <w:bookmarkEnd w:id="105"/>
      <w:r w:rsidR="00974DC0" w:rsidRPr="002946A9">
        <w:rPr>
          <w:rFonts w:ascii="Trebuchet MS" w:hAnsi="Trebuchet MS"/>
          <w:b/>
          <w:bCs/>
          <w:szCs w:val="24"/>
        </w:rPr>
        <w:t xml:space="preserve">  </w:t>
      </w:r>
    </w:p>
    <w:p w14:paraId="7C350DA9" w14:textId="26C7AFB8" w:rsidR="00FF119C" w:rsidRPr="002946A9" w:rsidRDefault="00FF119C" w:rsidP="009B6866">
      <w:pPr>
        <w:spacing w:after="0"/>
        <w:ind w:left="360"/>
        <w:jc w:val="both"/>
        <w:rPr>
          <w:rFonts w:ascii="Trebuchet MS" w:hAnsi="Trebuchet MS"/>
          <w:szCs w:val="24"/>
        </w:rPr>
      </w:pPr>
      <w:r w:rsidRPr="00F702B8">
        <w:rPr>
          <w:rFonts w:ascii="Trebuchet MS" w:hAnsi="Trebuchet MS"/>
          <w:szCs w:val="24"/>
        </w:rPr>
        <w:t xml:space="preserve">La demanda de potencia máxima para el sistema eléctrico de EPM en el </w:t>
      </w:r>
      <w:r w:rsidR="005A5FB2" w:rsidRPr="00F702B8">
        <w:rPr>
          <w:rFonts w:ascii="Trebuchet MS" w:hAnsi="Trebuchet MS"/>
          <w:szCs w:val="24"/>
        </w:rPr>
        <w:t xml:space="preserve">2022 </w:t>
      </w:r>
      <w:r w:rsidRPr="00F702B8">
        <w:rPr>
          <w:rFonts w:ascii="Trebuchet MS" w:hAnsi="Trebuchet MS"/>
          <w:szCs w:val="24"/>
        </w:rPr>
        <w:t xml:space="preserve">fue de </w:t>
      </w:r>
      <w:r w:rsidR="00D351FE">
        <w:rPr>
          <w:rFonts w:ascii="Trebuchet MS" w:hAnsi="Trebuchet MS"/>
          <w:szCs w:val="24"/>
        </w:rPr>
        <w:t xml:space="preserve">1,481 </w:t>
      </w:r>
      <w:r w:rsidRPr="00F702B8">
        <w:rPr>
          <w:rFonts w:ascii="Trebuchet MS" w:hAnsi="Trebuchet MS"/>
          <w:szCs w:val="24"/>
        </w:rPr>
        <w:t xml:space="preserve">MW, lo cual, en comparación con la potencia máxima de </w:t>
      </w:r>
      <w:r w:rsidR="00D351FE">
        <w:rPr>
          <w:rFonts w:ascii="Trebuchet MS" w:hAnsi="Trebuchet MS"/>
          <w:szCs w:val="24"/>
        </w:rPr>
        <w:t>1,441</w:t>
      </w:r>
      <w:r w:rsidRPr="00F702B8">
        <w:rPr>
          <w:rFonts w:ascii="Trebuchet MS" w:hAnsi="Trebuchet MS"/>
          <w:szCs w:val="24"/>
        </w:rPr>
        <w:t xml:space="preserve"> MW obtenida en </w:t>
      </w:r>
      <w:r w:rsidR="005A5FB2" w:rsidRPr="00F702B8">
        <w:rPr>
          <w:rFonts w:ascii="Trebuchet MS" w:hAnsi="Trebuchet MS"/>
          <w:szCs w:val="24"/>
        </w:rPr>
        <w:t>2021</w:t>
      </w:r>
      <w:r w:rsidRPr="00F702B8">
        <w:rPr>
          <w:rFonts w:ascii="Trebuchet MS" w:hAnsi="Trebuchet MS"/>
          <w:szCs w:val="24"/>
        </w:rPr>
        <w:t xml:space="preserve">, se encuentra </w:t>
      </w:r>
      <w:r w:rsidR="00D351FE">
        <w:rPr>
          <w:rFonts w:ascii="Trebuchet MS" w:hAnsi="Trebuchet MS"/>
          <w:szCs w:val="24"/>
        </w:rPr>
        <w:t>2,78</w:t>
      </w:r>
      <w:r w:rsidRPr="00F702B8">
        <w:rPr>
          <w:rFonts w:ascii="Trebuchet MS" w:hAnsi="Trebuchet MS"/>
          <w:szCs w:val="24"/>
        </w:rPr>
        <w:t>% por</w:t>
      </w:r>
      <w:r w:rsidR="00986516">
        <w:rPr>
          <w:rFonts w:ascii="Trebuchet MS" w:hAnsi="Trebuchet MS"/>
          <w:szCs w:val="24"/>
        </w:rPr>
        <w:t xml:space="preserve"> </w:t>
      </w:r>
      <w:r w:rsidR="00ED6CDE">
        <w:rPr>
          <w:rFonts w:ascii="Trebuchet MS" w:hAnsi="Trebuchet MS"/>
          <w:szCs w:val="24"/>
        </w:rPr>
        <w:t xml:space="preserve">encima </w:t>
      </w:r>
      <w:r w:rsidRPr="00F702B8">
        <w:rPr>
          <w:rFonts w:ascii="Trebuchet MS" w:hAnsi="Trebuchet MS"/>
          <w:szCs w:val="24"/>
        </w:rPr>
        <w:t xml:space="preserve">. Sin embargo, se aclara que las cifras obtenidas no son comparables con las proyectadas, dado que el valor proyectado para cada año corresponde a las cifras de demanda máxima coincidente en todas las subestaciones de EPM en el mismo instante. EPM realiza estas proyecciones </w:t>
      </w:r>
      <w:r w:rsidR="00ED6CDE">
        <w:rPr>
          <w:rFonts w:ascii="Trebuchet MS" w:hAnsi="Trebuchet MS"/>
          <w:szCs w:val="24"/>
        </w:rPr>
        <w:t xml:space="preserve">de demanda </w:t>
      </w:r>
      <w:r w:rsidRPr="00F702B8">
        <w:rPr>
          <w:rFonts w:ascii="Trebuchet MS" w:hAnsi="Trebuchet MS"/>
          <w:szCs w:val="24"/>
        </w:rPr>
        <w:t>por cada una de las subestaciones según las metodologías de planeación descritas al interior del plan de inversiones regulatorio. Estas proyecciones se realizan a nivel de demanda máxima por cada subestación, esta metodología empleada no contempla una proyección de demanda anual de potencia máxima para todo el sistema operado.</w:t>
      </w:r>
    </w:p>
    <w:p w14:paraId="6C045994" w14:textId="77777777" w:rsidR="003E4F51" w:rsidRPr="002946A9" w:rsidRDefault="003E4F51" w:rsidP="00DF29CB">
      <w:pPr>
        <w:ind w:left="360"/>
        <w:jc w:val="both"/>
        <w:rPr>
          <w:rFonts w:ascii="Trebuchet MS" w:hAnsi="Trebuchet MS"/>
          <w:szCs w:val="24"/>
        </w:rPr>
      </w:pPr>
    </w:p>
    <w:p w14:paraId="69FB12C2" w14:textId="5651DB9C" w:rsidR="00974DC0" w:rsidRPr="000C54EC" w:rsidRDefault="00B01C31" w:rsidP="00DF29CB">
      <w:pPr>
        <w:pStyle w:val="Prrafodelista"/>
        <w:numPr>
          <w:ilvl w:val="2"/>
          <w:numId w:val="2"/>
        </w:numPr>
        <w:jc w:val="both"/>
        <w:outlineLvl w:val="2"/>
        <w:rPr>
          <w:rFonts w:ascii="Trebuchet MS" w:hAnsi="Trebuchet MS"/>
          <w:b/>
          <w:bCs/>
          <w:szCs w:val="24"/>
        </w:rPr>
      </w:pPr>
      <w:bookmarkStart w:id="106" w:name="_Toc131109338"/>
      <w:bookmarkStart w:id="107" w:name="_Hlk124323037"/>
      <w:r w:rsidRPr="000C54EC">
        <w:rPr>
          <w:rFonts w:ascii="Trebuchet MS" w:hAnsi="Trebuchet MS"/>
          <w:b/>
          <w:bCs/>
          <w:szCs w:val="24"/>
        </w:rPr>
        <w:t>Indicadores de calidad del servicio</w:t>
      </w:r>
      <w:bookmarkEnd w:id="106"/>
      <w:r w:rsidR="00974DC0" w:rsidRPr="000C54EC">
        <w:rPr>
          <w:rFonts w:ascii="Trebuchet MS" w:hAnsi="Trebuchet MS"/>
          <w:b/>
          <w:bCs/>
          <w:szCs w:val="24"/>
        </w:rPr>
        <w:t xml:space="preserve">  </w:t>
      </w:r>
    </w:p>
    <w:p w14:paraId="600B8BF8" w14:textId="44DC59AA" w:rsidR="00974DC0" w:rsidRDefault="00442428" w:rsidP="00DF29CB">
      <w:pPr>
        <w:ind w:left="360"/>
        <w:jc w:val="both"/>
        <w:rPr>
          <w:rFonts w:ascii="Trebuchet MS" w:hAnsi="Trebuchet MS"/>
          <w:szCs w:val="24"/>
        </w:rPr>
      </w:pPr>
      <w:r w:rsidRPr="000C54EC">
        <w:rPr>
          <w:rFonts w:ascii="Trebuchet MS" w:hAnsi="Trebuchet MS"/>
          <w:szCs w:val="24"/>
        </w:rPr>
        <w:t>La</w:t>
      </w:r>
      <w:r w:rsidR="00297436" w:rsidRPr="000C54EC">
        <w:rPr>
          <w:rFonts w:ascii="Trebuchet MS" w:hAnsi="Trebuchet MS"/>
          <w:szCs w:val="24"/>
        </w:rPr>
        <w:t>s</w:t>
      </w:r>
      <w:r w:rsidRPr="000C54EC">
        <w:rPr>
          <w:rFonts w:ascii="Trebuchet MS" w:hAnsi="Trebuchet MS"/>
          <w:szCs w:val="24"/>
        </w:rPr>
        <w:t xml:space="preserve"> metas de </w:t>
      </w:r>
      <w:r w:rsidR="00297436" w:rsidRPr="000C54EC">
        <w:rPr>
          <w:rFonts w:ascii="Trebuchet MS" w:hAnsi="Trebuchet MS"/>
          <w:szCs w:val="24"/>
        </w:rPr>
        <w:t xml:space="preserve">los </w:t>
      </w:r>
      <w:r w:rsidRPr="000C54EC">
        <w:rPr>
          <w:rFonts w:ascii="Trebuchet MS" w:hAnsi="Trebuchet MS"/>
          <w:szCs w:val="24"/>
        </w:rPr>
        <w:t>indicadores de calidad del servicio</w:t>
      </w:r>
      <w:r w:rsidR="00297436" w:rsidRPr="000C54EC">
        <w:rPr>
          <w:rFonts w:ascii="Trebuchet MS" w:hAnsi="Trebuchet MS"/>
          <w:szCs w:val="24"/>
        </w:rPr>
        <w:t xml:space="preserve">, SAIDI y SAIFI, </w:t>
      </w:r>
      <w:r w:rsidRPr="000C54EC">
        <w:rPr>
          <w:rFonts w:ascii="Trebuchet MS" w:hAnsi="Trebuchet MS"/>
          <w:szCs w:val="24"/>
        </w:rPr>
        <w:t xml:space="preserve">en </w:t>
      </w:r>
      <w:r w:rsidR="00C35371" w:rsidRPr="000C54EC">
        <w:rPr>
          <w:rFonts w:ascii="Trebuchet MS" w:hAnsi="Trebuchet MS"/>
          <w:szCs w:val="24"/>
        </w:rPr>
        <w:t xml:space="preserve">el </w:t>
      </w:r>
      <w:r w:rsidRPr="000C54EC">
        <w:rPr>
          <w:rFonts w:ascii="Trebuchet MS" w:hAnsi="Trebuchet MS"/>
          <w:szCs w:val="24"/>
        </w:rPr>
        <w:t>horizonte de</w:t>
      </w:r>
      <w:r w:rsidR="00C35371" w:rsidRPr="000C54EC">
        <w:rPr>
          <w:rFonts w:ascii="Trebuchet MS" w:hAnsi="Trebuchet MS"/>
          <w:szCs w:val="24"/>
        </w:rPr>
        <w:t xml:space="preserve"> planeación de 5 años aprobado actualmente a EPM se </w:t>
      </w:r>
      <w:r w:rsidRPr="000C54EC">
        <w:rPr>
          <w:rFonts w:ascii="Trebuchet MS" w:hAnsi="Trebuchet MS"/>
          <w:szCs w:val="24"/>
        </w:rPr>
        <w:t>presentan en la</w:t>
      </w:r>
      <w:r w:rsidR="00F82A7F" w:rsidRPr="000C54EC">
        <w:rPr>
          <w:rFonts w:ascii="Trebuchet MS" w:hAnsi="Trebuchet MS"/>
          <w:szCs w:val="24"/>
        </w:rPr>
        <w:t xml:space="preserve"> </w:t>
      </w:r>
      <w:r w:rsidR="00F82A7F" w:rsidRPr="000C54EC">
        <w:rPr>
          <w:rFonts w:ascii="Trebuchet MS" w:hAnsi="Trebuchet MS"/>
          <w:szCs w:val="24"/>
        </w:rPr>
        <w:fldChar w:fldCharType="begin"/>
      </w:r>
      <w:r w:rsidR="00F82A7F" w:rsidRPr="000C54EC">
        <w:rPr>
          <w:rFonts w:ascii="Trebuchet MS" w:hAnsi="Trebuchet MS"/>
          <w:szCs w:val="24"/>
        </w:rPr>
        <w:instrText xml:space="preserve"> REF _Ref66435969 \h </w:instrText>
      </w:r>
      <w:r w:rsidR="00DF29CB" w:rsidRPr="000C54EC">
        <w:rPr>
          <w:rFonts w:ascii="Trebuchet MS" w:hAnsi="Trebuchet MS"/>
          <w:szCs w:val="24"/>
        </w:rPr>
        <w:instrText xml:space="preserve"> \* MERGEFORMAT </w:instrText>
      </w:r>
      <w:r w:rsidR="00F82A7F" w:rsidRPr="000C54EC">
        <w:rPr>
          <w:rFonts w:ascii="Trebuchet MS" w:hAnsi="Trebuchet MS"/>
          <w:szCs w:val="24"/>
        </w:rPr>
      </w:r>
      <w:r w:rsidR="00F82A7F" w:rsidRPr="000C54EC">
        <w:rPr>
          <w:rFonts w:ascii="Trebuchet MS" w:hAnsi="Trebuchet MS"/>
          <w:szCs w:val="24"/>
        </w:rPr>
        <w:fldChar w:fldCharType="separate"/>
      </w:r>
      <w:r w:rsidR="00C944CB" w:rsidRPr="00EB33A6">
        <w:rPr>
          <w:rFonts w:ascii="Trebuchet MS" w:hAnsi="Trebuchet MS"/>
        </w:rPr>
        <w:t xml:space="preserve">Tabla </w:t>
      </w:r>
      <w:r w:rsidR="00C944CB">
        <w:rPr>
          <w:rFonts w:ascii="Trebuchet MS" w:hAnsi="Trebuchet MS"/>
          <w:noProof/>
        </w:rPr>
        <w:t>2</w:t>
      </w:r>
      <w:r w:rsidR="00C944CB" w:rsidRPr="00EB33A6">
        <w:rPr>
          <w:rFonts w:ascii="Trebuchet MS" w:hAnsi="Trebuchet MS"/>
          <w:noProof/>
        </w:rPr>
        <w:t>.</w:t>
      </w:r>
      <w:r w:rsidR="00C944CB">
        <w:rPr>
          <w:rFonts w:ascii="Trebuchet MS" w:hAnsi="Trebuchet MS"/>
          <w:noProof/>
        </w:rPr>
        <w:t>3</w:t>
      </w:r>
      <w:r w:rsidR="00F82A7F" w:rsidRPr="000C54EC">
        <w:rPr>
          <w:rFonts w:ascii="Trebuchet MS" w:hAnsi="Trebuchet MS"/>
          <w:szCs w:val="24"/>
        </w:rPr>
        <w:fldChar w:fldCharType="end"/>
      </w:r>
      <w:r w:rsidR="00297436" w:rsidRPr="000C54EC">
        <w:rPr>
          <w:rFonts w:ascii="Trebuchet MS" w:hAnsi="Trebuchet MS"/>
          <w:szCs w:val="24"/>
        </w:rPr>
        <w:t xml:space="preserve">, así como los valores obtenidos en el año </w:t>
      </w:r>
      <w:r w:rsidR="005A5FB2" w:rsidRPr="000C54EC">
        <w:rPr>
          <w:rFonts w:ascii="Trebuchet MS" w:hAnsi="Trebuchet MS"/>
          <w:szCs w:val="24"/>
        </w:rPr>
        <w:t xml:space="preserve">2022 </w:t>
      </w:r>
      <w:r w:rsidR="00D74680" w:rsidRPr="000C54EC">
        <w:rPr>
          <w:rFonts w:ascii="Trebuchet MS" w:hAnsi="Trebuchet MS"/>
          <w:szCs w:val="24"/>
        </w:rPr>
        <w:t>y años anteriores</w:t>
      </w:r>
      <w:r w:rsidR="00297436" w:rsidRPr="000C54EC">
        <w:rPr>
          <w:rFonts w:ascii="Trebuchet MS" w:hAnsi="Trebuchet MS"/>
          <w:szCs w:val="24"/>
        </w:rPr>
        <w:t>.</w:t>
      </w:r>
      <w:r w:rsidR="00C35371" w:rsidRPr="000C54EC">
        <w:rPr>
          <w:rFonts w:ascii="Trebuchet MS" w:hAnsi="Trebuchet MS"/>
          <w:szCs w:val="24"/>
        </w:rPr>
        <w:t xml:space="preserve"> El horizonte de planeación se presenta hasta el 2023 dado que hasta este año se cuenta con metas aprobadas por la CREG</w:t>
      </w:r>
      <w:r w:rsidR="00A94A25" w:rsidRPr="000C54EC">
        <w:rPr>
          <w:rFonts w:ascii="Trebuchet MS" w:hAnsi="Trebuchet MS"/>
          <w:szCs w:val="24"/>
        </w:rPr>
        <w:t xml:space="preserve"> y acorde con el numeral 5.2.3.2.1 de la resolución CREG 015 del 2018, modificado por el artículo 28 de la resolución CREG 036 del 2019, se indica: “</w:t>
      </w:r>
      <w:r w:rsidR="00A94A25" w:rsidRPr="000C54EC">
        <w:rPr>
          <w:rFonts w:ascii="Trebuchet MS" w:hAnsi="Trebuchet MS"/>
          <w:i/>
          <w:iCs/>
          <w:szCs w:val="24"/>
        </w:rPr>
        <w:t xml:space="preserve">Después del año 5 del periodo tarifario, la CREG estimará y publicará, mediante circular, las metas de calidad anual de cada OR hasta que se expida una nueva </w:t>
      </w:r>
      <w:r w:rsidR="00A94A25" w:rsidRPr="00EB33A6">
        <w:rPr>
          <w:rFonts w:ascii="Trebuchet MS" w:hAnsi="Trebuchet MS"/>
          <w:i/>
          <w:iCs/>
          <w:szCs w:val="24"/>
        </w:rPr>
        <w:t>regulación</w:t>
      </w:r>
      <w:r w:rsidR="00A94A25" w:rsidRPr="00EB33A6">
        <w:rPr>
          <w:rFonts w:ascii="Trebuchet MS" w:hAnsi="Trebuchet MS"/>
          <w:szCs w:val="24"/>
        </w:rPr>
        <w:t>”. Esto es, para los años 2024 en adelante.</w:t>
      </w:r>
    </w:p>
    <w:p w14:paraId="68295A9E" w14:textId="77777777" w:rsidR="00FD6DFC" w:rsidRDefault="00FD6DFC" w:rsidP="00DF29CB">
      <w:pPr>
        <w:ind w:left="360"/>
        <w:jc w:val="both"/>
        <w:rPr>
          <w:rFonts w:ascii="Trebuchet MS" w:hAnsi="Trebuchet MS"/>
          <w:szCs w:val="24"/>
        </w:rPr>
      </w:pPr>
    </w:p>
    <w:p w14:paraId="5CB5A3A5" w14:textId="77777777" w:rsidR="00FD6DFC" w:rsidRDefault="00FD6DFC" w:rsidP="00DF29CB">
      <w:pPr>
        <w:ind w:left="360"/>
        <w:jc w:val="both"/>
        <w:rPr>
          <w:rFonts w:ascii="Trebuchet MS" w:hAnsi="Trebuchet MS"/>
          <w:szCs w:val="24"/>
        </w:rPr>
      </w:pPr>
    </w:p>
    <w:p w14:paraId="7226EF20" w14:textId="77777777" w:rsidR="00FD6DFC" w:rsidRDefault="00FD6DFC" w:rsidP="00DF29CB">
      <w:pPr>
        <w:ind w:left="360"/>
        <w:jc w:val="both"/>
        <w:rPr>
          <w:rFonts w:ascii="Trebuchet MS" w:hAnsi="Trebuchet MS"/>
          <w:szCs w:val="24"/>
        </w:rPr>
      </w:pPr>
    </w:p>
    <w:p w14:paraId="4C2A8383" w14:textId="77777777" w:rsidR="00FD6DFC" w:rsidRPr="00EB33A6" w:rsidRDefault="00FD6DFC" w:rsidP="00DF29CB">
      <w:pPr>
        <w:ind w:left="360"/>
        <w:jc w:val="both"/>
        <w:rPr>
          <w:rFonts w:ascii="Trebuchet MS" w:hAnsi="Trebuchet MS"/>
          <w:szCs w:val="24"/>
        </w:rPr>
      </w:pPr>
    </w:p>
    <w:p w14:paraId="050174C4" w14:textId="0157D6D6" w:rsidR="00442428" w:rsidRPr="00EB33A6" w:rsidRDefault="00442428" w:rsidP="00DF29CB">
      <w:pPr>
        <w:ind w:left="360"/>
        <w:jc w:val="both"/>
        <w:rPr>
          <w:rFonts w:ascii="Trebuchet MS" w:hAnsi="Trebuchet MS"/>
        </w:rPr>
      </w:pPr>
      <w:bookmarkStart w:id="108" w:name="_Ref66435316"/>
      <w:bookmarkStart w:id="109" w:name="_Ref66435969"/>
      <w:bookmarkStart w:id="110" w:name="_Toc131032771"/>
      <w:r w:rsidRPr="00EB33A6">
        <w:rPr>
          <w:rFonts w:ascii="Trebuchet MS" w:hAnsi="Trebuchet MS"/>
        </w:rPr>
        <w:t xml:space="preserve">Tabla </w:t>
      </w:r>
      <w:r w:rsidRPr="00EB33A6">
        <w:rPr>
          <w:rFonts w:ascii="Trebuchet MS" w:hAnsi="Trebuchet MS"/>
        </w:rPr>
        <w:fldChar w:fldCharType="begin"/>
      </w:r>
      <w:r w:rsidRPr="00EB33A6">
        <w:rPr>
          <w:rFonts w:ascii="Trebuchet MS" w:hAnsi="Trebuchet MS"/>
        </w:rPr>
        <w:instrText xml:space="preserve"> STYLEREF 1 \s </w:instrText>
      </w:r>
      <w:r w:rsidRPr="00EB33A6">
        <w:rPr>
          <w:rFonts w:ascii="Trebuchet MS" w:hAnsi="Trebuchet MS"/>
        </w:rPr>
        <w:fldChar w:fldCharType="separate"/>
      </w:r>
      <w:r w:rsidR="00C944CB">
        <w:rPr>
          <w:rFonts w:ascii="Trebuchet MS" w:hAnsi="Trebuchet MS"/>
          <w:noProof/>
        </w:rPr>
        <w:t>2</w:t>
      </w:r>
      <w:r w:rsidRPr="00EB33A6">
        <w:rPr>
          <w:rFonts w:ascii="Trebuchet MS" w:hAnsi="Trebuchet MS"/>
        </w:rPr>
        <w:fldChar w:fldCharType="end"/>
      </w:r>
      <w:r w:rsidRPr="00EB33A6">
        <w:rPr>
          <w:rFonts w:ascii="Trebuchet MS" w:hAnsi="Trebuchet MS"/>
        </w:rPr>
        <w:t>.</w:t>
      </w:r>
      <w:r w:rsidRPr="00EB33A6">
        <w:rPr>
          <w:rFonts w:ascii="Trebuchet MS" w:hAnsi="Trebuchet MS"/>
        </w:rPr>
        <w:fldChar w:fldCharType="begin"/>
      </w:r>
      <w:r w:rsidRPr="00EB33A6">
        <w:rPr>
          <w:rFonts w:ascii="Trebuchet MS" w:hAnsi="Trebuchet MS"/>
        </w:rPr>
        <w:instrText xml:space="preserve"> SEQ Tabla \* ARABIC \s 1 </w:instrText>
      </w:r>
      <w:r w:rsidRPr="00EB33A6">
        <w:rPr>
          <w:rFonts w:ascii="Trebuchet MS" w:hAnsi="Trebuchet MS"/>
        </w:rPr>
        <w:fldChar w:fldCharType="separate"/>
      </w:r>
      <w:r w:rsidR="00C944CB">
        <w:rPr>
          <w:rFonts w:ascii="Trebuchet MS" w:hAnsi="Trebuchet MS"/>
          <w:noProof/>
        </w:rPr>
        <w:t>3</w:t>
      </w:r>
      <w:r w:rsidRPr="00EB33A6">
        <w:rPr>
          <w:rFonts w:ascii="Trebuchet MS" w:hAnsi="Trebuchet MS"/>
        </w:rPr>
        <w:fldChar w:fldCharType="end"/>
      </w:r>
      <w:bookmarkEnd w:id="108"/>
      <w:bookmarkEnd w:id="109"/>
      <w:r w:rsidRPr="00EB33A6">
        <w:rPr>
          <w:rFonts w:ascii="Trebuchet MS" w:hAnsi="Trebuchet MS"/>
        </w:rPr>
        <w:t xml:space="preserve"> </w:t>
      </w:r>
      <w:r w:rsidR="003B2D13" w:rsidRPr="00EB33A6">
        <w:rPr>
          <w:rFonts w:ascii="Trebuchet MS" w:hAnsi="Trebuchet MS"/>
        </w:rPr>
        <w:tab/>
      </w:r>
      <w:r w:rsidRPr="00EB33A6">
        <w:rPr>
          <w:rFonts w:ascii="Trebuchet MS" w:hAnsi="Trebuchet MS"/>
        </w:rPr>
        <w:t>Metas de calidad del servicio de EPM en un horizonte de 5 años.</w:t>
      </w:r>
      <w:bookmarkEnd w:id="110"/>
    </w:p>
    <w:tbl>
      <w:tblPr>
        <w:tblStyle w:val="Tablaconcuadrcula5oscura-nfasis1"/>
        <w:tblW w:w="8035" w:type="dxa"/>
        <w:jc w:val="center"/>
        <w:tblLook w:val="04A0" w:firstRow="1" w:lastRow="0" w:firstColumn="1" w:lastColumn="0" w:noHBand="0" w:noVBand="1"/>
      </w:tblPr>
      <w:tblGrid>
        <w:gridCol w:w="1927"/>
        <w:gridCol w:w="1126"/>
        <w:gridCol w:w="1036"/>
        <w:gridCol w:w="992"/>
        <w:gridCol w:w="986"/>
        <w:gridCol w:w="981"/>
        <w:gridCol w:w="987"/>
      </w:tblGrid>
      <w:tr w:rsidR="009D0507" w:rsidRPr="00EB33A6" w14:paraId="2FBD0C23" w14:textId="1366EF64" w:rsidTr="00B310E7">
        <w:trPr>
          <w:cnfStyle w:val="100000000000" w:firstRow="1" w:lastRow="0" w:firstColumn="0" w:lastColumn="0" w:oddVBand="0" w:evenVBand="0" w:oddHBand="0" w:evenHBand="0" w:firstRowFirstColumn="0" w:firstRowLastColumn="0" w:lastRowFirstColumn="0" w:lastRowLastColumn="0"/>
          <w:trHeight w:val="110"/>
          <w:tblHeader/>
          <w:jc w:val="center"/>
        </w:trPr>
        <w:tc>
          <w:tcPr>
            <w:cnfStyle w:val="001000000000" w:firstRow="0" w:lastRow="0" w:firstColumn="1" w:lastColumn="0" w:oddVBand="0" w:evenVBand="0" w:oddHBand="0" w:evenHBand="0" w:firstRowFirstColumn="0" w:firstRowLastColumn="0" w:lastRowFirstColumn="0" w:lastRowLastColumn="0"/>
            <w:tcW w:w="1927" w:type="dxa"/>
            <w:noWrap/>
            <w:hideMark/>
          </w:tcPr>
          <w:p w14:paraId="14E3C590" w14:textId="14DD2B0A" w:rsidR="008C4235" w:rsidRPr="00EB33A6" w:rsidRDefault="008C4235" w:rsidP="00B310E7">
            <w:pPr>
              <w:spacing w:before="60" w:after="60"/>
              <w:rPr>
                <w:rFonts w:cs="Arial"/>
                <w:b w:val="0"/>
                <w:bCs w:val="0"/>
                <w:color w:val="000000"/>
                <w:sz w:val="18"/>
                <w:szCs w:val="18"/>
              </w:rPr>
            </w:pPr>
            <w:r w:rsidRPr="00EB33A6">
              <w:rPr>
                <w:rFonts w:cs="Arial"/>
                <w:color w:val="000000"/>
                <w:sz w:val="18"/>
                <w:szCs w:val="18"/>
              </w:rPr>
              <w:t>Indicador Calidad del Servicio</w:t>
            </w:r>
          </w:p>
        </w:tc>
        <w:tc>
          <w:tcPr>
            <w:tcW w:w="1126" w:type="dxa"/>
          </w:tcPr>
          <w:p w14:paraId="011EE395" w14:textId="4D05AD41" w:rsidR="008C4235" w:rsidRPr="00EB33A6" w:rsidRDefault="008C4235" w:rsidP="00B310E7">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000000"/>
                <w:sz w:val="18"/>
                <w:szCs w:val="18"/>
              </w:rPr>
            </w:pPr>
            <w:r w:rsidRPr="00EB33A6">
              <w:rPr>
                <w:rFonts w:cs="Arial"/>
                <w:color w:val="000000"/>
                <w:sz w:val="18"/>
                <w:szCs w:val="18"/>
              </w:rPr>
              <w:t>2019(E)*</w:t>
            </w:r>
          </w:p>
        </w:tc>
        <w:tc>
          <w:tcPr>
            <w:tcW w:w="1036" w:type="dxa"/>
          </w:tcPr>
          <w:p w14:paraId="190D7C6F" w14:textId="0844E55A" w:rsidR="008C4235" w:rsidRPr="00EB33A6" w:rsidRDefault="008C4235" w:rsidP="00B310E7">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000000"/>
                <w:sz w:val="18"/>
                <w:szCs w:val="18"/>
              </w:rPr>
            </w:pPr>
            <w:r w:rsidRPr="00EB33A6">
              <w:rPr>
                <w:rFonts w:cs="Arial"/>
                <w:color w:val="000000"/>
                <w:sz w:val="18"/>
                <w:szCs w:val="18"/>
              </w:rPr>
              <w:t>2020(</w:t>
            </w:r>
            <w:r w:rsidR="002E6A7B" w:rsidRPr="00EB33A6">
              <w:rPr>
                <w:rFonts w:cs="Arial"/>
                <w:color w:val="000000"/>
                <w:sz w:val="18"/>
                <w:szCs w:val="18"/>
              </w:rPr>
              <w:t>E</w:t>
            </w:r>
            <w:r w:rsidRPr="00EB33A6">
              <w:rPr>
                <w:rFonts w:cs="Arial"/>
                <w:color w:val="000000"/>
                <w:sz w:val="18"/>
                <w:szCs w:val="18"/>
              </w:rPr>
              <w:t>)*</w:t>
            </w:r>
          </w:p>
        </w:tc>
        <w:tc>
          <w:tcPr>
            <w:tcW w:w="992" w:type="dxa"/>
          </w:tcPr>
          <w:p w14:paraId="356B75BC" w14:textId="6F17748E" w:rsidR="008C4235" w:rsidRPr="00EB33A6" w:rsidRDefault="008C4235" w:rsidP="00B310E7">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000000"/>
                <w:sz w:val="18"/>
                <w:szCs w:val="18"/>
              </w:rPr>
            </w:pPr>
            <w:r w:rsidRPr="00EB33A6">
              <w:rPr>
                <w:rFonts w:cs="Arial"/>
                <w:color w:val="000000"/>
                <w:sz w:val="18"/>
                <w:szCs w:val="18"/>
              </w:rPr>
              <w:t>202</w:t>
            </w:r>
            <w:r w:rsidR="002E6A7B" w:rsidRPr="00EB33A6">
              <w:rPr>
                <w:rFonts w:cs="Arial"/>
                <w:color w:val="000000"/>
                <w:sz w:val="18"/>
                <w:szCs w:val="18"/>
              </w:rPr>
              <w:t>1</w:t>
            </w:r>
            <w:r w:rsidRPr="00EB33A6">
              <w:rPr>
                <w:rFonts w:cs="Arial"/>
                <w:color w:val="000000"/>
                <w:sz w:val="18"/>
                <w:szCs w:val="18"/>
              </w:rPr>
              <w:t>(E)*</w:t>
            </w:r>
          </w:p>
        </w:tc>
        <w:tc>
          <w:tcPr>
            <w:tcW w:w="986" w:type="dxa"/>
          </w:tcPr>
          <w:p w14:paraId="7690703E" w14:textId="4DF81F9C" w:rsidR="008C4235" w:rsidRPr="00EB33A6" w:rsidRDefault="008C4235" w:rsidP="00B310E7">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000000"/>
                <w:sz w:val="18"/>
                <w:szCs w:val="18"/>
              </w:rPr>
            </w:pPr>
            <w:r w:rsidRPr="00EB33A6">
              <w:rPr>
                <w:rFonts w:cs="Arial"/>
                <w:color w:val="000000"/>
                <w:sz w:val="18"/>
                <w:szCs w:val="18"/>
              </w:rPr>
              <w:t>202</w:t>
            </w:r>
            <w:r w:rsidR="004A254B">
              <w:rPr>
                <w:rFonts w:cs="Arial"/>
                <w:color w:val="000000"/>
                <w:sz w:val="18"/>
                <w:szCs w:val="18"/>
              </w:rPr>
              <w:t>2</w:t>
            </w:r>
            <w:r w:rsidRPr="00EB33A6">
              <w:rPr>
                <w:rFonts w:cs="Arial"/>
                <w:color w:val="000000"/>
                <w:sz w:val="18"/>
                <w:szCs w:val="18"/>
              </w:rPr>
              <w:t>(</w:t>
            </w:r>
            <w:r w:rsidR="004A254B">
              <w:rPr>
                <w:rFonts w:cs="Arial"/>
                <w:color w:val="000000"/>
                <w:sz w:val="18"/>
                <w:szCs w:val="18"/>
              </w:rPr>
              <w:t>E</w:t>
            </w:r>
            <w:r w:rsidRPr="00EB33A6">
              <w:rPr>
                <w:rFonts w:cs="Arial"/>
                <w:color w:val="000000"/>
                <w:sz w:val="18"/>
                <w:szCs w:val="18"/>
              </w:rPr>
              <w:t>)</w:t>
            </w:r>
            <w:r w:rsidR="002E6A7B" w:rsidRPr="00EB33A6">
              <w:rPr>
                <w:rFonts w:cs="Arial"/>
                <w:color w:val="000000"/>
                <w:sz w:val="18"/>
                <w:szCs w:val="18"/>
              </w:rPr>
              <w:t>*</w:t>
            </w:r>
          </w:p>
        </w:tc>
        <w:tc>
          <w:tcPr>
            <w:tcW w:w="981" w:type="dxa"/>
          </w:tcPr>
          <w:p w14:paraId="1E2EF2DC" w14:textId="165571BA" w:rsidR="008C4235" w:rsidRPr="00EB33A6" w:rsidRDefault="008C4235" w:rsidP="00B310E7">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000000"/>
                <w:sz w:val="18"/>
                <w:szCs w:val="18"/>
              </w:rPr>
            </w:pPr>
            <w:r w:rsidRPr="00EB33A6">
              <w:rPr>
                <w:rFonts w:cs="Arial"/>
                <w:color w:val="000000"/>
                <w:sz w:val="18"/>
                <w:szCs w:val="18"/>
              </w:rPr>
              <w:t>2022(P)</w:t>
            </w:r>
          </w:p>
        </w:tc>
        <w:tc>
          <w:tcPr>
            <w:tcW w:w="987" w:type="dxa"/>
          </w:tcPr>
          <w:p w14:paraId="0A27B0FA" w14:textId="6B03FF52" w:rsidR="008C4235" w:rsidRPr="00EB33A6" w:rsidRDefault="008C4235" w:rsidP="00B310E7">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color w:val="000000"/>
                <w:sz w:val="18"/>
                <w:szCs w:val="18"/>
              </w:rPr>
            </w:pPr>
            <w:r w:rsidRPr="00EB33A6">
              <w:rPr>
                <w:rFonts w:cs="Arial"/>
                <w:color w:val="000000"/>
                <w:sz w:val="18"/>
                <w:szCs w:val="18"/>
              </w:rPr>
              <w:t>2023(P)</w:t>
            </w:r>
          </w:p>
        </w:tc>
      </w:tr>
      <w:tr w:rsidR="004A254B" w:rsidRPr="00EB33A6" w14:paraId="50E10CB6" w14:textId="03DAB129" w:rsidTr="002F1D18">
        <w:trPr>
          <w:cnfStyle w:val="000000100000" w:firstRow="0" w:lastRow="0" w:firstColumn="0" w:lastColumn="0" w:oddVBand="0" w:evenVBand="0" w:oddHBand="1" w:evenHBand="0" w:firstRowFirstColumn="0" w:firstRowLastColumn="0" w:lastRowFirstColumn="0" w:lastRowLastColumn="0"/>
          <w:trHeight w:val="92"/>
          <w:jc w:val="center"/>
        </w:trPr>
        <w:tc>
          <w:tcPr>
            <w:cnfStyle w:val="001000000000" w:firstRow="0" w:lastRow="0" w:firstColumn="1" w:lastColumn="0" w:oddVBand="0" w:evenVBand="0" w:oddHBand="0" w:evenHBand="0" w:firstRowFirstColumn="0" w:firstRowLastColumn="0" w:lastRowFirstColumn="0" w:lastRowLastColumn="0"/>
            <w:tcW w:w="1927" w:type="dxa"/>
            <w:noWrap/>
            <w:hideMark/>
          </w:tcPr>
          <w:p w14:paraId="02875FBA" w14:textId="26E2F7D2" w:rsidR="004A254B" w:rsidRPr="00EB33A6" w:rsidRDefault="004A254B" w:rsidP="004A254B">
            <w:pPr>
              <w:spacing w:before="60" w:after="60"/>
              <w:jc w:val="center"/>
              <w:rPr>
                <w:rFonts w:cs="Arial"/>
                <w:color w:val="000000"/>
                <w:sz w:val="18"/>
                <w:szCs w:val="18"/>
              </w:rPr>
            </w:pPr>
            <w:r w:rsidRPr="00EB33A6">
              <w:rPr>
                <w:rFonts w:cs="Arial"/>
                <w:color w:val="000000"/>
                <w:sz w:val="18"/>
                <w:szCs w:val="18"/>
              </w:rPr>
              <w:t>SAIDI [</w:t>
            </w:r>
            <w:r w:rsidRPr="00EB33A6">
              <w:rPr>
                <w:rFonts w:cs="Arial"/>
                <w:i/>
                <w:color w:val="000000"/>
                <w:sz w:val="18"/>
                <w:szCs w:val="18"/>
              </w:rPr>
              <w:t>horas</w:t>
            </w:r>
            <w:r w:rsidRPr="00EB33A6">
              <w:rPr>
                <w:rFonts w:cs="Arial"/>
                <w:color w:val="000000"/>
                <w:sz w:val="18"/>
                <w:szCs w:val="18"/>
              </w:rPr>
              <w:t>]</w:t>
            </w:r>
          </w:p>
        </w:tc>
        <w:tc>
          <w:tcPr>
            <w:tcW w:w="1126" w:type="dxa"/>
            <w:vAlign w:val="top"/>
          </w:tcPr>
          <w:p w14:paraId="1E702136" w14:textId="1B5F8218" w:rsidR="004A254B" w:rsidRPr="004A254B" w:rsidRDefault="004A254B" w:rsidP="004A254B">
            <w:pPr>
              <w:spacing w:before="60" w:after="60"/>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A254B">
              <w:rPr>
                <w:rFonts w:cs="Arial"/>
                <w:color w:val="000000"/>
                <w:sz w:val="18"/>
                <w:szCs w:val="18"/>
              </w:rPr>
              <w:t>14,23</w:t>
            </w:r>
          </w:p>
        </w:tc>
        <w:tc>
          <w:tcPr>
            <w:tcW w:w="1036" w:type="dxa"/>
            <w:vAlign w:val="top"/>
          </w:tcPr>
          <w:p w14:paraId="4EB6E8C3" w14:textId="5B27D35C" w:rsidR="004A254B" w:rsidRPr="004A254B" w:rsidRDefault="004A254B" w:rsidP="004A254B">
            <w:pPr>
              <w:spacing w:before="60" w:after="60"/>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A254B">
              <w:rPr>
                <w:rFonts w:cs="Arial"/>
                <w:color w:val="000000"/>
                <w:sz w:val="18"/>
                <w:szCs w:val="18"/>
              </w:rPr>
              <w:t>11.46</w:t>
            </w:r>
          </w:p>
        </w:tc>
        <w:tc>
          <w:tcPr>
            <w:tcW w:w="992" w:type="dxa"/>
            <w:vAlign w:val="top"/>
          </w:tcPr>
          <w:p w14:paraId="5A0C7102" w14:textId="4FA84B00" w:rsidR="004A254B" w:rsidRPr="004A254B" w:rsidRDefault="004A254B" w:rsidP="004A254B">
            <w:pPr>
              <w:spacing w:before="60" w:after="60"/>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A254B">
              <w:rPr>
                <w:rFonts w:cs="Arial"/>
                <w:color w:val="000000"/>
                <w:sz w:val="18"/>
                <w:szCs w:val="18"/>
              </w:rPr>
              <w:t>13.39</w:t>
            </w:r>
          </w:p>
        </w:tc>
        <w:tc>
          <w:tcPr>
            <w:tcW w:w="986" w:type="dxa"/>
            <w:vAlign w:val="top"/>
          </w:tcPr>
          <w:p w14:paraId="2A583058" w14:textId="17B214B8" w:rsidR="004A254B" w:rsidRPr="004A254B" w:rsidRDefault="004A254B" w:rsidP="004A254B">
            <w:pPr>
              <w:spacing w:before="60" w:after="60"/>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A254B">
              <w:rPr>
                <w:rFonts w:cs="Arial"/>
                <w:color w:val="000000"/>
                <w:sz w:val="18"/>
                <w:szCs w:val="18"/>
              </w:rPr>
              <w:t>13.137</w:t>
            </w:r>
          </w:p>
        </w:tc>
        <w:tc>
          <w:tcPr>
            <w:tcW w:w="981" w:type="dxa"/>
            <w:vAlign w:val="top"/>
          </w:tcPr>
          <w:p w14:paraId="144378E9" w14:textId="73805447" w:rsidR="004A254B" w:rsidRPr="004A254B" w:rsidRDefault="004A254B" w:rsidP="004A254B">
            <w:pPr>
              <w:spacing w:before="60" w:after="60"/>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A254B">
              <w:rPr>
                <w:rFonts w:cs="Arial"/>
                <w:color w:val="000000"/>
                <w:sz w:val="18"/>
                <w:szCs w:val="18"/>
              </w:rPr>
              <w:t>10.00</w:t>
            </w:r>
          </w:p>
        </w:tc>
        <w:tc>
          <w:tcPr>
            <w:tcW w:w="987" w:type="dxa"/>
            <w:vAlign w:val="top"/>
          </w:tcPr>
          <w:p w14:paraId="7B824D6B" w14:textId="0B153D9A" w:rsidR="004A254B" w:rsidRPr="004A254B" w:rsidRDefault="004A254B" w:rsidP="004A254B">
            <w:pPr>
              <w:spacing w:before="60" w:after="60"/>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4A254B">
              <w:rPr>
                <w:rFonts w:cs="Arial"/>
                <w:color w:val="000000"/>
                <w:sz w:val="18"/>
                <w:szCs w:val="18"/>
              </w:rPr>
              <w:t>9.20</w:t>
            </w:r>
          </w:p>
        </w:tc>
      </w:tr>
      <w:tr w:rsidR="004A254B" w:rsidRPr="00EB33A6" w14:paraId="67C5A87A" w14:textId="26B70253" w:rsidTr="002F1D18">
        <w:trPr>
          <w:cnfStyle w:val="000000010000" w:firstRow="0" w:lastRow="0" w:firstColumn="0" w:lastColumn="0" w:oddVBand="0" w:evenVBand="0" w:oddHBand="0" w:evenHBand="1"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1927" w:type="dxa"/>
            <w:noWrap/>
            <w:hideMark/>
          </w:tcPr>
          <w:p w14:paraId="64B19248" w14:textId="570348F6" w:rsidR="004A254B" w:rsidRPr="00EB33A6" w:rsidRDefault="004A254B" w:rsidP="004A254B">
            <w:pPr>
              <w:spacing w:before="60" w:after="60"/>
              <w:jc w:val="center"/>
              <w:rPr>
                <w:rFonts w:cs="Arial"/>
                <w:color w:val="000000"/>
                <w:sz w:val="18"/>
                <w:szCs w:val="18"/>
              </w:rPr>
            </w:pPr>
            <w:r w:rsidRPr="00EB33A6">
              <w:rPr>
                <w:rFonts w:cs="Arial"/>
                <w:color w:val="000000"/>
                <w:sz w:val="18"/>
                <w:szCs w:val="18"/>
              </w:rPr>
              <w:t>SAIFI [</w:t>
            </w:r>
            <w:r w:rsidRPr="00EB33A6">
              <w:rPr>
                <w:rFonts w:cs="Arial"/>
                <w:i/>
                <w:color w:val="000000"/>
                <w:sz w:val="18"/>
                <w:szCs w:val="18"/>
              </w:rPr>
              <w:t>veces</w:t>
            </w:r>
            <w:r w:rsidRPr="00EB33A6">
              <w:rPr>
                <w:rFonts w:cs="Arial"/>
                <w:color w:val="000000"/>
                <w:sz w:val="18"/>
                <w:szCs w:val="18"/>
              </w:rPr>
              <w:t>]</w:t>
            </w:r>
          </w:p>
        </w:tc>
        <w:tc>
          <w:tcPr>
            <w:tcW w:w="1126" w:type="dxa"/>
            <w:vAlign w:val="top"/>
          </w:tcPr>
          <w:p w14:paraId="0B45D124" w14:textId="2C05C947" w:rsidR="004A254B" w:rsidRPr="004A254B" w:rsidRDefault="004A254B" w:rsidP="004A254B">
            <w:pPr>
              <w:spacing w:before="60" w:after="60"/>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4A254B">
              <w:rPr>
                <w:rFonts w:cs="Arial"/>
                <w:color w:val="000000"/>
                <w:sz w:val="18"/>
                <w:szCs w:val="18"/>
              </w:rPr>
              <w:t>7,29</w:t>
            </w:r>
          </w:p>
        </w:tc>
        <w:tc>
          <w:tcPr>
            <w:tcW w:w="1036" w:type="dxa"/>
            <w:vAlign w:val="top"/>
          </w:tcPr>
          <w:p w14:paraId="107504A8" w14:textId="3A28C9AC" w:rsidR="004A254B" w:rsidRPr="004A254B" w:rsidRDefault="004A254B" w:rsidP="004A254B">
            <w:pPr>
              <w:spacing w:before="60" w:after="60"/>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4A254B">
              <w:rPr>
                <w:rFonts w:cs="Arial"/>
                <w:color w:val="000000"/>
                <w:sz w:val="18"/>
                <w:szCs w:val="18"/>
              </w:rPr>
              <w:t>6.67</w:t>
            </w:r>
          </w:p>
        </w:tc>
        <w:tc>
          <w:tcPr>
            <w:tcW w:w="992" w:type="dxa"/>
            <w:vAlign w:val="top"/>
          </w:tcPr>
          <w:p w14:paraId="74406BCF" w14:textId="728E2456" w:rsidR="004A254B" w:rsidRPr="004A254B" w:rsidRDefault="004A254B" w:rsidP="004A254B">
            <w:pPr>
              <w:spacing w:before="60" w:after="60"/>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4A254B">
              <w:rPr>
                <w:rFonts w:cs="Arial"/>
                <w:color w:val="000000"/>
                <w:sz w:val="18"/>
                <w:szCs w:val="18"/>
              </w:rPr>
              <w:t>8.18</w:t>
            </w:r>
          </w:p>
        </w:tc>
        <w:tc>
          <w:tcPr>
            <w:tcW w:w="986" w:type="dxa"/>
            <w:vAlign w:val="top"/>
          </w:tcPr>
          <w:p w14:paraId="6674C8AD" w14:textId="09266502" w:rsidR="004A254B" w:rsidRPr="004A254B" w:rsidRDefault="004A254B" w:rsidP="004A254B">
            <w:pPr>
              <w:spacing w:before="60" w:after="60"/>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4A254B">
              <w:rPr>
                <w:rFonts w:cs="Arial"/>
                <w:color w:val="000000"/>
                <w:sz w:val="18"/>
                <w:szCs w:val="18"/>
              </w:rPr>
              <w:t>7.87</w:t>
            </w:r>
          </w:p>
        </w:tc>
        <w:tc>
          <w:tcPr>
            <w:tcW w:w="981" w:type="dxa"/>
            <w:vAlign w:val="top"/>
          </w:tcPr>
          <w:p w14:paraId="29438504" w14:textId="4294A642" w:rsidR="004A254B" w:rsidRPr="004A254B" w:rsidRDefault="004A254B" w:rsidP="004A254B">
            <w:pPr>
              <w:spacing w:before="60" w:after="60"/>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4A254B">
              <w:rPr>
                <w:rFonts w:cs="Arial"/>
                <w:color w:val="000000"/>
                <w:sz w:val="18"/>
                <w:szCs w:val="18"/>
              </w:rPr>
              <w:t>9.0</w:t>
            </w:r>
          </w:p>
        </w:tc>
        <w:tc>
          <w:tcPr>
            <w:tcW w:w="987" w:type="dxa"/>
            <w:vAlign w:val="top"/>
          </w:tcPr>
          <w:p w14:paraId="1E52C113" w14:textId="2FCFD8F9" w:rsidR="004A254B" w:rsidRPr="004A254B" w:rsidRDefault="004A254B" w:rsidP="004A254B">
            <w:pPr>
              <w:spacing w:before="60" w:after="60"/>
              <w:jc w:val="center"/>
              <w:cnfStyle w:val="000000010000" w:firstRow="0" w:lastRow="0" w:firstColumn="0" w:lastColumn="0" w:oddVBand="0" w:evenVBand="0" w:oddHBand="0" w:evenHBand="1" w:firstRowFirstColumn="0" w:firstRowLastColumn="0" w:lastRowFirstColumn="0" w:lastRowLastColumn="0"/>
              <w:rPr>
                <w:rFonts w:cs="Arial"/>
                <w:color w:val="000000"/>
                <w:sz w:val="18"/>
                <w:szCs w:val="18"/>
              </w:rPr>
            </w:pPr>
            <w:r w:rsidRPr="004A254B">
              <w:rPr>
                <w:rFonts w:cs="Arial"/>
                <w:color w:val="000000"/>
                <w:sz w:val="18"/>
                <w:szCs w:val="18"/>
              </w:rPr>
              <w:t>9.0</w:t>
            </w:r>
          </w:p>
        </w:tc>
      </w:tr>
      <w:tr w:rsidR="00442428" w:rsidRPr="00EB33A6" w14:paraId="57253058" w14:textId="21C8A8A1" w:rsidTr="00CD4CE6">
        <w:trPr>
          <w:cnfStyle w:val="000000100000" w:firstRow="0" w:lastRow="0" w:firstColumn="0" w:lastColumn="0" w:oddVBand="0" w:evenVBand="0" w:oddHBand="1" w:evenHBand="0" w:firstRowFirstColumn="0" w:firstRowLastColumn="0" w:lastRowFirstColumn="0" w:lastRowLastColumn="0"/>
          <w:trHeight w:val="8"/>
          <w:jc w:val="center"/>
        </w:trPr>
        <w:tc>
          <w:tcPr>
            <w:cnfStyle w:val="001000000000" w:firstRow="0" w:lastRow="0" w:firstColumn="1" w:lastColumn="0" w:oddVBand="0" w:evenVBand="0" w:oddHBand="0" w:evenHBand="0" w:firstRowFirstColumn="0" w:firstRowLastColumn="0" w:lastRowFirstColumn="0" w:lastRowLastColumn="0"/>
            <w:tcW w:w="8035" w:type="dxa"/>
            <w:gridSpan w:val="7"/>
            <w:noWrap/>
          </w:tcPr>
          <w:p w14:paraId="24DD4177" w14:textId="5EE567B6" w:rsidR="00442428" w:rsidRPr="00EB33A6" w:rsidRDefault="00442428" w:rsidP="00DF29CB">
            <w:pPr>
              <w:spacing w:before="60" w:after="60"/>
              <w:jc w:val="both"/>
              <w:rPr>
                <w:rFonts w:cs="Arial"/>
                <w:sz w:val="18"/>
                <w:szCs w:val="18"/>
              </w:rPr>
            </w:pPr>
            <w:r w:rsidRPr="00EB33A6">
              <w:rPr>
                <w:rFonts w:cs="Arial"/>
                <w:i/>
                <w:sz w:val="18"/>
                <w:szCs w:val="18"/>
              </w:rPr>
              <w:t xml:space="preserve">* (E): </w:t>
            </w:r>
            <w:r w:rsidR="00AE019E" w:rsidRPr="00EB33A6">
              <w:rPr>
                <w:rFonts w:cs="Arial"/>
                <w:i/>
                <w:sz w:val="18"/>
                <w:szCs w:val="18"/>
              </w:rPr>
              <w:t xml:space="preserve">valor </w:t>
            </w:r>
            <w:r w:rsidRPr="00EB33A6">
              <w:rPr>
                <w:rFonts w:cs="Arial"/>
                <w:i/>
                <w:sz w:val="18"/>
                <w:szCs w:val="18"/>
              </w:rPr>
              <w:t>obtenido en el</w:t>
            </w:r>
            <w:r w:rsidR="008C29E6" w:rsidRPr="00EB33A6">
              <w:rPr>
                <w:rFonts w:cs="Arial"/>
                <w:i/>
                <w:sz w:val="18"/>
                <w:szCs w:val="18"/>
              </w:rPr>
              <w:t xml:space="preserve"> </w:t>
            </w:r>
            <w:r w:rsidR="00CD4CE6" w:rsidRPr="00EB33A6">
              <w:rPr>
                <w:rFonts w:cs="Arial"/>
                <w:i/>
                <w:sz w:val="18"/>
                <w:szCs w:val="18"/>
              </w:rPr>
              <w:t xml:space="preserve">año </w:t>
            </w:r>
            <w:r w:rsidR="00833F56" w:rsidRPr="00EB33A6">
              <w:rPr>
                <w:rFonts w:cs="Arial"/>
                <w:i/>
                <w:sz w:val="18"/>
                <w:szCs w:val="18"/>
              </w:rPr>
              <w:t>indicado</w:t>
            </w:r>
            <w:r w:rsidRPr="00EB33A6">
              <w:rPr>
                <w:rFonts w:cs="Arial"/>
                <w:i/>
                <w:sz w:val="18"/>
                <w:szCs w:val="18"/>
              </w:rPr>
              <w:t xml:space="preserve">; </w:t>
            </w:r>
            <w:r w:rsidR="00D666D8" w:rsidRPr="00EB33A6">
              <w:rPr>
                <w:rFonts w:cs="Arial"/>
                <w:i/>
                <w:sz w:val="18"/>
                <w:szCs w:val="18"/>
              </w:rPr>
              <w:t>**</w:t>
            </w:r>
            <w:r w:rsidRPr="00EB33A6">
              <w:rPr>
                <w:rFonts w:cs="Arial"/>
                <w:i/>
                <w:sz w:val="18"/>
                <w:szCs w:val="18"/>
              </w:rPr>
              <w:t xml:space="preserve">(P): </w:t>
            </w:r>
            <w:r w:rsidR="00AE019E" w:rsidRPr="00EB33A6">
              <w:rPr>
                <w:rFonts w:cs="Arial"/>
                <w:i/>
                <w:sz w:val="18"/>
                <w:szCs w:val="18"/>
              </w:rPr>
              <w:t>metas proyectadas en el horizonte</w:t>
            </w:r>
            <w:r w:rsidR="00D11046" w:rsidRPr="00EB33A6">
              <w:rPr>
                <w:rFonts w:cs="Arial"/>
                <w:i/>
                <w:sz w:val="18"/>
                <w:szCs w:val="18"/>
              </w:rPr>
              <w:t xml:space="preserve"> de planeación</w:t>
            </w:r>
            <w:r w:rsidR="00783ABA" w:rsidRPr="00EB33A6">
              <w:rPr>
                <w:rFonts w:cs="Arial"/>
                <w:i/>
                <w:sz w:val="18"/>
                <w:szCs w:val="18"/>
              </w:rPr>
              <w:t>.</w:t>
            </w:r>
          </w:p>
        </w:tc>
      </w:tr>
    </w:tbl>
    <w:p w14:paraId="18FA440D" w14:textId="77777777" w:rsidR="00EB33A6" w:rsidRPr="00EB33A6" w:rsidRDefault="00EB33A6" w:rsidP="00A90604">
      <w:pPr>
        <w:spacing w:after="0"/>
        <w:jc w:val="both"/>
        <w:rPr>
          <w:rFonts w:ascii="Trebuchet MS" w:hAnsi="Trebuchet MS"/>
          <w:szCs w:val="24"/>
        </w:rPr>
      </w:pPr>
    </w:p>
    <w:p w14:paraId="2DB7895F" w14:textId="4DB4E150" w:rsidR="007E6EE5" w:rsidRPr="002946A9" w:rsidRDefault="007E6EE5" w:rsidP="00833F56">
      <w:pPr>
        <w:spacing w:after="0"/>
        <w:ind w:left="360"/>
        <w:jc w:val="both"/>
        <w:rPr>
          <w:rFonts w:ascii="Trebuchet MS" w:hAnsi="Trebuchet MS"/>
          <w:szCs w:val="24"/>
        </w:rPr>
      </w:pPr>
      <w:r w:rsidRPr="00EB33A6">
        <w:rPr>
          <w:rFonts w:ascii="Trebuchet MS" w:hAnsi="Trebuchet MS"/>
          <w:szCs w:val="24"/>
        </w:rPr>
        <w:t xml:space="preserve">El cumplimiento de estos indicadores se da si el valor obtenido es igual o menor al valor de la meta, por consiguiente, de la </w:t>
      </w:r>
      <w:r w:rsidRPr="00EB33A6">
        <w:rPr>
          <w:rFonts w:ascii="Trebuchet MS" w:hAnsi="Trebuchet MS"/>
          <w:szCs w:val="24"/>
        </w:rPr>
        <w:fldChar w:fldCharType="begin"/>
      </w:r>
      <w:r w:rsidRPr="00EB33A6">
        <w:rPr>
          <w:rFonts w:ascii="Trebuchet MS" w:hAnsi="Trebuchet MS"/>
          <w:szCs w:val="24"/>
        </w:rPr>
        <w:instrText xml:space="preserve"> REF _Ref66435969 \h </w:instrText>
      </w:r>
      <w:r w:rsidR="00DF29CB" w:rsidRPr="00EB33A6">
        <w:rPr>
          <w:rFonts w:ascii="Trebuchet MS" w:hAnsi="Trebuchet MS"/>
          <w:szCs w:val="24"/>
        </w:rPr>
        <w:instrText xml:space="preserve"> \* MERGEFORMAT </w:instrText>
      </w:r>
      <w:r w:rsidRPr="00EB33A6">
        <w:rPr>
          <w:rFonts w:ascii="Trebuchet MS" w:hAnsi="Trebuchet MS"/>
          <w:szCs w:val="24"/>
        </w:rPr>
      </w:r>
      <w:r w:rsidRPr="00EB33A6">
        <w:rPr>
          <w:rFonts w:ascii="Trebuchet MS" w:hAnsi="Trebuchet MS"/>
          <w:szCs w:val="24"/>
        </w:rPr>
        <w:fldChar w:fldCharType="separate"/>
      </w:r>
      <w:r w:rsidR="00C944CB" w:rsidRPr="00EB33A6">
        <w:rPr>
          <w:rFonts w:ascii="Trebuchet MS" w:hAnsi="Trebuchet MS"/>
        </w:rPr>
        <w:t xml:space="preserve">Tabla </w:t>
      </w:r>
      <w:r w:rsidR="00C944CB">
        <w:rPr>
          <w:rFonts w:ascii="Trebuchet MS" w:hAnsi="Trebuchet MS"/>
          <w:noProof/>
        </w:rPr>
        <w:t>2</w:t>
      </w:r>
      <w:r w:rsidR="00C944CB" w:rsidRPr="00EB33A6">
        <w:rPr>
          <w:rFonts w:ascii="Trebuchet MS" w:hAnsi="Trebuchet MS"/>
          <w:noProof/>
        </w:rPr>
        <w:t>.</w:t>
      </w:r>
      <w:r w:rsidR="00C944CB">
        <w:rPr>
          <w:rFonts w:ascii="Trebuchet MS" w:hAnsi="Trebuchet MS"/>
          <w:noProof/>
        </w:rPr>
        <w:t>3</w:t>
      </w:r>
      <w:r w:rsidRPr="00EB33A6">
        <w:rPr>
          <w:rFonts w:ascii="Trebuchet MS" w:hAnsi="Trebuchet MS"/>
          <w:szCs w:val="24"/>
        </w:rPr>
        <w:fldChar w:fldCharType="end"/>
      </w:r>
      <w:r w:rsidRPr="00EB33A6">
        <w:rPr>
          <w:rFonts w:ascii="Trebuchet MS" w:hAnsi="Trebuchet MS"/>
          <w:szCs w:val="24"/>
        </w:rPr>
        <w:t xml:space="preserve"> se observa que, </w:t>
      </w:r>
      <w:r w:rsidR="00DB018F" w:rsidRPr="00EB33A6">
        <w:rPr>
          <w:rFonts w:ascii="Trebuchet MS" w:hAnsi="Trebuchet MS"/>
          <w:szCs w:val="24"/>
        </w:rPr>
        <w:t xml:space="preserve">en el año </w:t>
      </w:r>
      <w:r w:rsidR="000B0F60" w:rsidRPr="00EB33A6">
        <w:rPr>
          <w:rFonts w:ascii="Trebuchet MS" w:hAnsi="Trebuchet MS"/>
          <w:szCs w:val="24"/>
        </w:rPr>
        <w:t>202</w:t>
      </w:r>
      <w:r w:rsidR="000B0F60">
        <w:rPr>
          <w:rFonts w:ascii="Trebuchet MS" w:hAnsi="Trebuchet MS"/>
          <w:szCs w:val="24"/>
        </w:rPr>
        <w:t>2</w:t>
      </w:r>
      <w:r w:rsidR="000B0F60" w:rsidRPr="00EB33A6">
        <w:rPr>
          <w:rFonts w:ascii="Trebuchet MS" w:hAnsi="Trebuchet MS"/>
          <w:szCs w:val="24"/>
        </w:rPr>
        <w:t xml:space="preserve"> </w:t>
      </w:r>
      <w:r w:rsidR="00DB018F" w:rsidRPr="00EB33A6">
        <w:rPr>
          <w:rFonts w:ascii="Trebuchet MS" w:hAnsi="Trebuchet MS"/>
          <w:szCs w:val="24"/>
        </w:rPr>
        <w:t xml:space="preserve">se cumplió la meta solo para </w:t>
      </w:r>
      <w:r w:rsidRPr="00EB33A6">
        <w:rPr>
          <w:rFonts w:ascii="Trebuchet MS" w:hAnsi="Trebuchet MS"/>
          <w:szCs w:val="24"/>
        </w:rPr>
        <w:t>el indicador SAIFI.</w:t>
      </w:r>
    </w:p>
    <w:bookmarkEnd w:id="107"/>
    <w:p w14:paraId="71947B5D" w14:textId="77777777" w:rsidR="00B01C31" w:rsidRPr="002946A9" w:rsidRDefault="00B01C31" w:rsidP="00DF29CB">
      <w:pPr>
        <w:ind w:left="360"/>
        <w:jc w:val="both"/>
        <w:rPr>
          <w:rFonts w:ascii="Trebuchet MS" w:hAnsi="Trebuchet MS"/>
          <w:szCs w:val="24"/>
        </w:rPr>
      </w:pPr>
    </w:p>
    <w:p w14:paraId="5BAC0FF3" w14:textId="39B8FB38" w:rsidR="00974DC0" w:rsidRPr="00374603" w:rsidRDefault="00B01C31" w:rsidP="00DF29CB">
      <w:pPr>
        <w:pStyle w:val="Prrafodelista"/>
        <w:numPr>
          <w:ilvl w:val="2"/>
          <w:numId w:val="2"/>
        </w:numPr>
        <w:jc w:val="both"/>
        <w:outlineLvl w:val="2"/>
        <w:rPr>
          <w:rFonts w:ascii="Trebuchet MS" w:hAnsi="Trebuchet MS"/>
          <w:b/>
          <w:bCs/>
          <w:szCs w:val="24"/>
        </w:rPr>
      </w:pPr>
      <w:bookmarkStart w:id="111" w:name="_Toc131109339"/>
      <w:r w:rsidRPr="00374603">
        <w:rPr>
          <w:rFonts w:ascii="Trebuchet MS" w:hAnsi="Trebuchet MS"/>
          <w:b/>
          <w:bCs/>
          <w:szCs w:val="24"/>
        </w:rPr>
        <w:t>Solicitudes de Conexión</w:t>
      </w:r>
      <w:bookmarkEnd w:id="111"/>
      <w:r w:rsidR="00974DC0" w:rsidRPr="00374603">
        <w:rPr>
          <w:rFonts w:ascii="Trebuchet MS" w:hAnsi="Trebuchet MS"/>
          <w:b/>
          <w:bCs/>
          <w:szCs w:val="24"/>
        </w:rPr>
        <w:t xml:space="preserve">  </w:t>
      </w:r>
    </w:p>
    <w:p w14:paraId="0E469CB2" w14:textId="1BCBCE2F" w:rsidR="00D11046" w:rsidRPr="002946A9" w:rsidRDefault="00FB3EED" w:rsidP="004D20DD">
      <w:pPr>
        <w:spacing w:after="0"/>
        <w:ind w:left="360"/>
        <w:jc w:val="both"/>
        <w:rPr>
          <w:rFonts w:ascii="Trebuchet MS" w:hAnsi="Trebuchet MS"/>
          <w:szCs w:val="24"/>
        </w:rPr>
      </w:pPr>
      <w:r w:rsidRPr="00374603">
        <w:rPr>
          <w:rFonts w:ascii="Trebuchet MS" w:hAnsi="Trebuchet MS"/>
          <w:szCs w:val="24"/>
        </w:rPr>
        <w:t xml:space="preserve">Anualmente </w:t>
      </w:r>
      <w:r w:rsidR="00D11046" w:rsidRPr="00374603">
        <w:rPr>
          <w:rFonts w:ascii="Trebuchet MS" w:hAnsi="Trebuchet MS"/>
          <w:szCs w:val="24"/>
        </w:rPr>
        <w:t xml:space="preserve">EPM recibe solicitudes para la conexión de nuevos clientes </w:t>
      </w:r>
      <w:r w:rsidR="007534B4" w:rsidRPr="00374603">
        <w:rPr>
          <w:rFonts w:ascii="Trebuchet MS" w:hAnsi="Trebuchet MS"/>
          <w:szCs w:val="24"/>
        </w:rPr>
        <w:t>residenciales, comerciales e industriales</w:t>
      </w:r>
      <w:r w:rsidR="00D11046" w:rsidRPr="00374603">
        <w:rPr>
          <w:rFonts w:ascii="Trebuchet MS" w:hAnsi="Trebuchet MS"/>
          <w:szCs w:val="24"/>
        </w:rPr>
        <w:t xml:space="preserve">; </w:t>
      </w:r>
      <w:r w:rsidR="004D20DD" w:rsidRPr="00374603">
        <w:rPr>
          <w:rFonts w:ascii="Trebuchet MS" w:hAnsi="Trebuchet MS"/>
          <w:szCs w:val="24"/>
        </w:rPr>
        <w:t xml:space="preserve">durante el año </w:t>
      </w:r>
      <w:r w:rsidR="005A5FB2" w:rsidRPr="00374603">
        <w:rPr>
          <w:rFonts w:ascii="Trebuchet MS" w:hAnsi="Trebuchet MS"/>
          <w:szCs w:val="24"/>
        </w:rPr>
        <w:t xml:space="preserve">2022 </w:t>
      </w:r>
      <w:r w:rsidR="004D20DD" w:rsidRPr="00374603">
        <w:rPr>
          <w:rFonts w:ascii="Trebuchet MS" w:hAnsi="Trebuchet MS"/>
          <w:szCs w:val="24"/>
        </w:rPr>
        <w:t xml:space="preserve">se realizó la conexión de </w:t>
      </w:r>
      <w:r w:rsidR="00CD10F1" w:rsidRPr="00EF3F98">
        <w:rPr>
          <w:rFonts w:ascii="Trebuchet MS" w:hAnsi="Trebuchet MS"/>
          <w:szCs w:val="24"/>
        </w:rPr>
        <w:t>97,875</w:t>
      </w:r>
      <w:r w:rsidR="004D20DD" w:rsidRPr="00374603">
        <w:rPr>
          <w:rFonts w:ascii="Trebuchet MS" w:hAnsi="Trebuchet MS"/>
          <w:szCs w:val="24"/>
        </w:rPr>
        <w:t xml:space="preserve"> nuevos clientes. Al comparar el valor obtenido durante el año </w:t>
      </w:r>
      <w:r w:rsidR="005A5FB2" w:rsidRPr="00374603">
        <w:rPr>
          <w:rFonts w:ascii="Trebuchet MS" w:hAnsi="Trebuchet MS"/>
          <w:szCs w:val="24"/>
        </w:rPr>
        <w:t xml:space="preserve">2022 </w:t>
      </w:r>
      <w:r w:rsidR="004D20DD" w:rsidRPr="00374603">
        <w:rPr>
          <w:rFonts w:ascii="Trebuchet MS" w:hAnsi="Trebuchet MS"/>
          <w:szCs w:val="24"/>
        </w:rPr>
        <w:t xml:space="preserve">respecto a las conexiones del año </w:t>
      </w:r>
      <w:r w:rsidR="005A5FB2" w:rsidRPr="00374603">
        <w:rPr>
          <w:rFonts w:ascii="Trebuchet MS" w:hAnsi="Trebuchet MS"/>
          <w:szCs w:val="24"/>
        </w:rPr>
        <w:t>2021</w:t>
      </w:r>
      <w:r w:rsidR="004D20DD" w:rsidRPr="00374603">
        <w:rPr>
          <w:rFonts w:ascii="Trebuchet MS" w:hAnsi="Trebuchet MS"/>
          <w:szCs w:val="24"/>
        </w:rPr>
        <w:t xml:space="preserve">, hubo un incremento de </w:t>
      </w:r>
      <w:r w:rsidR="00374603" w:rsidRPr="00EF3F98">
        <w:rPr>
          <w:rFonts w:ascii="Trebuchet MS" w:hAnsi="Trebuchet MS"/>
          <w:szCs w:val="24"/>
        </w:rPr>
        <w:t>17,12</w:t>
      </w:r>
      <w:r w:rsidR="004D20DD" w:rsidRPr="00374603">
        <w:rPr>
          <w:rFonts w:ascii="Trebuchet MS" w:hAnsi="Trebuchet MS"/>
          <w:szCs w:val="24"/>
        </w:rPr>
        <w:t>%.</w:t>
      </w:r>
    </w:p>
    <w:p w14:paraId="729B3FBB" w14:textId="0B720A6A" w:rsidR="004D20DD" w:rsidRPr="002946A9" w:rsidRDefault="004D20DD" w:rsidP="00467E86">
      <w:pPr>
        <w:ind w:left="360"/>
        <w:jc w:val="both"/>
        <w:rPr>
          <w:rFonts w:ascii="Trebuchet MS" w:hAnsi="Trebuchet MS"/>
          <w:szCs w:val="24"/>
        </w:rPr>
      </w:pPr>
    </w:p>
    <w:p w14:paraId="31BF355E" w14:textId="506D0847" w:rsidR="00801928" w:rsidRPr="002946A9" w:rsidRDefault="00AB6D6C" w:rsidP="00DF29CB">
      <w:pPr>
        <w:pStyle w:val="Prrafodelista"/>
        <w:numPr>
          <w:ilvl w:val="1"/>
          <w:numId w:val="2"/>
        </w:numPr>
        <w:jc w:val="both"/>
        <w:outlineLvl w:val="1"/>
        <w:rPr>
          <w:rFonts w:ascii="Trebuchet MS" w:hAnsi="Trebuchet MS"/>
          <w:b/>
          <w:sz w:val="24"/>
          <w:szCs w:val="32"/>
        </w:rPr>
      </w:pPr>
      <w:bookmarkStart w:id="112" w:name="_Toc131109340"/>
      <w:bookmarkStart w:id="113" w:name="_Hlk62032284"/>
      <w:r w:rsidRPr="002946A9">
        <w:rPr>
          <w:rFonts w:ascii="Trebuchet MS" w:hAnsi="Trebuchet MS"/>
          <w:b/>
          <w:sz w:val="24"/>
          <w:szCs w:val="32"/>
        </w:rPr>
        <w:t>Plan de inversiones aprobado para el periodo 20</w:t>
      </w:r>
      <w:r w:rsidR="005751A8" w:rsidRPr="002946A9">
        <w:rPr>
          <w:rFonts w:ascii="Trebuchet MS" w:hAnsi="Trebuchet MS"/>
          <w:b/>
          <w:sz w:val="24"/>
          <w:szCs w:val="32"/>
        </w:rPr>
        <w:t>2</w:t>
      </w:r>
      <w:r w:rsidR="00923A29" w:rsidRPr="002946A9">
        <w:rPr>
          <w:rFonts w:ascii="Trebuchet MS" w:hAnsi="Trebuchet MS"/>
          <w:b/>
          <w:sz w:val="24"/>
          <w:szCs w:val="32"/>
        </w:rPr>
        <w:t>0</w:t>
      </w:r>
      <w:r w:rsidRPr="002946A9">
        <w:rPr>
          <w:rFonts w:ascii="Trebuchet MS" w:hAnsi="Trebuchet MS"/>
          <w:b/>
          <w:sz w:val="24"/>
          <w:szCs w:val="32"/>
        </w:rPr>
        <w:t xml:space="preserve"> – 202</w:t>
      </w:r>
      <w:r w:rsidR="005751A8" w:rsidRPr="002946A9">
        <w:rPr>
          <w:rFonts w:ascii="Trebuchet MS" w:hAnsi="Trebuchet MS"/>
          <w:b/>
          <w:sz w:val="24"/>
          <w:szCs w:val="32"/>
        </w:rPr>
        <w:t>5</w:t>
      </w:r>
      <w:bookmarkEnd w:id="112"/>
    </w:p>
    <w:p w14:paraId="60AFA8B2" w14:textId="131F4B7F" w:rsidR="006F4DE7" w:rsidRPr="002946A9" w:rsidRDefault="009B09C6" w:rsidP="00DF29CB">
      <w:pPr>
        <w:ind w:left="360"/>
        <w:jc w:val="both"/>
        <w:rPr>
          <w:rFonts w:ascii="Trebuchet MS" w:hAnsi="Trebuchet MS"/>
          <w:szCs w:val="24"/>
        </w:rPr>
      </w:pPr>
      <w:r w:rsidRPr="002946A9">
        <w:rPr>
          <w:rFonts w:ascii="Trebuchet MS" w:hAnsi="Trebuchet MS"/>
          <w:szCs w:val="24"/>
        </w:rPr>
        <w:t>Acorde con la resolución CREG 078 del 2019, modificada mediante resolución CREG 156 del 2019, se dio aprobación al plan de inversiones regulatorio presentado por EPM en la solicitud de aprobación de cargos, y que corresponde al periodo 2019 – 2023.</w:t>
      </w:r>
      <w:r w:rsidR="009D1FF7" w:rsidRPr="002946A9">
        <w:rPr>
          <w:rFonts w:ascii="Trebuchet MS" w:hAnsi="Trebuchet MS"/>
          <w:szCs w:val="24"/>
        </w:rPr>
        <w:t xml:space="preserve"> </w:t>
      </w:r>
      <w:r w:rsidR="006F4DE7" w:rsidRPr="002946A9">
        <w:rPr>
          <w:rFonts w:ascii="Trebuchet MS" w:hAnsi="Trebuchet MS"/>
          <w:szCs w:val="24"/>
        </w:rPr>
        <w:t>Posteriormente, mediante resolución CREG 136 del 2021, modificada por la resolución CREG 501</w:t>
      </w:r>
      <w:r w:rsidR="00923A29" w:rsidRPr="002946A9">
        <w:rPr>
          <w:rFonts w:ascii="Trebuchet MS" w:hAnsi="Trebuchet MS"/>
          <w:szCs w:val="24"/>
        </w:rPr>
        <w:t xml:space="preserve"> – 022 </w:t>
      </w:r>
      <w:r w:rsidR="006F4DE7" w:rsidRPr="002946A9">
        <w:rPr>
          <w:rFonts w:ascii="Trebuchet MS" w:hAnsi="Trebuchet MS"/>
          <w:szCs w:val="24"/>
        </w:rPr>
        <w:t>del 2022</w:t>
      </w:r>
      <w:r w:rsidR="00592078">
        <w:rPr>
          <w:rFonts w:ascii="Trebuchet MS" w:hAnsi="Trebuchet MS"/>
          <w:szCs w:val="24"/>
        </w:rPr>
        <w:t xml:space="preserve"> y CREG 501 – 027 del 2022</w:t>
      </w:r>
      <w:r w:rsidR="006F4DE7" w:rsidRPr="002946A9">
        <w:rPr>
          <w:rFonts w:ascii="Trebuchet MS" w:hAnsi="Trebuchet MS"/>
          <w:szCs w:val="24"/>
        </w:rPr>
        <w:t>, la CREG</w:t>
      </w:r>
      <w:r w:rsidR="007C2FDB" w:rsidRPr="002946A9">
        <w:rPr>
          <w:rFonts w:ascii="Trebuchet MS" w:hAnsi="Trebuchet MS"/>
          <w:szCs w:val="24"/>
        </w:rPr>
        <w:t xml:space="preserve"> </w:t>
      </w:r>
      <w:r w:rsidR="006F4DE7" w:rsidRPr="002946A9">
        <w:rPr>
          <w:rFonts w:ascii="Trebuchet MS" w:hAnsi="Trebuchet MS"/>
          <w:szCs w:val="24"/>
        </w:rPr>
        <w:t>aprobó</w:t>
      </w:r>
      <w:r w:rsidR="007C2FDB" w:rsidRPr="002946A9">
        <w:rPr>
          <w:rFonts w:ascii="Trebuchet MS" w:hAnsi="Trebuchet MS"/>
          <w:szCs w:val="24"/>
        </w:rPr>
        <w:t xml:space="preserve"> a EPM </w:t>
      </w:r>
      <w:r w:rsidR="006F4DE7" w:rsidRPr="002946A9">
        <w:rPr>
          <w:rFonts w:ascii="Trebuchet MS" w:hAnsi="Trebuchet MS"/>
          <w:szCs w:val="24"/>
        </w:rPr>
        <w:t xml:space="preserve">los ajustes </w:t>
      </w:r>
      <w:r w:rsidR="007C2FDB" w:rsidRPr="002946A9">
        <w:rPr>
          <w:rFonts w:ascii="Trebuchet MS" w:hAnsi="Trebuchet MS"/>
          <w:szCs w:val="24"/>
        </w:rPr>
        <w:t xml:space="preserve">realizados </w:t>
      </w:r>
      <w:r w:rsidR="002D5B29" w:rsidRPr="002946A9">
        <w:rPr>
          <w:rFonts w:ascii="Trebuchet MS" w:hAnsi="Trebuchet MS"/>
          <w:szCs w:val="24"/>
        </w:rPr>
        <w:t xml:space="preserve">al plan </w:t>
      </w:r>
      <w:r w:rsidR="007C2FDB" w:rsidRPr="002946A9">
        <w:rPr>
          <w:rFonts w:ascii="Trebuchet MS" w:hAnsi="Trebuchet MS"/>
          <w:szCs w:val="24"/>
        </w:rPr>
        <w:t xml:space="preserve">2019 – 2023 </w:t>
      </w:r>
      <w:r w:rsidR="002D5B29" w:rsidRPr="002946A9">
        <w:rPr>
          <w:rFonts w:ascii="Trebuchet MS" w:hAnsi="Trebuchet MS"/>
          <w:szCs w:val="24"/>
        </w:rPr>
        <w:t xml:space="preserve">inicialmente aprobado y que </w:t>
      </w:r>
      <w:r w:rsidR="007C2FDB" w:rsidRPr="002946A9">
        <w:rPr>
          <w:rFonts w:ascii="Trebuchet MS" w:hAnsi="Trebuchet MS"/>
          <w:szCs w:val="24"/>
        </w:rPr>
        <w:t>comprende</w:t>
      </w:r>
      <w:r w:rsidR="00E12D66" w:rsidRPr="002946A9">
        <w:rPr>
          <w:rFonts w:ascii="Trebuchet MS" w:hAnsi="Trebuchet MS"/>
          <w:szCs w:val="24"/>
        </w:rPr>
        <w:t>n</w:t>
      </w:r>
      <w:r w:rsidR="007C2FDB" w:rsidRPr="002946A9">
        <w:rPr>
          <w:rFonts w:ascii="Trebuchet MS" w:hAnsi="Trebuchet MS"/>
          <w:szCs w:val="24"/>
        </w:rPr>
        <w:t xml:space="preserve"> el periodo </w:t>
      </w:r>
      <w:r w:rsidR="006F4DE7" w:rsidRPr="002946A9">
        <w:rPr>
          <w:rFonts w:ascii="Trebuchet MS" w:hAnsi="Trebuchet MS"/>
          <w:szCs w:val="24"/>
        </w:rPr>
        <w:t>202</w:t>
      </w:r>
      <w:r w:rsidR="00923A29" w:rsidRPr="002946A9">
        <w:rPr>
          <w:rFonts w:ascii="Trebuchet MS" w:hAnsi="Trebuchet MS"/>
          <w:szCs w:val="24"/>
        </w:rPr>
        <w:t>0</w:t>
      </w:r>
      <w:r w:rsidR="006F4DE7" w:rsidRPr="002946A9">
        <w:rPr>
          <w:rFonts w:ascii="Trebuchet MS" w:hAnsi="Trebuchet MS"/>
          <w:szCs w:val="24"/>
        </w:rPr>
        <w:t xml:space="preserve"> – 2025.</w:t>
      </w:r>
    </w:p>
    <w:p w14:paraId="0FF5FCDA" w14:textId="77777777" w:rsidR="00C944CB" w:rsidRPr="00C944CB" w:rsidRDefault="009D1FF7" w:rsidP="00C944CB">
      <w:pPr>
        <w:ind w:left="360"/>
        <w:jc w:val="both"/>
        <w:rPr>
          <w:rFonts w:ascii="Trebuchet MS" w:hAnsi="Trebuchet MS"/>
          <w:szCs w:val="24"/>
        </w:rPr>
      </w:pPr>
      <w:r w:rsidRPr="002946A9">
        <w:rPr>
          <w:rFonts w:ascii="Trebuchet MS" w:hAnsi="Trebuchet MS"/>
          <w:szCs w:val="24"/>
        </w:rPr>
        <w:t xml:space="preserve">Las inversiones aprobadas </w:t>
      </w:r>
      <w:r w:rsidR="004616E6" w:rsidRPr="002946A9">
        <w:rPr>
          <w:rFonts w:ascii="Trebuchet MS" w:hAnsi="Trebuchet MS"/>
          <w:szCs w:val="24"/>
        </w:rPr>
        <w:t>en el plan 202</w:t>
      </w:r>
      <w:r w:rsidR="00923A29" w:rsidRPr="002946A9">
        <w:rPr>
          <w:rFonts w:ascii="Trebuchet MS" w:hAnsi="Trebuchet MS"/>
          <w:szCs w:val="24"/>
        </w:rPr>
        <w:t>0</w:t>
      </w:r>
      <w:r w:rsidR="004616E6" w:rsidRPr="002946A9">
        <w:rPr>
          <w:rFonts w:ascii="Trebuchet MS" w:hAnsi="Trebuchet MS"/>
          <w:szCs w:val="24"/>
        </w:rPr>
        <w:t xml:space="preserve"> – 2025 </w:t>
      </w:r>
      <w:r w:rsidRPr="002946A9">
        <w:rPr>
          <w:rFonts w:ascii="Trebuchet MS" w:hAnsi="Trebuchet MS"/>
          <w:szCs w:val="24"/>
        </w:rPr>
        <w:t xml:space="preserve">se </w:t>
      </w:r>
      <w:r w:rsidR="007378B7" w:rsidRPr="002946A9">
        <w:rPr>
          <w:rFonts w:ascii="Trebuchet MS" w:hAnsi="Trebuchet MS"/>
          <w:szCs w:val="24"/>
        </w:rPr>
        <w:t>presentan por municipio</w:t>
      </w:r>
      <w:r w:rsidR="00865386" w:rsidRPr="002946A9">
        <w:rPr>
          <w:rFonts w:ascii="Trebuchet MS" w:hAnsi="Trebuchet MS"/>
          <w:szCs w:val="24"/>
        </w:rPr>
        <w:t>,</w:t>
      </w:r>
      <w:r w:rsidR="007378B7" w:rsidRPr="002946A9">
        <w:rPr>
          <w:rFonts w:ascii="Trebuchet MS" w:hAnsi="Trebuchet MS"/>
          <w:szCs w:val="24"/>
        </w:rPr>
        <w:t xml:space="preserve"> en la</w:t>
      </w:r>
      <w:r w:rsidR="00206F5C" w:rsidRPr="002946A9">
        <w:rPr>
          <w:rFonts w:ascii="Trebuchet MS" w:hAnsi="Trebuchet MS"/>
          <w:szCs w:val="24"/>
        </w:rPr>
        <w:t xml:space="preserve"> </w:t>
      </w:r>
      <w:r w:rsidR="00DA5E05" w:rsidRPr="002946A9">
        <w:rPr>
          <w:rFonts w:ascii="Trebuchet MS" w:hAnsi="Trebuchet MS"/>
          <w:szCs w:val="24"/>
        </w:rPr>
        <w:fldChar w:fldCharType="begin"/>
      </w:r>
      <w:r w:rsidR="00DA5E05" w:rsidRPr="002946A9">
        <w:rPr>
          <w:rFonts w:ascii="Trebuchet MS" w:hAnsi="Trebuchet MS"/>
          <w:szCs w:val="24"/>
        </w:rPr>
        <w:instrText xml:space="preserve"> REF _Ref66954759 \h </w:instrText>
      </w:r>
      <w:r w:rsidR="00C4701E" w:rsidRPr="002946A9">
        <w:rPr>
          <w:rFonts w:ascii="Trebuchet MS" w:hAnsi="Trebuchet MS"/>
          <w:szCs w:val="24"/>
        </w:rPr>
        <w:instrText xml:space="preserve"> \* MERGEFORMAT </w:instrText>
      </w:r>
      <w:r w:rsidR="00DA5E05" w:rsidRPr="002946A9">
        <w:rPr>
          <w:rFonts w:ascii="Trebuchet MS" w:hAnsi="Trebuchet MS"/>
          <w:szCs w:val="24"/>
        </w:rPr>
      </w:r>
      <w:r w:rsidR="00DA5E05" w:rsidRPr="002946A9">
        <w:rPr>
          <w:rFonts w:ascii="Trebuchet MS" w:hAnsi="Trebuchet MS"/>
          <w:szCs w:val="24"/>
        </w:rPr>
        <w:fldChar w:fldCharType="separate"/>
      </w:r>
      <w:r w:rsidR="00C944CB" w:rsidRPr="00C944CB">
        <w:rPr>
          <w:rFonts w:ascii="Trebuchet MS" w:hAnsi="Trebuchet MS"/>
          <w:szCs w:val="24"/>
        </w:rPr>
        <w:t>Tabla 2.4</w:t>
      </w:r>
      <w:r w:rsidR="00DA5E05" w:rsidRPr="002946A9">
        <w:rPr>
          <w:rFonts w:ascii="Trebuchet MS" w:hAnsi="Trebuchet MS"/>
          <w:szCs w:val="24"/>
        </w:rPr>
        <w:fldChar w:fldCharType="end"/>
      </w:r>
      <w:r w:rsidR="00004F5E" w:rsidRPr="002946A9">
        <w:rPr>
          <w:rFonts w:ascii="Trebuchet MS" w:hAnsi="Trebuchet MS"/>
          <w:szCs w:val="24"/>
        </w:rPr>
        <w:t>; por departamento</w:t>
      </w:r>
      <w:r w:rsidR="00865386" w:rsidRPr="002946A9">
        <w:rPr>
          <w:rFonts w:ascii="Trebuchet MS" w:hAnsi="Trebuchet MS"/>
          <w:szCs w:val="24"/>
        </w:rPr>
        <w:t>,</w:t>
      </w:r>
      <w:r w:rsidR="00004F5E" w:rsidRPr="002946A9">
        <w:rPr>
          <w:rFonts w:ascii="Trebuchet MS" w:hAnsi="Trebuchet MS"/>
          <w:szCs w:val="24"/>
        </w:rPr>
        <w:t xml:space="preserve"> en </w:t>
      </w:r>
      <w:r w:rsidR="008B17C4" w:rsidRPr="002946A9">
        <w:rPr>
          <w:rFonts w:ascii="Trebuchet MS" w:hAnsi="Trebuchet MS"/>
          <w:szCs w:val="24"/>
        </w:rPr>
        <w:t xml:space="preserve">la </w:t>
      </w:r>
      <w:r w:rsidR="008B17C4" w:rsidRPr="002946A9">
        <w:rPr>
          <w:rFonts w:ascii="Trebuchet MS" w:hAnsi="Trebuchet MS"/>
          <w:szCs w:val="24"/>
        </w:rPr>
        <w:fldChar w:fldCharType="begin"/>
      </w:r>
      <w:r w:rsidR="008B17C4" w:rsidRPr="002946A9">
        <w:rPr>
          <w:rFonts w:ascii="Trebuchet MS" w:hAnsi="Trebuchet MS"/>
          <w:szCs w:val="24"/>
        </w:rPr>
        <w:instrText xml:space="preserve"> REF _Ref66442588 \h </w:instrText>
      </w:r>
      <w:r w:rsidR="00C4701E" w:rsidRPr="002946A9">
        <w:rPr>
          <w:rFonts w:ascii="Trebuchet MS" w:hAnsi="Trebuchet MS"/>
          <w:szCs w:val="24"/>
        </w:rPr>
        <w:instrText xml:space="preserve"> \* MERGEFORMAT </w:instrText>
      </w:r>
      <w:r w:rsidR="008B17C4" w:rsidRPr="002946A9">
        <w:rPr>
          <w:rFonts w:ascii="Trebuchet MS" w:hAnsi="Trebuchet MS"/>
          <w:szCs w:val="24"/>
        </w:rPr>
      </w:r>
      <w:r w:rsidR="008B17C4" w:rsidRPr="002946A9">
        <w:rPr>
          <w:rFonts w:ascii="Trebuchet MS" w:hAnsi="Trebuchet MS"/>
          <w:szCs w:val="24"/>
        </w:rPr>
        <w:fldChar w:fldCharType="separate"/>
      </w:r>
      <w:r w:rsidR="00C944CB" w:rsidRPr="00C944CB">
        <w:rPr>
          <w:rFonts w:ascii="Trebuchet MS" w:hAnsi="Trebuchet MS"/>
          <w:szCs w:val="24"/>
        </w:rPr>
        <w:t>Tabla 2.5</w:t>
      </w:r>
      <w:r w:rsidR="008B17C4" w:rsidRPr="002946A9">
        <w:rPr>
          <w:rFonts w:ascii="Trebuchet MS" w:hAnsi="Trebuchet MS"/>
          <w:szCs w:val="24"/>
        </w:rPr>
        <w:fldChar w:fldCharType="end"/>
      </w:r>
      <w:r w:rsidR="008B17C4" w:rsidRPr="002946A9">
        <w:rPr>
          <w:rFonts w:ascii="Trebuchet MS" w:hAnsi="Trebuchet MS"/>
          <w:szCs w:val="24"/>
        </w:rPr>
        <w:t xml:space="preserve">; por </w:t>
      </w:r>
      <w:r w:rsidR="00A2576C" w:rsidRPr="002946A9">
        <w:rPr>
          <w:rFonts w:ascii="Trebuchet MS" w:hAnsi="Trebuchet MS"/>
          <w:szCs w:val="24"/>
        </w:rPr>
        <w:t xml:space="preserve">tipo de inversión, en la </w:t>
      </w:r>
      <w:r w:rsidR="00A2576C" w:rsidRPr="002946A9">
        <w:rPr>
          <w:rFonts w:ascii="Trebuchet MS" w:hAnsi="Trebuchet MS"/>
          <w:szCs w:val="24"/>
        </w:rPr>
        <w:fldChar w:fldCharType="begin"/>
      </w:r>
      <w:r w:rsidR="00A2576C" w:rsidRPr="002946A9">
        <w:rPr>
          <w:rFonts w:ascii="Trebuchet MS" w:hAnsi="Trebuchet MS"/>
          <w:szCs w:val="24"/>
        </w:rPr>
        <w:instrText xml:space="preserve"> REF _Ref66442617 \h </w:instrText>
      </w:r>
      <w:r w:rsidR="00C4701E" w:rsidRPr="002946A9">
        <w:rPr>
          <w:rFonts w:ascii="Trebuchet MS" w:hAnsi="Trebuchet MS"/>
          <w:szCs w:val="24"/>
        </w:rPr>
        <w:instrText xml:space="preserve"> \* MERGEFORMAT </w:instrText>
      </w:r>
      <w:r w:rsidR="00A2576C" w:rsidRPr="002946A9">
        <w:rPr>
          <w:rFonts w:ascii="Trebuchet MS" w:hAnsi="Trebuchet MS"/>
          <w:szCs w:val="24"/>
        </w:rPr>
      </w:r>
      <w:r w:rsidR="00A2576C" w:rsidRPr="002946A9">
        <w:rPr>
          <w:rFonts w:ascii="Trebuchet MS" w:hAnsi="Trebuchet MS"/>
          <w:szCs w:val="24"/>
        </w:rPr>
        <w:fldChar w:fldCharType="separate"/>
      </w:r>
    </w:p>
    <w:p w14:paraId="0F6F28E6" w14:textId="4C3D7313" w:rsidR="00801928" w:rsidRPr="002946A9" w:rsidRDefault="00C944CB" w:rsidP="00DF29CB">
      <w:pPr>
        <w:ind w:left="360"/>
        <w:jc w:val="both"/>
        <w:rPr>
          <w:rFonts w:ascii="Trebuchet MS" w:hAnsi="Trebuchet MS"/>
          <w:szCs w:val="24"/>
        </w:rPr>
      </w:pPr>
      <w:r w:rsidRPr="00C944CB">
        <w:rPr>
          <w:rFonts w:ascii="Trebuchet MS" w:hAnsi="Trebuchet MS"/>
          <w:szCs w:val="24"/>
        </w:rPr>
        <w:t xml:space="preserve">Tabla </w:t>
      </w:r>
      <w:r>
        <w:rPr>
          <w:rFonts w:ascii="Trebuchet MS" w:hAnsi="Trebuchet MS"/>
          <w:noProof/>
        </w:rPr>
        <w:t>2</w:t>
      </w:r>
      <w:r w:rsidRPr="002946A9">
        <w:rPr>
          <w:rFonts w:ascii="Trebuchet MS" w:hAnsi="Trebuchet MS"/>
          <w:noProof/>
        </w:rPr>
        <w:t>.</w:t>
      </w:r>
      <w:r>
        <w:rPr>
          <w:rFonts w:ascii="Trebuchet MS" w:hAnsi="Trebuchet MS"/>
          <w:noProof/>
        </w:rPr>
        <w:t>6</w:t>
      </w:r>
      <w:r w:rsidR="00A2576C" w:rsidRPr="002946A9">
        <w:rPr>
          <w:rFonts w:ascii="Trebuchet MS" w:hAnsi="Trebuchet MS"/>
          <w:szCs w:val="24"/>
        </w:rPr>
        <w:fldChar w:fldCharType="end"/>
      </w:r>
      <w:r w:rsidR="00A2576C" w:rsidRPr="002946A9">
        <w:rPr>
          <w:rFonts w:ascii="Trebuchet MS" w:hAnsi="Trebuchet MS"/>
          <w:szCs w:val="24"/>
        </w:rPr>
        <w:t xml:space="preserve">; por nivel de tensión, en la </w:t>
      </w:r>
      <w:r w:rsidR="00A2576C" w:rsidRPr="002946A9">
        <w:rPr>
          <w:rFonts w:ascii="Trebuchet MS" w:hAnsi="Trebuchet MS"/>
          <w:szCs w:val="24"/>
        </w:rPr>
        <w:fldChar w:fldCharType="begin"/>
      </w:r>
      <w:r w:rsidR="00A2576C" w:rsidRPr="002946A9">
        <w:rPr>
          <w:rFonts w:ascii="Trebuchet MS" w:hAnsi="Trebuchet MS"/>
          <w:szCs w:val="24"/>
        </w:rPr>
        <w:instrText xml:space="preserve"> REF _Ref66442633 \h </w:instrText>
      </w:r>
      <w:r w:rsidR="00C4701E" w:rsidRPr="002946A9">
        <w:rPr>
          <w:rFonts w:ascii="Trebuchet MS" w:hAnsi="Trebuchet MS"/>
          <w:szCs w:val="24"/>
        </w:rPr>
        <w:instrText xml:space="preserve"> \* MERGEFORMAT </w:instrText>
      </w:r>
      <w:r w:rsidR="00A2576C" w:rsidRPr="002946A9">
        <w:rPr>
          <w:rFonts w:ascii="Trebuchet MS" w:hAnsi="Trebuchet MS"/>
          <w:szCs w:val="24"/>
        </w:rPr>
      </w:r>
      <w:r w:rsidR="00A2576C" w:rsidRPr="002946A9">
        <w:rPr>
          <w:rFonts w:ascii="Trebuchet MS" w:hAnsi="Trebuchet MS"/>
          <w:szCs w:val="24"/>
        </w:rPr>
        <w:fldChar w:fldCharType="separate"/>
      </w:r>
      <w:r w:rsidRPr="00C944CB">
        <w:rPr>
          <w:rFonts w:ascii="Trebuchet MS" w:hAnsi="Trebuchet MS"/>
          <w:szCs w:val="24"/>
        </w:rPr>
        <w:t>Tabla 2.7</w:t>
      </w:r>
      <w:r w:rsidR="00A2576C" w:rsidRPr="002946A9">
        <w:rPr>
          <w:rFonts w:ascii="Trebuchet MS" w:hAnsi="Trebuchet MS"/>
          <w:szCs w:val="24"/>
        </w:rPr>
        <w:fldChar w:fldCharType="end"/>
      </w:r>
      <w:r w:rsidR="00A2576C" w:rsidRPr="002946A9">
        <w:rPr>
          <w:rFonts w:ascii="Trebuchet MS" w:hAnsi="Trebuchet MS"/>
          <w:szCs w:val="24"/>
        </w:rPr>
        <w:t>;</w:t>
      </w:r>
      <w:r w:rsidR="00972066" w:rsidRPr="002946A9">
        <w:rPr>
          <w:rFonts w:ascii="Trebuchet MS" w:hAnsi="Trebuchet MS"/>
          <w:szCs w:val="24"/>
        </w:rPr>
        <w:t xml:space="preserve"> por categoría de activos, en la</w:t>
      </w:r>
      <w:r w:rsidR="00DA5E05" w:rsidRPr="002946A9">
        <w:rPr>
          <w:rFonts w:ascii="Trebuchet MS" w:hAnsi="Trebuchet MS"/>
          <w:szCs w:val="24"/>
        </w:rPr>
        <w:t xml:space="preserve"> </w:t>
      </w:r>
      <w:r w:rsidR="00DA5E05" w:rsidRPr="002946A9">
        <w:rPr>
          <w:rFonts w:ascii="Trebuchet MS" w:hAnsi="Trebuchet MS"/>
          <w:szCs w:val="24"/>
        </w:rPr>
        <w:fldChar w:fldCharType="begin"/>
      </w:r>
      <w:r w:rsidR="00DA5E05" w:rsidRPr="002946A9">
        <w:rPr>
          <w:rFonts w:ascii="Trebuchet MS" w:hAnsi="Trebuchet MS"/>
          <w:szCs w:val="24"/>
        </w:rPr>
        <w:instrText xml:space="preserve"> REF _Ref66954786 \h </w:instrText>
      </w:r>
      <w:r w:rsidR="00C4701E" w:rsidRPr="002946A9">
        <w:rPr>
          <w:rFonts w:ascii="Trebuchet MS" w:hAnsi="Trebuchet MS"/>
          <w:szCs w:val="24"/>
        </w:rPr>
        <w:instrText xml:space="preserve"> \* MERGEFORMAT </w:instrText>
      </w:r>
      <w:r w:rsidR="00DA5E05" w:rsidRPr="002946A9">
        <w:rPr>
          <w:rFonts w:ascii="Trebuchet MS" w:hAnsi="Trebuchet MS"/>
          <w:szCs w:val="24"/>
        </w:rPr>
      </w:r>
      <w:r w:rsidR="00DA5E05" w:rsidRPr="002946A9">
        <w:rPr>
          <w:rFonts w:ascii="Trebuchet MS" w:hAnsi="Trebuchet MS"/>
          <w:szCs w:val="24"/>
        </w:rPr>
        <w:fldChar w:fldCharType="separate"/>
      </w:r>
      <w:r w:rsidRPr="00C944CB">
        <w:rPr>
          <w:rFonts w:ascii="Trebuchet MS" w:hAnsi="Trebuchet MS"/>
          <w:szCs w:val="24"/>
        </w:rPr>
        <w:t>Tabla 2.8</w:t>
      </w:r>
      <w:r w:rsidR="00DA5E05" w:rsidRPr="002946A9">
        <w:rPr>
          <w:rFonts w:ascii="Trebuchet MS" w:hAnsi="Trebuchet MS"/>
          <w:szCs w:val="24"/>
        </w:rPr>
        <w:fldChar w:fldCharType="end"/>
      </w:r>
      <w:r w:rsidR="00972066" w:rsidRPr="002946A9">
        <w:rPr>
          <w:rFonts w:ascii="Trebuchet MS" w:hAnsi="Trebuchet MS"/>
          <w:szCs w:val="24"/>
        </w:rPr>
        <w:t>; y por su clasificación en expansión, reposición,</w:t>
      </w:r>
      <w:r w:rsidR="00494CDB" w:rsidRPr="002946A9">
        <w:rPr>
          <w:rFonts w:ascii="Trebuchet MS" w:hAnsi="Trebuchet MS"/>
          <w:szCs w:val="24"/>
        </w:rPr>
        <w:t xml:space="preserve"> calidad y pérdidas</w:t>
      </w:r>
      <w:r w:rsidR="00865386" w:rsidRPr="002946A9">
        <w:rPr>
          <w:rFonts w:ascii="Trebuchet MS" w:hAnsi="Trebuchet MS"/>
          <w:szCs w:val="24"/>
        </w:rPr>
        <w:t>, en la</w:t>
      </w:r>
      <w:r w:rsidR="00C4701E" w:rsidRPr="002946A9">
        <w:rPr>
          <w:rFonts w:ascii="Trebuchet MS" w:hAnsi="Trebuchet MS"/>
          <w:szCs w:val="24"/>
        </w:rPr>
        <w:t xml:space="preserve"> </w:t>
      </w:r>
      <w:r w:rsidR="00C4701E" w:rsidRPr="002946A9">
        <w:rPr>
          <w:rFonts w:ascii="Trebuchet MS" w:hAnsi="Trebuchet MS"/>
          <w:szCs w:val="24"/>
        </w:rPr>
        <w:fldChar w:fldCharType="begin"/>
      </w:r>
      <w:r w:rsidR="00C4701E" w:rsidRPr="002946A9">
        <w:rPr>
          <w:rFonts w:ascii="Trebuchet MS" w:hAnsi="Trebuchet MS"/>
          <w:szCs w:val="24"/>
        </w:rPr>
        <w:instrText xml:space="preserve"> REF _Ref66954807 \h  \* MERGEFORMAT </w:instrText>
      </w:r>
      <w:r w:rsidR="00C4701E" w:rsidRPr="002946A9">
        <w:rPr>
          <w:rFonts w:ascii="Trebuchet MS" w:hAnsi="Trebuchet MS"/>
          <w:szCs w:val="24"/>
        </w:rPr>
      </w:r>
      <w:r w:rsidR="00C4701E" w:rsidRPr="002946A9">
        <w:rPr>
          <w:rFonts w:ascii="Trebuchet MS" w:hAnsi="Trebuchet MS"/>
          <w:szCs w:val="24"/>
        </w:rPr>
        <w:fldChar w:fldCharType="separate"/>
      </w:r>
      <w:r w:rsidRPr="00C944CB">
        <w:rPr>
          <w:rFonts w:ascii="Trebuchet MS" w:hAnsi="Trebuchet MS"/>
          <w:szCs w:val="24"/>
        </w:rPr>
        <w:t>Tabla 2.9</w:t>
      </w:r>
      <w:r w:rsidR="00C4701E" w:rsidRPr="002946A9">
        <w:rPr>
          <w:rFonts w:ascii="Trebuchet MS" w:hAnsi="Trebuchet MS"/>
          <w:szCs w:val="24"/>
        </w:rPr>
        <w:fldChar w:fldCharType="end"/>
      </w:r>
      <w:r w:rsidR="00865386" w:rsidRPr="002946A9">
        <w:rPr>
          <w:rFonts w:ascii="Trebuchet MS" w:hAnsi="Trebuchet MS"/>
          <w:szCs w:val="24"/>
        </w:rPr>
        <w:t>.</w:t>
      </w:r>
    </w:p>
    <w:bookmarkEnd w:id="113"/>
    <w:p w14:paraId="3612C587" w14:textId="77777777" w:rsidR="00832F40" w:rsidRDefault="00832F40" w:rsidP="004325CD">
      <w:pPr>
        <w:spacing w:after="0"/>
        <w:ind w:firstLine="360"/>
        <w:jc w:val="both"/>
        <w:rPr>
          <w:rFonts w:ascii="Trebuchet MS" w:hAnsi="Trebuchet MS"/>
          <w:b/>
          <w:szCs w:val="28"/>
        </w:rPr>
      </w:pPr>
    </w:p>
    <w:p w14:paraId="5CBC48FF" w14:textId="77777777" w:rsidR="00A90604" w:rsidRDefault="00A90604" w:rsidP="004325CD">
      <w:pPr>
        <w:spacing w:after="0"/>
        <w:ind w:firstLine="360"/>
        <w:jc w:val="both"/>
        <w:rPr>
          <w:rFonts w:ascii="Trebuchet MS" w:hAnsi="Trebuchet MS"/>
          <w:b/>
          <w:szCs w:val="28"/>
        </w:rPr>
      </w:pPr>
    </w:p>
    <w:p w14:paraId="382A3ECD" w14:textId="77777777" w:rsidR="00A90604" w:rsidRDefault="00A90604" w:rsidP="004325CD">
      <w:pPr>
        <w:spacing w:after="0"/>
        <w:ind w:firstLine="360"/>
        <w:jc w:val="both"/>
        <w:rPr>
          <w:rFonts w:ascii="Trebuchet MS" w:hAnsi="Trebuchet MS"/>
          <w:b/>
          <w:szCs w:val="28"/>
        </w:rPr>
      </w:pPr>
    </w:p>
    <w:p w14:paraId="282F4EFC" w14:textId="77777777" w:rsidR="00A90604" w:rsidRDefault="00A90604" w:rsidP="004325CD">
      <w:pPr>
        <w:spacing w:after="0"/>
        <w:ind w:firstLine="360"/>
        <w:jc w:val="both"/>
        <w:rPr>
          <w:rFonts w:ascii="Trebuchet MS" w:hAnsi="Trebuchet MS"/>
          <w:b/>
          <w:szCs w:val="28"/>
        </w:rPr>
      </w:pPr>
    </w:p>
    <w:p w14:paraId="5B7DFF43" w14:textId="77777777" w:rsidR="00A90604" w:rsidRDefault="00A90604" w:rsidP="004325CD">
      <w:pPr>
        <w:spacing w:after="0"/>
        <w:ind w:firstLine="360"/>
        <w:jc w:val="both"/>
        <w:rPr>
          <w:rFonts w:ascii="Trebuchet MS" w:hAnsi="Trebuchet MS"/>
          <w:b/>
          <w:szCs w:val="28"/>
        </w:rPr>
      </w:pPr>
    </w:p>
    <w:p w14:paraId="7EF592FE" w14:textId="77777777" w:rsidR="00A90604" w:rsidRDefault="00A90604" w:rsidP="004325CD">
      <w:pPr>
        <w:spacing w:after="0"/>
        <w:ind w:firstLine="360"/>
        <w:jc w:val="both"/>
        <w:rPr>
          <w:rFonts w:ascii="Trebuchet MS" w:hAnsi="Trebuchet MS"/>
          <w:b/>
          <w:szCs w:val="28"/>
        </w:rPr>
      </w:pPr>
    </w:p>
    <w:p w14:paraId="0D230FA3" w14:textId="77777777" w:rsidR="00A90604" w:rsidRDefault="00A90604" w:rsidP="004325CD">
      <w:pPr>
        <w:spacing w:after="0"/>
        <w:ind w:firstLine="360"/>
        <w:jc w:val="both"/>
        <w:rPr>
          <w:rFonts w:ascii="Trebuchet MS" w:hAnsi="Trebuchet MS"/>
          <w:b/>
          <w:szCs w:val="28"/>
        </w:rPr>
      </w:pPr>
    </w:p>
    <w:p w14:paraId="02039B40" w14:textId="77777777" w:rsidR="00A90604" w:rsidRDefault="00A90604" w:rsidP="004325CD">
      <w:pPr>
        <w:spacing w:after="0"/>
        <w:ind w:firstLine="360"/>
        <w:jc w:val="both"/>
        <w:rPr>
          <w:rFonts w:ascii="Trebuchet MS" w:hAnsi="Trebuchet MS"/>
          <w:b/>
          <w:szCs w:val="28"/>
        </w:rPr>
      </w:pPr>
    </w:p>
    <w:p w14:paraId="143EED9D" w14:textId="77777777" w:rsidR="00A90604" w:rsidRDefault="00A90604" w:rsidP="004325CD">
      <w:pPr>
        <w:spacing w:after="0"/>
        <w:ind w:firstLine="360"/>
        <w:jc w:val="both"/>
        <w:rPr>
          <w:rFonts w:ascii="Trebuchet MS" w:hAnsi="Trebuchet MS"/>
          <w:b/>
          <w:szCs w:val="28"/>
        </w:rPr>
      </w:pPr>
    </w:p>
    <w:p w14:paraId="4AFAF640" w14:textId="77777777" w:rsidR="00A90604" w:rsidRPr="002946A9" w:rsidRDefault="00A90604" w:rsidP="004325CD">
      <w:pPr>
        <w:spacing w:after="0"/>
        <w:ind w:firstLine="360"/>
        <w:jc w:val="both"/>
        <w:rPr>
          <w:rFonts w:ascii="Trebuchet MS" w:hAnsi="Trebuchet MS"/>
          <w:b/>
          <w:szCs w:val="28"/>
        </w:rPr>
      </w:pPr>
    </w:p>
    <w:p w14:paraId="5313BBF3" w14:textId="26824516" w:rsidR="0028005E" w:rsidRPr="002946A9" w:rsidRDefault="0028005E" w:rsidP="00DF29CB">
      <w:pPr>
        <w:numPr>
          <w:ilvl w:val="2"/>
          <w:numId w:val="2"/>
        </w:numPr>
        <w:ind w:left="1225" w:hanging="505"/>
        <w:jc w:val="both"/>
        <w:outlineLvl w:val="2"/>
        <w:rPr>
          <w:rFonts w:ascii="Trebuchet MS" w:hAnsi="Trebuchet MS"/>
          <w:b/>
          <w:bCs/>
          <w:szCs w:val="24"/>
        </w:rPr>
      </w:pPr>
      <w:bookmarkStart w:id="114" w:name="_Toc131109341"/>
      <w:bookmarkStart w:id="115" w:name="_Hlk61878943"/>
      <w:r w:rsidRPr="002946A9">
        <w:rPr>
          <w:rFonts w:ascii="Trebuchet MS" w:hAnsi="Trebuchet MS"/>
          <w:b/>
          <w:bCs/>
          <w:szCs w:val="24"/>
        </w:rPr>
        <w:t>Inversiones por municipio</w:t>
      </w:r>
      <w:bookmarkEnd w:id="114"/>
      <w:r w:rsidRPr="002946A9">
        <w:rPr>
          <w:rFonts w:ascii="Trebuchet MS" w:hAnsi="Trebuchet MS"/>
          <w:b/>
          <w:bCs/>
          <w:szCs w:val="24"/>
        </w:rPr>
        <w:t xml:space="preserve">  </w:t>
      </w:r>
    </w:p>
    <w:bookmarkEnd w:id="115"/>
    <w:p w14:paraId="144807DE" w14:textId="614AB9EA" w:rsidR="00D117E9" w:rsidRPr="002946A9" w:rsidRDefault="00E46961" w:rsidP="00DF29CB">
      <w:pPr>
        <w:ind w:left="360"/>
        <w:jc w:val="both"/>
        <w:rPr>
          <w:rFonts w:ascii="Trebuchet MS" w:hAnsi="Trebuchet MS"/>
          <w:szCs w:val="24"/>
        </w:rPr>
      </w:pPr>
      <w:r w:rsidRPr="002946A9">
        <w:rPr>
          <w:rFonts w:ascii="Trebuchet MS" w:hAnsi="Trebuchet MS"/>
          <w:szCs w:val="24"/>
        </w:rPr>
        <w:t xml:space="preserve">Se consideran inversiones en </w:t>
      </w:r>
      <w:r w:rsidR="007351D6" w:rsidRPr="002946A9">
        <w:rPr>
          <w:rFonts w:ascii="Trebuchet MS" w:hAnsi="Trebuchet MS"/>
          <w:szCs w:val="24"/>
        </w:rPr>
        <w:t>12</w:t>
      </w:r>
      <w:r w:rsidR="00371438" w:rsidRPr="002946A9">
        <w:rPr>
          <w:rFonts w:ascii="Trebuchet MS" w:hAnsi="Trebuchet MS"/>
          <w:szCs w:val="24"/>
        </w:rPr>
        <w:t>9</w:t>
      </w:r>
      <w:r w:rsidR="007351D6" w:rsidRPr="002946A9">
        <w:rPr>
          <w:rFonts w:ascii="Trebuchet MS" w:hAnsi="Trebuchet MS"/>
          <w:szCs w:val="24"/>
        </w:rPr>
        <w:t xml:space="preserve"> municipios</w:t>
      </w:r>
      <w:r w:rsidRPr="002946A9">
        <w:rPr>
          <w:rFonts w:ascii="Trebuchet MS" w:hAnsi="Trebuchet MS"/>
          <w:szCs w:val="24"/>
        </w:rPr>
        <w:t>, los cuales se muestran a continuación:</w:t>
      </w:r>
    </w:p>
    <w:p w14:paraId="69E47737" w14:textId="4CF2F15A" w:rsidR="00287F1C" w:rsidRPr="002946A9" w:rsidRDefault="00EA2695" w:rsidP="00092028">
      <w:pPr>
        <w:spacing w:after="0"/>
        <w:ind w:left="1416" w:hanging="1056"/>
        <w:jc w:val="both"/>
      </w:pPr>
      <w:bookmarkStart w:id="116" w:name="_Ref66439059"/>
      <w:bookmarkStart w:id="117" w:name="_Ref66954759"/>
      <w:bookmarkStart w:id="118" w:name="_Toc131032772"/>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4</w:t>
      </w:r>
      <w:r w:rsidRPr="002946A9">
        <w:rPr>
          <w:rFonts w:ascii="Trebuchet MS" w:hAnsi="Trebuchet MS"/>
        </w:rPr>
        <w:fldChar w:fldCharType="end"/>
      </w:r>
      <w:bookmarkEnd w:id="116"/>
      <w:bookmarkEnd w:id="117"/>
      <w:r w:rsidRPr="002946A9">
        <w:rPr>
          <w:rFonts w:ascii="Trebuchet MS" w:hAnsi="Trebuchet MS"/>
        </w:rPr>
        <w:t xml:space="preserve"> </w:t>
      </w:r>
      <w:r w:rsidRPr="002946A9">
        <w:rPr>
          <w:rFonts w:ascii="Trebuchet MS" w:hAnsi="Trebuchet MS"/>
        </w:rPr>
        <w:tab/>
      </w:r>
      <w:r w:rsidR="00FA7FA2" w:rsidRPr="002946A9">
        <w:rPr>
          <w:rFonts w:ascii="Trebuchet MS" w:hAnsi="Trebuchet MS"/>
        </w:rPr>
        <w:t>Inversiones plan 20</w:t>
      </w:r>
      <w:r w:rsidR="003A0949" w:rsidRPr="002946A9">
        <w:rPr>
          <w:rFonts w:ascii="Trebuchet MS" w:hAnsi="Trebuchet MS"/>
        </w:rPr>
        <w:t>20</w:t>
      </w:r>
      <w:r w:rsidR="00FA7FA2" w:rsidRPr="002946A9">
        <w:rPr>
          <w:rFonts w:ascii="Trebuchet MS" w:hAnsi="Trebuchet MS"/>
        </w:rPr>
        <w:t xml:space="preserve"> – 202</w:t>
      </w:r>
      <w:r w:rsidR="003A0949" w:rsidRPr="002946A9">
        <w:rPr>
          <w:rFonts w:ascii="Trebuchet MS" w:hAnsi="Trebuchet MS"/>
        </w:rPr>
        <w:t>5</w:t>
      </w:r>
      <w:r w:rsidR="00FA7FA2" w:rsidRPr="002946A9">
        <w:rPr>
          <w:rFonts w:ascii="Trebuchet MS" w:hAnsi="Trebuchet MS"/>
        </w:rPr>
        <w:t xml:space="preserve"> por municipio</w:t>
      </w:r>
      <w:r w:rsidR="0082267F" w:rsidRPr="002946A9">
        <w:rPr>
          <w:rFonts w:ascii="Trebuchet MS" w:hAnsi="Trebuchet MS"/>
        </w:rPr>
        <w:t xml:space="preserve"> [</w:t>
      </w:r>
      <w:r w:rsidR="0082267F" w:rsidRPr="002946A9">
        <w:rPr>
          <w:rFonts w:ascii="Trebuchet MS" w:hAnsi="Trebuchet MS"/>
          <w:i/>
          <w:iCs/>
        </w:rPr>
        <w:t xml:space="preserve">valores </w:t>
      </w:r>
      <w:r w:rsidR="001B52C7" w:rsidRPr="002946A9">
        <w:rPr>
          <w:rFonts w:ascii="Trebuchet MS" w:hAnsi="Trebuchet MS"/>
          <w:i/>
          <w:iCs/>
        </w:rPr>
        <w:t>en millones de pesos a dic 2017</w:t>
      </w:r>
      <w:r w:rsidR="001B52C7" w:rsidRPr="002946A9">
        <w:rPr>
          <w:rFonts w:ascii="Trebuchet MS" w:hAnsi="Trebuchet MS"/>
        </w:rPr>
        <w:t>]</w:t>
      </w:r>
      <w:r w:rsidRPr="002946A9">
        <w:rPr>
          <w:rFonts w:ascii="Trebuchet MS" w:hAnsi="Trebuchet MS"/>
        </w:rPr>
        <w:t>.</w:t>
      </w:r>
      <w:bookmarkEnd w:id="118"/>
    </w:p>
    <w:p w14:paraId="1B4048DB" w14:textId="6DC953F4" w:rsidR="00370F28" w:rsidRPr="002946A9" w:rsidRDefault="00370F28" w:rsidP="00092028">
      <w:pPr>
        <w:spacing w:after="0"/>
        <w:ind w:left="1416" w:hanging="1056"/>
        <w:jc w:val="both"/>
      </w:pPr>
    </w:p>
    <w:p w14:paraId="7380A54F" w14:textId="77777777" w:rsidR="00092028" w:rsidRPr="002946A9" w:rsidRDefault="00092028" w:rsidP="00092028">
      <w:pPr>
        <w:spacing w:after="0"/>
        <w:ind w:left="1416" w:hanging="1056"/>
        <w:jc w:val="both"/>
        <w:sectPr w:rsidR="00092028" w:rsidRPr="002946A9" w:rsidSect="00370F28">
          <w:footerReference w:type="default" r:id="rId19"/>
          <w:type w:val="continuous"/>
          <w:pgSz w:w="12240" w:h="15840"/>
          <w:pgMar w:top="1417" w:right="1701" w:bottom="1417" w:left="1701" w:header="708" w:footer="708" w:gutter="0"/>
          <w:cols w:space="708"/>
          <w:docGrid w:linePitch="360"/>
        </w:sectPr>
      </w:pPr>
    </w:p>
    <w:tbl>
      <w:tblPr>
        <w:tblStyle w:val="Tablaconcuadrcula5oscura-nfasis1"/>
        <w:tblW w:w="0" w:type="auto"/>
        <w:tblLayout w:type="fixed"/>
        <w:tblLook w:val="04A0" w:firstRow="1" w:lastRow="0" w:firstColumn="1" w:lastColumn="0" w:noHBand="0" w:noVBand="1"/>
      </w:tblPr>
      <w:tblGrid>
        <w:gridCol w:w="1696"/>
        <w:gridCol w:w="1134"/>
        <w:gridCol w:w="1225"/>
      </w:tblGrid>
      <w:tr w:rsidR="00287F1C" w:rsidRPr="002946A9" w14:paraId="43FCB4CB" w14:textId="77777777" w:rsidTr="00370F28">
        <w:trPr>
          <w:cnfStyle w:val="100000000000" w:firstRow="1" w:lastRow="0" w:firstColumn="0" w:lastColumn="0" w:oddVBand="0" w:evenVBand="0" w:oddHBand="0" w:evenHBand="0" w:firstRowFirstColumn="0" w:firstRowLastColumn="0" w:lastRowFirstColumn="0" w:lastRowLastColumn="0"/>
          <w:trHeight w:val="113"/>
          <w:tblHeader/>
        </w:trPr>
        <w:tc>
          <w:tcPr>
            <w:cnfStyle w:val="001000000000" w:firstRow="0" w:lastRow="0" w:firstColumn="1" w:lastColumn="0" w:oddVBand="0" w:evenVBand="0" w:oddHBand="0" w:evenHBand="0" w:firstRowFirstColumn="0" w:firstRowLastColumn="0" w:lastRowFirstColumn="0" w:lastRowLastColumn="0"/>
            <w:tcW w:w="1696" w:type="dxa"/>
            <w:noWrap/>
            <w:hideMark/>
          </w:tcPr>
          <w:p w14:paraId="08AE4FAA" w14:textId="37CF6D43" w:rsidR="00287F1C" w:rsidRPr="002946A9" w:rsidRDefault="00287F1C" w:rsidP="00F024D9">
            <w:pPr>
              <w:rPr>
                <w:rFonts w:cs="Calibri"/>
                <w:bCs w:val="0"/>
                <w:i/>
                <w:iCs/>
                <w:color w:val="auto"/>
                <w:sz w:val="18"/>
                <w:szCs w:val="18"/>
              </w:rPr>
            </w:pPr>
            <w:r w:rsidRPr="002946A9">
              <w:rPr>
                <w:rFonts w:cs="Calibri"/>
                <w:bCs w:val="0"/>
                <w:i/>
                <w:iCs/>
                <w:color w:val="auto"/>
                <w:sz w:val="18"/>
                <w:szCs w:val="18"/>
              </w:rPr>
              <w:t>Nombre Municipio</w:t>
            </w:r>
          </w:p>
        </w:tc>
        <w:tc>
          <w:tcPr>
            <w:tcW w:w="1134" w:type="dxa"/>
            <w:noWrap/>
            <w:hideMark/>
          </w:tcPr>
          <w:p w14:paraId="2232DCF0" w14:textId="77777777" w:rsidR="00287F1C" w:rsidRPr="002946A9" w:rsidRDefault="00287F1C" w:rsidP="00F024D9">
            <w:pPr>
              <w:cnfStyle w:val="100000000000" w:firstRow="1" w:lastRow="0" w:firstColumn="0" w:lastColumn="0" w:oddVBand="0" w:evenVBand="0" w:oddHBand="0" w:evenHBand="0" w:firstRowFirstColumn="0" w:firstRowLastColumn="0" w:lastRowFirstColumn="0" w:lastRowLastColumn="0"/>
              <w:rPr>
                <w:rFonts w:cs="Calibri"/>
                <w:bCs w:val="0"/>
                <w:color w:val="000000"/>
                <w:sz w:val="18"/>
                <w:szCs w:val="18"/>
              </w:rPr>
            </w:pPr>
            <w:r w:rsidRPr="002946A9">
              <w:rPr>
                <w:rFonts w:cs="Calibri"/>
                <w:bCs w:val="0"/>
                <w:color w:val="000000"/>
                <w:sz w:val="18"/>
                <w:szCs w:val="18"/>
              </w:rPr>
              <w:t>Código Municipio</w:t>
            </w:r>
          </w:p>
        </w:tc>
        <w:tc>
          <w:tcPr>
            <w:tcW w:w="1225" w:type="dxa"/>
            <w:noWrap/>
            <w:hideMark/>
          </w:tcPr>
          <w:p w14:paraId="1452B529" w14:textId="75A2BA70" w:rsidR="00287F1C" w:rsidRPr="002946A9" w:rsidRDefault="00287F1C" w:rsidP="00F024D9">
            <w:pPr>
              <w:cnfStyle w:val="100000000000" w:firstRow="1" w:lastRow="0" w:firstColumn="0" w:lastColumn="0" w:oddVBand="0" w:evenVBand="0" w:oddHBand="0" w:evenHBand="0" w:firstRowFirstColumn="0" w:firstRowLastColumn="0" w:lastRowFirstColumn="0" w:lastRowLastColumn="0"/>
              <w:rPr>
                <w:rFonts w:cs="Calibri"/>
                <w:bCs w:val="0"/>
                <w:color w:val="000000"/>
                <w:sz w:val="18"/>
                <w:szCs w:val="18"/>
              </w:rPr>
            </w:pPr>
            <w:r w:rsidRPr="002946A9">
              <w:rPr>
                <w:rFonts w:cs="Calibri"/>
                <w:bCs w:val="0"/>
                <w:color w:val="000000"/>
                <w:sz w:val="18"/>
                <w:szCs w:val="18"/>
              </w:rPr>
              <w:t>Total</w:t>
            </w:r>
          </w:p>
        </w:tc>
      </w:tr>
      <w:tr w:rsidR="00287F1C" w:rsidRPr="002946A9" w14:paraId="0096A750"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0B0B3D9" w14:textId="77777777" w:rsidR="00287F1C" w:rsidRPr="002946A9" w:rsidRDefault="00287F1C" w:rsidP="00F024D9">
            <w:pPr>
              <w:rPr>
                <w:rFonts w:cs="Calibri"/>
                <w:b w:val="0"/>
                <w:i/>
                <w:iCs/>
                <w:color w:val="auto"/>
                <w:sz w:val="18"/>
                <w:szCs w:val="18"/>
              </w:rPr>
            </w:pPr>
            <w:r w:rsidRPr="002946A9">
              <w:rPr>
                <w:b w:val="0"/>
                <w:i/>
                <w:iCs/>
                <w:color w:val="auto"/>
                <w:sz w:val="18"/>
                <w:szCs w:val="18"/>
              </w:rPr>
              <w:t>Abejorral</w:t>
            </w:r>
          </w:p>
        </w:tc>
        <w:tc>
          <w:tcPr>
            <w:tcW w:w="1134" w:type="dxa"/>
            <w:noWrap/>
          </w:tcPr>
          <w:p w14:paraId="25F07F73"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05002</w:t>
            </w:r>
          </w:p>
        </w:tc>
        <w:tc>
          <w:tcPr>
            <w:tcW w:w="1225" w:type="dxa"/>
            <w:noWrap/>
          </w:tcPr>
          <w:p w14:paraId="16561CAC"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5,603 </w:t>
            </w:r>
          </w:p>
        </w:tc>
      </w:tr>
      <w:tr w:rsidR="00287F1C" w:rsidRPr="002946A9" w14:paraId="7AE02749" w14:textId="77777777" w:rsidTr="00370F28">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E9D5DB6" w14:textId="77777777" w:rsidR="00287F1C" w:rsidRPr="002946A9" w:rsidRDefault="00287F1C" w:rsidP="00F024D9">
            <w:pPr>
              <w:rPr>
                <w:rFonts w:cs="Calibri"/>
                <w:b w:val="0"/>
                <w:i/>
                <w:iCs/>
                <w:color w:val="auto"/>
                <w:sz w:val="18"/>
                <w:szCs w:val="18"/>
              </w:rPr>
            </w:pPr>
            <w:r w:rsidRPr="002946A9">
              <w:rPr>
                <w:b w:val="0"/>
                <w:i/>
                <w:iCs/>
                <w:color w:val="auto"/>
                <w:sz w:val="18"/>
                <w:szCs w:val="18"/>
              </w:rPr>
              <w:t>Abriaquí</w:t>
            </w:r>
          </w:p>
        </w:tc>
        <w:tc>
          <w:tcPr>
            <w:tcW w:w="1134" w:type="dxa"/>
            <w:noWrap/>
          </w:tcPr>
          <w:p w14:paraId="6620EB0E"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05004</w:t>
            </w:r>
          </w:p>
        </w:tc>
        <w:tc>
          <w:tcPr>
            <w:tcW w:w="1225" w:type="dxa"/>
            <w:noWrap/>
          </w:tcPr>
          <w:p w14:paraId="17E6588F"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1,288 </w:t>
            </w:r>
          </w:p>
        </w:tc>
      </w:tr>
      <w:tr w:rsidR="00287F1C" w:rsidRPr="002946A9" w14:paraId="7025F8D7"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04500459" w14:textId="77777777" w:rsidR="00287F1C" w:rsidRPr="002946A9" w:rsidRDefault="00287F1C" w:rsidP="00F024D9">
            <w:pPr>
              <w:rPr>
                <w:rFonts w:cs="Calibri"/>
                <w:b w:val="0"/>
                <w:i/>
                <w:iCs/>
                <w:color w:val="auto"/>
                <w:sz w:val="18"/>
                <w:szCs w:val="18"/>
              </w:rPr>
            </w:pPr>
            <w:r w:rsidRPr="002946A9">
              <w:rPr>
                <w:b w:val="0"/>
                <w:i/>
                <w:iCs/>
                <w:color w:val="auto"/>
                <w:sz w:val="18"/>
                <w:szCs w:val="18"/>
              </w:rPr>
              <w:t>Alejandría</w:t>
            </w:r>
          </w:p>
        </w:tc>
        <w:tc>
          <w:tcPr>
            <w:tcW w:w="1134" w:type="dxa"/>
            <w:noWrap/>
          </w:tcPr>
          <w:p w14:paraId="0CC3824F"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05021</w:t>
            </w:r>
          </w:p>
        </w:tc>
        <w:tc>
          <w:tcPr>
            <w:tcW w:w="1225" w:type="dxa"/>
            <w:noWrap/>
          </w:tcPr>
          <w:p w14:paraId="436AB81D"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1,878 </w:t>
            </w:r>
          </w:p>
        </w:tc>
      </w:tr>
      <w:tr w:rsidR="00287F1C" w:rsidRPr="002946A9" w14:paraId="6A8D6A99"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BC834CE" w14:textId="77777777" w:rsidR="00287F1C" w:rsidRPr="002946A9" w:rsidRDefault="00287F1C" w:rsidP="00F024D9">
            <w:pPr>
              <w:rPr>
                <w:rFonts w:cs="Calibri"/>
                <w:b w:val="0"/>
                <w:i/>
                <w:iCs/>
                <w:color w:val="auto"/>
                <w:sz w:val="18"/>
                <w:szCs w:val="18"/>
              </w:rPr>
            </w:pPr>
            <w:r w:rsidRPr="002946A9">
              <w:rPr>
                <w:b w:val="0"/>
                <w:i/>
                <w:iCs/>
                <w:color w:val="auto"/>
                <w:sz w:val="18"/>
                <w:szCs w:val="18"/>
              </w:rPr>
              <w:t>Amagá</w:t>
            </w:r>
          </w:p>
        </w:tc>
        <w:tc>
          <w:tcPr>
            <w:tcW w:w="1134" w:type="dxa"/>
            <w:noWrap/>
          </w:tcPr>
          <w:p w14:paraId="4A9EC7D5"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05030</w:t>
            </w:r>
          </w:p>
        </w:tc>
        <w:tc>
          <w:tcPr>
            <w:tcW w:w="1225" w:type="dxa"/>
            <w:noWrap/>
          </w:tcPr>
          <w:p w14:paraId="4865201A"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5,946 </w:t>
            </w:r>
          </w:p>
        </w:tc>
      </w:tr>
      <w:tr w:rsidR="00287F1C" w:rsidRPr="002946A9" w14:paraId="4D948117"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4E3F51AA" w14:textId="77777777" w:rsidR="00287F1C" w:rsidRPr="002946A9" w:rsidRDefault="00287F1C" w:rsidP="00F024D9">
            <w:pPr>
              <w:rPr>
                <w:rFonts w:cs="Calibri"/>
                <w:b w:val="0"/>
                <w:i/>
                <w:iCs/>
                <w:color w:val="auto"/>
                <w:sz w:val="18"/>
                <w:szCs w:val="18"/>
              </w:rPr>
            </w:pPr>
            <w:r w:rsidRPr="002946A9">
              <w:rPr>
                <w:b w:val="0"/>
                <w:i/>
                <w:iCs/>
                <w:color w:val="auto"/>
                <w:sz w:val="18"/>
                <w:szCs w:val="18"/>
              </w:rPr>
              <w:t>Amalfi</w:t>
            </w:r>
          </w:p>
        </w:tc>
        <w:tc>
          <w:tcPr>
            <w:tcW w:w="1134" w:type="dxa"/>
            <w:noWrap/>
          </w:tcPr>
          <w:p w14:paraId="6E2CB7AE"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05031</w:t>
            </w:r>
          </w:p>
        </w:tc>
        <w:tc>
          <w:tcPr>
            <w:tcW w:w="1225" w:type="dxa"/>
            <w:noWrap/>
          </w:tcPr>
          <w:p w14:paraId="448F6EA5"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12,105 </w:t>
            </w:r>
          </w:p>
        </w:tc>
      </w:tr>
      <w:tr w:rsidR="00287F1C" w:rsidRPr="002946A9" w14:paraId="1626AC2E"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5291E54" w14:textId="77777777" w:rsidR="00287F1C" w:rsidRPr="002946A9" w:rsidRDefault="00287F1C" w:rsidP="00F024D9">
            <w:pPr>
              <w:rPr>
                <w:rFonts w:cs="Calibri"/>
                <w:b w:val="0"/>
                <w:i/>
                <w:iCs/>
                <w:color w:val="auto"/>
                <w:sz w:val="18"/>
                <w:szCs w:val="18"/>
              </w:rPr>
            </w:pPr>
            <w:r w:rsidRPr="002946A9">
              <w:rPr>
                <w:b w:val="0"/>
                <w:i/>
                <w:iCs/>
                <w:color w:val="auto"/>
                <w:sz w:val="18"/>
                <w:szCs w:val="18"/>
              </w:rPr>
              <w:t>Andes</w:t>
            </w:r>
          </w:p>
        </w:tc>
        <w:tc>
          <w:tcPr>
            <w:tcW w:w="1134" w:type="dxa"/>
            <w:noWrap/>
          </w:tcPr>
          <w:p w14:paraId="257D6797"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05034</w:t>
            </w:r>
          </w:p>
        </w:tc>
        <w:tc>
          <w:tcPr>
            <w:tcW w:w="1225" w:type="dxa"/>
            <w:noWrap/>
          </w:tcPr>
          <w:p w14:paraId="56FBD4FC"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11,148 </w:t>
            </w:r>
          </w:p>
        </w:tc>
      </w:tr>
      <w:tr w:rsidR="00287F1C" w:rsidRPr="002946A9" w14:paraId="21260AA9"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64A81203" w14:textId="77777777" w:rsidR="00287F1C" w:rsidRPr="002946A9" w:rsidRDefault="00287F1C" w:rsidP="00F024D9">
            <w:pPr>
              <w:rPr>
                <w:rFonts w:cs="Calibri"/>
                <w:b w:val="0"/>
                <w:i/>
                <w:iCs/>
                <w:color w:val="auto"/>
                <w:sz w:val="18"/>
                <w:szCs w:val="18"/>
              </w:rPr>
            </w:pPr>
            <w:r w:rsidRPr="002946A9">
              <w:rPr>
                <w:b w:val="0"/>
                <w:i/>
                <w:iCs/>
                <w:color w:val="auto"/>
                <w:sz w:val="18"/>
                <w:szCs w:val="18"/>
              </w:rPr>
              <w:t>Angelópolis</w:t>
            </w:r>
          </w:p>
        </w:tc>
        <w:tc>
          <w:tcPr>
            <w:tcW w:w="1134" w:type="dxa"/>
            <w:noWrap/>
          </w:tcPr>
          <w:p w14:paraId="1EC7EADD"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05036</w:t>
            </w:r>
          </w:p>
        </w:tc>
        <w:tc>
          <w:tcPr>
            <w:tcW w:w="1225" w:type="dxa"/>
            <w:noWrap/>
          </w:tcPr>
          <w:p w14:paraId="7689D7BB"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2,074 </w:t>
            </w:r>
          </w:p>
        </w:tc>
      </w:tr>
      <w:tr w:rsidR="00287F1C" w:rsidRPr="002946A9" w14:paraId="447A5EC7"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4B73B442" w14:textId="77777777" w:rsidR="00287F1C" w:rsidRPr="002946A9" w:rsidRDefault="00287F1C" w:rsidP="00F024D9">
            <w:pPr>
              <w:rPr>
                <w:rFonts w:cs="Calibri"/>
                <w:b w:val="0"/>
                <w:i/>
                <w:iCs/>
                <w:color w:val="auto"/>
                <w:sz w:val="18"/>
                <w:szCs w:val="18"/>
              </w:rPr>
            </w:pPr>
            <w:r w:rsidRPr="002946A9">
              <w:rPr>
                <w:b w:val="0"/>
                <w:i/>
                <w:iCs/>
                <w:color w:val="auto"/>
                <w:sz w:val="18"/>
                <w:szCs w:val="18"/>
              </w:rPr>
              <w:t>Angostura</w:t>
            </w:r>
          </w:p>
        </w:tc>
        <w:tc>
          <w:tcPr>
            <w:tcW w:w="1134" w:type="dxa"/>
            <w:noWrap/>
          </w:tcPr>
          <w:p w14:paraId="30D73107"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05038</w:t>
            </w:r>
          </w:p>
        </w:tc>
        <w:tc>
          <w:tcPr>
            <w:tcW w:w="1225" w:type="dxa"/>
            <w:noWrap/>
          </w:tcPr>
          <w:p w14:paraId="4A80A658"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6,142 </w:t>
            </w:r>
          </w:p>
        </w:tc>
      </w:tr>
      <w:tr w:rsidR="00287F1C" w:rsidRPr="002946A9" w14:paraId="73588502"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592C5D8" w14:textId="77777777" w:rsidR="00287F1C" w:rsidRPr="002946A9" w:rsidRDefault="00287F1C" w:rsidP="00F024D9">
            <w:pPr>
              <w:rPr>
                <w:rFonts w:cs="Calibri"/>
                <w:b w:val="0"/>
                <w:i/>
                <w:iCs/>
                <w:color w:val="auto"/>
                <w:sz w:val="18"/>
                <w:szCs w:val="18"/>
              </w:rPr>
            </w:pPr>
            <w:r w:rsidRPr="002946A9">
              <w:rPr>
                <w:b w:val="0"/>
                <w:i/>
                <w:iCs/>
                <w:color w:val="auto"/>
                <w:sz w:val="18"/>
                <w:szCs w:val="18"/>
              </w:rPr>
              <w:t>Anorí</w:t>
            </w:r>
          </w:p>
        </w:tc>
        <w:tc>
          <w:tcPr>
            <w:tcW w:w="1134" w:type="dxa"/>
            <w:noWrap/>
          </w:tcPr>
          <w:p w14:paraId="0ABCC93D"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05040</w:t>
            </w:r>
          </w:p>
        </w:tc>
        <w:tc>
          <w:tcPr>
            <w:tcW w:w="1225" w:type="dxa"/>
            <w:noWrap/>
          </w:tcPr>
          <w:p w14:paraId="0780CD81"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9,325 </w:t>
            </w:r>
          </w:p>
        </w:tc>
      </w:tr>
      <w:tr w:rsidR="00287F1C" w:rsidRPr="002946A9" w14:paraId="190F8AB3"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5F391F1" w14:textId="77777777" w:rsidR="00287F1C" w:rsidRPr="002946A9" w:rsidRDefault="00287F1C" w:rsidP="00F024D9">
            <w:pPr>
              <w:rPr>
                <w:rFonts w:cs="Calibri"/>
                <w:b w:val="0"/>
                <w:i/>
                <w:iCs/>
                <w:color w:val="auto"/>
                <w:sz w:val="18"/>
                <w:szCs w:val="18"/>
              </w:rPr>
            </w:pPr>
            <w:r w:rsidRPr="002946A9">
              <w:rPr>
                <w:b w:val="0"/>
                <w:i/>
                <w:iCs/>
                <w:color w:val="auto"/>
                <w:sz w:val="18"/>
                <w:szCs w:val="18"/>
              </w:rPr>
              <w:t>Anzá</w:t>
            </w:r>
          </w:p>
        </w:tc>
        <w:tc>
          <w:tcPr>
            <w:tcW w:w="1134" w:type="dxa"/>
            <w:noWrap/>
          </w:tcPr>
          <w:p w14:paraId="0C3299E7"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05044</w:t>
            </w:r>
          </w:p>
        </w:tc>
        <w:tc>
          <w:tcPr>
            <w:tcW w:w="1225" w:type="dxa"/>
            <w:noWrap/>
          </w:tcPr>
          <w:p w14:paraId="0C46F41C"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1,342 </w:t>
            </w:r>
          </w:p>
        </w:tc>
      </w:tr>
      <w:tr w:rsidR="00287F1C" w:rsidRPr="002946A9" w14:paraId="4AF14089"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0448B52C" w14:textId="77777777" w:rsidR="00287F1C" w:rsidRPr="002946A9" w:rsidRDefault="00287F1C" w:rsidP="00F024D9">
            <w:pPr>
              <w:rPr>
                <w:rFonts w:cs="Calibri"/>
                <w:b w:val="0"/>
                <w:i/>
                <w:iCs/>
                <w:color w:val="auto"/>
                <w:sz w:val="18"/>
                <w:szCs w:val="18"/>
              </w:rPr>
            </w:pPr>
            <w:r w:rsidRPr="002946A9">
              <w:rPr>
                <w:b w:val="0"/>
                <w:i/>
                <w:iCs/>
                <w:color w:val="auto"/>
                <w:sz w:val="18"/>
                <w:szCs w:val="18"/>
              </w:rPr>
              <w:t>Apartadó</w:t>
            </w:r>
          </w:p>
        </w:tc>
        <w:tc>
          <w:tcPr>
            <w:tcW w:w="1134" w:type="dxa"/>
            <w:noWrap/>
          </w:tcPr>
          <w:p w14:paraId="745AF8AD"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05045</w:t>
            </w:r>
          </w:p>
        </w:tc>
        <w:tc>
          <w:tcPr>
            <w:tcW w:w="1225" w:type="dxa"/>
            <w:noWrap/>
          </w:tcPr>
          <w:p w14:paraId="6102FEAE"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28,722 </w:t>
            </w:r>
          </w:p>
        </w:tc>
      </w:tr>
      <w:tr w:rsidR="00287F1C" w:rsidRPr="002946A9" w14:paraId="2400A5BB"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445B41E" w14:textId="77777777" w:rsidR="00287F1C" w:rsidRPr="002946A9" w:rsidRDefault="00287F1C" w:rsidP="00F024D9">
            <w:pPr>
              <w:rPr>
                <w:rFonts w:cs="Calibri"/>
                <w:b w:val="0"/>
                <w:i/>
                <w:iCs/>
                <w:color w:val="auto"/>
                <w:sz w:val="18"/>
                <w:szCs w:val="18"/>
              </w:rPr>
            </w:pPr>
            <w:r w:rsidRPr="002946A9">
              <w:rPr>
                <w:b w:val="0"/>
                <w:i/>
                <w:iCs/>
                <w:color w:val="auto"/>
                <w:sz w:val="18"/>
                <w:szCs w:val="18"/>
              </w:rPr>
              <w:t>Arboletes</w:t>
            </w:r>
          </w:p>
        </w:tc>
        <w:tc>
          <w:tcPr>
            <w:tcW w:w="1134" w:type="dxa"/>
            <w:noWrap/>
          </w:tcPr>
          <w:p w14:paraId="211BAF67"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05051</w:t>
            </w:r>
          </w:p>
        </w:tc>
        <w:tc>
          <w:tcPr>
            <w:tcW w:w="1225" w:type="dxa"/>
            <w:noWrap/>
          </w:tcPr>
          <w:p w14:paraId="3E24C75A"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24,560 </w:t>
            </w:r>
          </w:p>
        </w:tc>
      </w:tr>
      <w:tr w:rsidR="00287F1C" w:rsidRPr="002946A9" w14:paraId="06A56B37"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47E2CF33" w14:textId="77777777" w:rsidR="00287F1C" w:rsidRPr="002946A9" w:rsidRDefault="00287F1C" w:rsidP="00F024D9">
            <w:pPr>
              <w:rPr>
                <w:rFonts w:cs="Calibri"/>
                <w:b w:val="0"/>
                <w:i/>
                <w:iCs/>
                <w:color w:val="auto"/>
                <w:sz w:val="18"/>
                <w:szCs w:val="18"/>
              </w:rPr>
            </w:pPr>
            <w:r w:rsidRPr="002946A9">
              <w:rPr>
                <w:b w:val="0"/>
                <w:i/>
                <w:iCs/>
                <w:color w:val="auto"/>
                <w:sz w:val="18"/>
                <w:szCs w:val="18"/>
              </w:rPr>
              <w:t>Argelia</w:t>
            </w:r>
          </w:p>
        </w:tc>
        <w:tc>
          <w:tcPr>
            <w:tcW w:w="1134" w:type="dxa"/>
            <w:noWrap/>
          </w:tcPr>
          <w:p w14:paraId="6333B051"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05055</w:t>
            </w:r>
          </w:p>
        </w:tc>
        <w:tc>
          <w:tcPr>
            <w:tcW w:w="1225" w:type="dxa"/>
            <w:noWrap/>
          </w:tcPr>
          <w:p w14:paraId="50FFF6A1"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2,326 </w:t>
            </w:r>
          </w:p>
        </w:tc>
      </w:tr>
      <w:tr w:rsidR="00287F1C" w:rsidRPr="002946A9" w14:paraId="2EAF3844"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130EBF9A" w14:textId="62491D38" w:rsidR="00287F1C" w:rsidRPr="002946A9" w:rsidRDefault="00287F1C" w:rsidP="00F024D9">
            <w:pPr>
              <w:rPr>
                <w:rFonts w:cs="Calibri"/>
                <w:b w:val="0"/>
                <w:i/>
                <w:iCs/>
                <w:color w:val="auto"/>
                <w:sz w:val="18"/>
                <w:szCs w:val="18"/>
              </w:rPr>
            </w:pPr>
            <w:r w:rsidRPr="002946A9">
              <w:rPr>
                <w:b w:val="0"/>
                <w:i/>
                <w:iCs/>
                <w:color w:val="auto"/>
                <w:sz w:val="18"/>
                <w:szCs w:val="18"/>
              </w:rPr>
              <w:t>Armenia (Antioquia)</w:t>
            </w:r>
          </w:p>
        </w:tc>
        <w:tc>
          <w:tcPr>
            <w:tcW w:w="1134" w:type="dxa"/>
            <w:noWrap/>
          </w:tcPr>
          <w:p w14:paraId="37D92746"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05059</w:t>
            </w:r>
          </w:p>
        </w:tc>
        <w:tc>
          <w:tcPr>
            <w:tcW w:w="1225" w:type="dxa"/>
            <w:noWrap/>
          </w:tcPr>
          <w:p w14:paraId="20C48857"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166 </w:t>
            </w:r>
          </w:p>
        </w:tc>
      </w:tr>
      <w:tr w:rsidR="00287F1C" w:rsidRPr="002946A9" w14:paraId="7B34664D"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130E4732" w14:textId="77777777" w:rsidR="00287F1C" w:rsidRPr="002946A9" w:rsidRDefault="00287F1C" w:rsidP="00F024D9">
            <w:pPr>
              <w:rPr>
                <w:rFonts w:cs="Calibri"/>
                <w:b w:val="0"/>
                <w:i/>
                <w:iCs/>
                <w:color w:val="auto"/>
                <w:sz w:val="18"/>
                <w:szCs w:val="18"/>
              </w:rPr>
            </w:pPr>
            <w:r w:rsidRPr="002946A9">
              <w:rPr>
                <w:b w:val="0"/>
                <w:i/>
                <w:iCs/>
                <w:color w:val="auto"/>
                <w:sz w:val="18"/>
                <w:szCs w:val="18"/>
              </w:rPr>
              <w:t>Ayapel</w:t>
            </w:r>
          </w:p>
        </w:tc>
        <w:tc>
          <w:tcPr>
            <w:tcW w:w="1134" w:type="dxa"/>
            <w:noWrap/>
          </w:tcPr>
          <w:p w14:paraId="25CE0F60"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23068</w:t>
            </w:r>
          </w:p>
        </w:tc>
        <w:tc>
          <w:tcPr>
            <w:tcW w:w="1225" w:type="dxa"/>
            <w:noWrap/>
          </w:tcPr>
          <w:p w14:paraId="6D3090EB"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216 </w:t>
            </w:r>
          </w:p>
        </w:tc>
      </w:tr>
      <w:tr w:rsidR="00287F1C" w:rsidRPr="002946A9" w14:paraId="4F4054F8"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4459D92" w14:textId="77777777" w:rsidR="00287F1C" w:rsidRPr="002946A9" w:rsidRDefault="00287F1C" w:rsidP="00F024D9">
            <w:pPr>
              <w:rPr>
                <w:rFonts w:cs="Calibri"/>
                <w:b w:val="0"/>
                <w:i/>
                <w:iCs/>
                <w:color w:val="auto"/>
                <w:sz w:val="18"/>
                <w:szCs w:val="18"/>
              </w:rPr>
            </w:pPr>
            <w:r w:rsidRPr="002946A9">
              <w:rPr>
                <w:b w:val="0"/>
                <w:i/>
                <w:iCs/>
                <w:color w:val="auto"/>
                <w:sz w:val="18"/>
                <w:szCs w:val="18"/>
              </w:rPr>
              <w:t>Barbosa</w:t>
            </w:r>
          </w:p>
        </w:tc>
        <w:tc>
          <w:tcPr>
            <w:tcW w:w="1134" w:type="dxa"/>
            <w:noWrap/>
          </w:tcPr>
          <w:p w14:paraId="1DBABEC9"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05079</w:t>
            </w:r>
          </w:p>
        </w:tc>
        <w:tc>
          <w:tcPr>
            <w:tcW w:w="1225" w:type="dxa"/>
            <w:noWrap/>
          </w:tcPr>
          <w:p w14:paraId="2035E935"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30,873 </w:t>
            </w:r>
          </w:p>
        </w:tc>
      </w:tr>
      <w:tr w:rsidR="00287F1C" w:rsidRPr="002946A9" w14:paraId="309BCE96"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2088934" w14:textId="77777777" w:rsidR="00287F1C" w:rsidRPr="002946A9" w:rsidRDefault="00287F1C" w:rsidP="00F024D9">
            <w:pPr>
              <w:rPr>
                <w:rFonts w:cs="Calibri"/>
                <w:b w:val="0"/>
                <w:i/>
                <w:iCs/>
                <w:color w:val="auto"/>
                <w:sz w:val="18"/>
                <w:szCs w:val="18"/>
              </w:rPr>
            </w:pPr>
            <w:r w:rsidRPr="002946A9">
              <w:rPr>
                <w:b w:val="0"/>
                <w:i/>
                <w:iCs/>
                <w:color w:val="auto"/>
                <w:sz w:val="18"/>
                <w:szCs w:val="18"/>
              </w:rPr>
              <w:t>Bello</w:t>
            </w:r>
          </w:p>
        </w:tc>
        <w:tc>
          <w:tcPr>
            <w:tcW w:w="1134" w:type="dxa"/>
            <w:noWrap/>
          </w:tcPr>
          <w:p w14:paraId="4C848B4C"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05088</w:t>
            </w:r>
          </w:p>
        </w:tc>
        <w:tc>
          <w:tcPr>
            <w:tcW w:w="1225" w:type="dxa"/>
            <w:noWrap/>
          </w:tcPr>
          <w:p w14:paraId="13E0C2BF"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45,996 </w:t>
            </w:r>
          </w:p>
        </w:tc>
      </w:tr>
      <w:tr w:rsidR="00287F1C" w:rsidRPr="002946A9" w14:paraId="5986D39C"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645128FB" w14:textId="77777777" w:rsidR="00287F1C" w:rsidRPr="002946A9" w:rsidRDefault="00287F1C" w:rsidP="00F024D9">
            <w:pPr>
              <w:rPr>
                <w:rFonts w:cs="Calibri"/>
                <w:b w:val="0"/>
                <w:i/>
                <w:iCs/>
                <w:color w:val="auto"/>
                <w:sz w:val="18"/>
                <w:szCs w:val="18"/>
              </w:rPr>
            </w:pPr>
            <w:r w:rsidRPr="002946A9">
              <w:rPr>
                <w:b w:val="0"/>
                <w:i/>
                <w:iCs/>
                <w:color w:val="auto"/>
                <w:sz w:val="18"/>
                <w:szCs w:val="18"/>
              </w:rPr>
              <w:t>Belmira</w:t>
            </w:r>
          </w:p>
        </w:tc>
        <w:tc>
          <w:tcPr>
            <w:tcW w:w="1134" w:type="dxa"/>
            <w:noWrap/>
          </w:tcPr>
          <w:p w14:paraId="189E12E2"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05086</w:t>
            </w:r>
          </w:p>
        </w:tc>
        <w:tc>
          <w:tcPr>
            <w:tcW w:w="1225" w:type="dxa"/>
            <w:noWrap/>
          </w:tcPr>
          <w:p w14:paraId="03471896"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739 </w:t>
            </w:r>
          </w:p>
        </w:tc>
      </w:tr>
      <w:tr w:rsidR="00287F1C" w:rsidRPr="002946A9" w14:paraId="5F7FB532"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470EC74" w14:textId="77777777" w:rsidR="00287F1C" w:rsidRPr="002946A9" w:rsidRDefault="00287F1C" w:rsidP="00F024D9">
            <w:pPr>
              <w:rPr>
                <w:rFonts w:cs="Calibri"/>
                <w:b w:val="0"/>
                <w:i/>
                <w:iCs/>
                <w:color w:val="auto"/>
                <w:sz w:val="18"/>
                <w:szCs w:val="18"/>
              </w:rPr>
            </w:pPr>
            <w:r w:rsidRPr="002946A9">
              <w:rPr>
                <w:b w:val="0"/>
                <w:i/>
                <w:iCs/>
                <w:color w:val="auto"/>
                <w:sz w:val="18"/>
                <w:szCs w:val="18"/>
              </w:rPr>
              <w:t>Betania</w:t>
            </w:r>
          </w:p>
        </w:tc>
        <w:tc>
          <w:tcPr>
            <w:tcW w:w="1134" w:type="dxa"/>
            <w:noWrap/>
          </w:tcPr>
          <w:p w14:paraId="1B2BF463"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05091</w:t>
            </w:r>
          </w:p>
        </w:tc>
        <w:tc>
          <w:tcPr>
            <w:tcW w:w="1225" w:type="dxa"/>
            <w:noWrap/>
          </w:tcPr>
          <w:p w14:paraId="004B3011"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1,445 </w:t>
            </w:r>
          </w:p>
        </w:tc>
      </w:tr>
      <w:tr w:rsidR="00287F1C" w:rsidRPr="002946A9" w14:paraId="06EC935B"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415721C5" w14:textId="77777777" w:rsidR="00287F1C" w:rsidRPr="002946A9" w:rsidRDefault="00287F1C" w:rsidP="00F024D9">
            <w:pPr>
              <w:rPr>
                <w:rFonts w:cs="Calibri"/>
                <w:b w:val="0"/>
                <w:i/>
                <w:iCs/>
                <w:color w:val="auto"/>
                <w:sz w:val="18"/>
                <w:szCs w:val="18"/>
              </w:rPr>
            </w:pPr>
            <w:r w:rsidRPr="002946A9">
              <w:rPr>
                <w:b w:val="0"/>
                <w:i/>
                <w:iCs/>
                <w:color w:val="auto"/>
                <w:sz w:val="18"/>
                <w:szCs w:val="18"/>
              </w:rPr>
              <w:t>Betulia</w:t>
            </w:r>
          </w:p>
        </w:tc>
        <w:tc>
          <w:tcPr>
            <w:tcW w:w="1134" w:type="dxa"/>
            <w:noWrap/>
          </w:tcPr>
          <w:p w14:paraId="46B76C4A"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05093</w:t>
            </w:r>
          </w:p>
        </w:tc>
        <w:tc>
          <w:tcPr>
            <w:tcW w:w="1225" w:type="dxa"/>
            <w:noWrap/>
          </w:tcPr>
          <w:p w14:paraId="05C2380A"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6,304 </w:t>
            </w:r>
          </w:p>
        </w:tc>
      </w:tr>
      <w:tr w:rsidR="00287F1C" w:rsidRPr="002946A9" w14:paraId="5E06AF25"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CDDB49E" w14:textId="77777777" w:rsidR="00287F1C" w:rsidRPr="002946A9" w:rsidRDefault="00287F1C" w:rsidP="00F024D9">
            <w:pPr>
              <w:rPr>
                <w:rFonts w:cs="Calibri"/>
                <w:b w:val="0"/>
                <w:i/>
                <w:iCs/>
                <w:color w:val="auto"/>
                <w:sz w:val="18"/>
                <w:szCs w:val="18"/>
              </w:rPr>
            </w:pPr>
            <w:r w:rsidRPr="002946A9">
              <w:rPr>
                <w:b w:val="0"/>
                <w:i/>
                <w:iCs/>
                <w:color w:val="auto"/>
                <w:sz w:val="18"/>
                <w:szCs w:val="18"/>
              </w:rPr>
              <w:t>Briceño</w:t>
            </w:r>
          </w:p>
        </w:tc>
        <w:tc>
          <w:tcPr>
            <w:tcW w:w="1134" w:type="dxa"/>
            <w:noWrap/>
          </w:tcPr>
          <w:p w14:paraId="2066F1D5"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05107</w:t>
            </w:r>
          </w:p>
        </w:tc>
        <w:tc>
          <w:tcPr>
            <w:tcW w:w="1225" w:type="dxa"/>
            <w:noWrap/>
          </w:tcPr>
          <w:p w14:paraId="28584974"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4,174 </w:t>
            </w:r>
          </w:p>
        </w:tc>
      </w:tr>
      <w:tr w:rsidR="00287F1C" w:rsidRPr="002946A9" w14:paraId="16D49ECD"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417A0DA3" w14:textId="77777777" w:rsidR="00287F1C" w:rsidRPr="002946A9" w:rsidRDefault="00287F1C" w:rsidP="00F024D9">
            <w:pPr>
              <w:rPr>
                <w:rFonts w:cs="Calibri"/>
                <w:b w:val="0"/>
                <w:i/>
                <w:iCs/>
                <w:color w:val="auto"/>
                <w:sz w:val="18"/>
                <w:szCs w:val="18"/>
              </w:rPr>
            </w:pPr>
            <w:r w:rsidRPr="002946A9">
              <w:rPr>
                <w:b w:val="0"/>
                <w:i/>
                <w:iCs/>
                <w:color w:val="auto"/>
                <w:sz w:val="18"/>
                <w:szCs w:val="18"/>
              </w:rPr>
              <w:t>Buriticá</w:t>
            </w:r>
          </w:p>
        </w:tc>
        <w:tc>
          <w:tcPr>
            <w:tcW w:w="1134" w:type="dxa"/>
            <w:noWrap/>
          </w:tcPr>
          <w:p w14:paraId="0269EEF9"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05113</w:t>
            </w:r>
          </w:p>
        </w:tc>
        <w:tc>
          <w:tcPr>
            <w:tcW w:w="1225" w:type="dxa"/>
            <w:noWrap/>
          </w:tcPr>
          <w:p w14:paraId="3501883F"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3,394 </w:t>
            </w:r>
          </w:p>
        </w:tc>
      </w:tr>
      <w:tr w:rsidR="00287F1C" w:rsidRPr="002946A9" w14:paraId="0D8D3464"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5DCD4A5" w14:textId="77777777" w:rsidR="00287F1C" w:rsidRPr="002946A9" w:rsidRDefault="00287F1C" w:rsidP="00F024D9">
            <w:pPr>
              <w:rPr>
                <w:rFonts w:cs="Calibri"/>
                <w:b w:val="0"/>
                <w:i/>
                <w:iCs/>
                <w:color w:val="auto"/>
                <w:sz w:val="18"/>
                <w:szCs w:val="18"/>
              </w:rPr>
            </w:pPr>
            <w:r w:rsidRPr="002946A9">
              <w:rPr>
                <w:b w:val="0"/>
                <w:i/>
                <w:iCs/>
                <w:color w:val="auto"/>
                <w:sz w:val="18"/>
                <w:szCs w:val="18"/>
              </w:rPr>
              <w:t>Cáceres</w:t>
            </w:r>
          </w:p>
        </w:tc>
        <w:tc>
          <w:tcPr>
            <w:tcW w:w="1134" w:type="dxa"/>
            <w:noWrap/>
          </w:tcPr>
          <w:p w14:paraId="33D6A44B"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05120</w:t>
            </w:r>
          </w:p>
        </w:tc>
        <w:tc>
          <w:tcPr>
            <w:tcW w:w="1225" w:type="dxa"/>
            <w:noWrap/>
          </w:tcPr>
          <w:p w14:paraId="4C69AFE1"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16,682 </w:t>
            </w:r>
          </w:p>
        </w:tc>
      </w:tr>
      <w:tr w:rsidR="00287F1C" w:rsidRPr="002946A9" w14:paraId="2D583A63"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D1F9825" w14:textId="77777777" w:rsidR="00287F1C" w:rsidRPr="002946A9" w:rsidRDefault="00287F1C" w:rsidP="00F024D9">
            <w:pPr>
              <w:rPr>
                <w:rFonts w:cs="Calibri"/>
                <w:b w:val="0"/>
                <w:i/>
                <w:iCs/>
                <w:color w:val="auto"/>
                <w:sz w:val="18"/>
                <w:szCs w:val="18"/>
              </w:rPr>
            </w:pPr>
            <w:r w:rsidRPr="002946A9">
              <w:rPr>
                <w:b w:val="0"/>
                <w:i/>
                <w:iCs/>
                <w:color w:val="auto"/>
                <w:sz w:val="18"/>
                <w:szCs w:val="18"/>
              </w:rPr>
              <w:t>Caicedo</w:t>
            </w:r>
          </w:p>
        </w:tc>
        <w:tc>
          <w:tcPr>
            <w:tcW w:w="1134" w:type="dxa"/>
            <w:noWrap/>
          </w:tcPr>
          <w:p w14:paraId="401CD002"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05125</w:t>
            </w:r>
          </w:p>
        </w:tc>
        <w:tc>
          <w:tcPr>
            <w:tcW w:w="1225" w:type="dxa"/>
            <w:noWrap/>
          </w:tcPr>
          <w:p w14:paraId="2C64AD47"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24,146 </w:t>
            </w:r>
          </w:p>
        </w:tc>
      </w:tr>
      <w:tr w:rsidR="00287F1C" w:rsidRPr="002946A9" w14:paraId="42B10CD8"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CC4A748" w14:textId="77777777" w:rsidR="00287F1C" w:rsidRPr="002946A9" w:rsidRDefault="00287F1C" w:rsidP="00F024D9">
            <w:pPr>
              <w:rPr>
                <w:rFonts w:cs="Calibri"/>
                <w:b w:val="0"/>
                <w:i/>
                <w:iCs/>
                <w:color w:val="auto"/>
                <w:sz w:val="18"/>
                <w:szCs w:val="18"/>
              </w:rPr>
            </w:pPr>
            <w:r w:rsidRPr="002946A9">
              <w:rPr>
                <w:b w:val="0"/>
                <w:i/>
                <w:iCs/>
                <w:color w:val="auto"/>
                <w:sz w:val="18"/>
                <w:szCs w:val="18"/>
              </w:rPr>
              <w:t>Caldas</w:t>
            </w:r>
          </w:p>
        </w:tc>
        <w:tc>
          <w:tcPr>
            <w:tcW w:w="1134" w:type="dxa"/>
            <w:noWrap/>
          </w:tcPr>
          <w:p w14:paraId="0F523B4B"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05129</w:t>
            </w:r>
          </w:p>
        </w:tc>
        <w:tc>
          <w:tcPr>
            <w:tcW w:w="1225" w:type="dxa"/>
            <w:noWrap/>
          </w:tcPr>
          <w:p w14:paraId="60B96052"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40,354 </w:t>
            </w:r>
          </w:p>
        </w:tc>
      </w:tr>
      <w:tr w:rsidR="00287F1C" w:rsidRPr="002946A9" w14:paraId="57358686"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1D469941" w14:textId="77777777" w:rsidR="00287F1C" w:rsidRPr="002946A9" w:rsidRDefault="00287F1C" w:rsidP="00F024D9">
            <w:pPr>
              <w:rPr>
                <w:rFonts w:cs="Calibri"/>
                <w:b w:val="0"/>
                <w:i/>
                <w:iCs/>
                <w:color w:val="auto"/>
                <w:sz w:val="18"/>
                <w:szCs w:val="18"/>
              </w:rPr>
            </w:pPr>
            <w:r w:rsidRPr="002946A9">
              <w:rPr>
                <w:b w:val="0"/>
                <w:i/>
                <w:iCs/>
                <w:color w:val="auto"/>
                <w:sz w:val="18"/>
                <w:szCs w:val="18"/>
              </w:rPr>
              <w:t>Campamento</w:t>
            </w:r>
          </w:p>
        </w:tc>
        <w:tc>
          <w:tcPr>
            <w:tcW w:w="1134" w:type="dxa"/>
            <w:noWrap/>
          </w:tcPr>
          <w:p w14:paraId="387223D6"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05134</w:t>
            </w:r>
          </w:p>
        </w:tc>
        <w:tc>
          <w:tcPr>
            <w:tcW w:w="1225" w:type="dxa"/>
            <w:noWrap/>
          </w:tcPr>
          <w:p w14:paraId="0DD59EB0"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3,713 </w:t>
            </w:r>
          </w:p>
        </w:tc>
      </w:tr>
      <w:tr w:rsidR="00287F1C" w:rsidRPr="002946A9" w14:paraId="31094DD0"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B76B28C" w14:textId="77777777" w:rsidR="00287F1C" w:rsidRPr="002946A9" w:rsidRDefault="00287F1C" w:rsidP="00F024D9">
            <w:pPr>
              <w:rPr>
                <w:rFonts w:cs="Calibri"/>
                <w:b w:val="0"/>
                <w:i/>
                <w:iCs/>
                <w:color w:val="auto"/>
                <w:sz w:val="18"/>
                <w:szCs w:val="18"/>
              </w:rPr>
            </w:pPr>
            <w:r w:rsidRPr="002946A9">
              <w:rPr>
                <w:b w:val="0"/>
                <w:i/>
                <w:iCs/>
                <w:color w:val="auto"/>
                <w:sz w:val="18"/>
                <w:szCs w:val="18"/>
              </w:rPr>
              <w:t>Cañasgordas</w:t>
            </w:r>
          </w:p>
        </w:tc>
        <w:tc>
          <w:tcPr>
            <w:tcW w:w="1134" w:type="dxa"/>
            <w:noWrap/>
          </w:tcPr>
          <w:p w14:paraId="53AC85F7"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05138</w:t>
            </w:r>
          </w:p>
        </w:tc>
        <w:tc>
          <w:tcPr>
            <w:tcW w:w="1225" w:type="dxa"/>
            <w:noWrap/>
          </w:tcPr>
          <w:p w14:paraId="1C9C3E28"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13,080 </w:t>
            </w:r>
          </w:p>
        </w:tc>
      </w:tr>
      <w:tr w:rsidR="00287F1C" w:rsidRPr="002946A9" w14:paraId="1878A6B6"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4CFAF0C4" w14:textId="77777777" w:rsidR="00287F1C" w:rsidRPr="002946A9" w:rsidRDefault="00287F1C" w:rsidP="00F024D9">
            <w:pPr>
              <w:rPr>
                <w:rFonts w:cs="Calibri"/>
                <w:b w:val="0"/>
                <w:i/>
                <w:iCs/>
                <w:color w:val="auto"/>
                <w:sz w:val="18"/>
                <w:szCs w:val="18"/>
              </w:rPr>
            </w:pPr>
            <w:r w:rsidRPr="002946A9">
              <w:rPr>
                <w:b w:val="0"/>
                <w:i/>
                <w:iCs/>
                <w:color w:val="auto"/>
                <w:sz w:val="18"/>
                <w:szCs w:val="18"/>
              </w:rPr>
              <w:t>Caracolí</w:t>
            </w:r>
          </w:p>
        </w:tc>
        <w:tc>
          <w:tcPr>
            <w:tcW w:w="1134" w:type="dxa"/>
            <w:noWrap/>
          </w:tcPr>
          <w:p w14:paraId="51F35EA0"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05142</w:t>
            </w:r>
          </w:p>
        </w:tc>
        <w:tc>
          <w:tcPr>
            <w:tcW w:w="1225" w:type="dxa"/>
            <w:noWrap/>
          </w:tcPr>
          <w:p w14:paraId="00820EA6"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8,011 </w:t>
            </w:r>
          </w:p>
        </w:tc>
      </w:tr>
      <w:tr w:rsidR="00287F1C" w:rsidRPr="002946A9" w14:paraId="139AF322"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67A054A1" w14:textId="77777777" w:rsidR="00287F1C" w:rsidRPr="002946A9" w:rsidRDefault="00287F1C" w:rsidP="00F024D9">
            <w:pPr>
              <w:rPr>
                <w:rFonts w:cs="Calibri"/>
                <w:b w:val="0"/>
                <w:i/>
                <w:iCs/>
                <w:color w:val="auto"/>
                <w:sz w:val="18"/>
                <w:szCs w:val="18"/>
              </w:rPr>
            </w:pPr>
            <w:r w:rsidRPr="002946A9">
              <w:rPr>
                <w:b w:val="0"/>
                <w:i/>
                <w:iCs/>
                <w:color w:val="auto"/>
                <w:sz w:val="18"/>
                <w:szCs w:val="18"/>
              </w:rPr>
              <w:t>Caramanta</w:t>
            </w:r>
          </w:p>
        </w:tc>
        <w:tc>
          <w:tcPr>
            <w:tcW w:w="1134" w:type="dxa"/>
            <w:noWrap/>
          </w:tcPr>
          <w:p w14:paraId="0CDB98E5"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05145</w:t>
            </w:r>
          </w:p>
        </w:tc>
        <w:tc>
          <w:tcPr>
            <w:tcW w:w="1225" w:type="dxa"/>
            <w:noWrap/>
          </w:tcPr>
          <w:p w14:paraId="5F85304D"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265 </w:t>
            </w:r>
          </w:p>
        </w:tc>
      </w:tr>
      <w:tr w:rsidR="00287F1C" w:rsidRPr="002946A9" w14:paraId="219393C1"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A6E2E2D" w14:textId="77777777" w:rsidR="00287F1C" w:rsidRPr="002946A9" w:rsidRDefault="00287F1C" w:rsidP="00F024D9">
            <w:pPr>
              <w:rPr>
                <w:rFonts w:cs="Calibri"/>
                <w:b w:val="0"/>
                <w:i/>
                <w:iCs/>
                <w:color w:val="auto"/>
                <w:sz w:val="18"/>
                <w:szCs w:val="18"/>
              </w:rPr>
            </w:pPr>
            <w:r w:rsidRPr="002946A9">
              <w:rPr>
                <w:b w:val="0"/>
                <w:i/>
                <w:iCs/>
                <w:color w:val="auto"/>
                <w:sz w:val="18"/>
                <w:szCs w:val="18"/>
              </w:rPr>
              <w:t>Carepa</w:t>
            </w:r>
          </w:p>
        </w:tc>
        <w:tc>
          <w:tcPr>
            <w:tcW w:w="1134" w:type="dxa"/>
            <w:noWrap/>
          </w:tcPr>
          <w:p w14:paraId="2FEE517C"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05147</w:t>
            </w:r>
          </w:p>
        </w:tc>
        <w:tc>
          <w:tcPr>
            <w:tcW w:w="1225" w:type="dxa"/>
            <w:noWrap/>
          </w:tcPr>
          <w:p w14:paraId="64B8D36B"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15,746 </w:t>
            </w:r>
          </w:p>
        </w:tc>
      </w:tr>
      <w:tr w:rsidR="00287F1C" w:rsidRPr="002946A9" w14:paraId="0020B1BC"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5980B76" w14:textId="77777777" w:rsidR="00287F1C" w:rsidRPr="002946A9" w:rsidRDefault="00287F1C" w:rsidP="00F024D9">
            <w:pPr>
              <w:rPr>
                <w:rFonts w:cs="Calibri"/>
                <w:b w:val="0"/>
                <w:i/>
                <w:iCs/>
                <w:color w:val="auto"/>
                <w:sz w:val="18"/>
                <w:szCs w:val="18"/>
              </w:rPr>
            </w:pPr>
            <w:r w:rsidRPr="002946A9">
              <w:rPr>
                <w:b w:val="0"/>
                <w:i/>
                <w:iCs/>
                <w:color w:val="auto"/>
                <w:sz w:val="18"/>
                <w:szCs w:val="18"/>
              </w:rPr>
              <w:t>Carmen Del Darién</w:t>
            </w:r>
          </w:p>
        </w:tc>
        <w:tc>
          <w:tcPr>
            <w:tcW w:w="1134" w:type="dxa"/>
            <w:noWrap/>
          </w:tcPr>
          <w:p w14:paraId="24FC7820"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27150</w:t>
            </w:r>
          </w:p>
        </w:tc>
        <w:tc>
          <w:tcPr>
            <w:tcW w:w="1225" w:type="dxa"/>
            <w:noWrap/>
          </w:tcPr>
          <w:p w14:paraId="04991754"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132 </w:t>
            </w:r>
          </w:p>
        </w:tc>
      </w:tr>
      <w:tr w:rsidR="00287F1C" w:rsidRPr="002946A9" w14:paraId="3513A17C"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014F1FF7" w14:textId="77777777" w:rsidR="00287F1C" w:rsidRPr="002946A9" w:rsidRDefault="00287F1C" w:rsidP="00F024D9">
            <w:pPr>
              <w:rPr>
                <w:rFonts w:cs="Calibri"/>
                <w:b w:val="0"/>
                <w:i/>
                <w:iCs/>
                <w:color w:val="auto"/>
                <w:sz w:val="18"/>
                <w:szCs w:val="18"/>
              </w:rPr>
            </w:pPr>
            <w:r w:rsidRPr="002946A9">
              <w:rPr>
                <w:b w:val="0"/>
                <w:i/>
                <w:iCs/>
                <w:color w:val="auto"/>
                <w:sz w:val="18"/>
                <w:szCs w:val="18"/>
              </w:rPr>
              <w:t>Carolina</w:t>
            </w:r>
          </w:p>
        </w:tc>
        <w:tc>
          <w:tcPr>
            <w:tcW w:w="1134" w:type="dxa"/>
            <w:noWrap/>
          </w:tcPr>
          <w:p w14:paraId="5389EFB8"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05150</w:t>
            </w:r>
          </w:p>
        </w:tc>
        <w:tc>
          <w:tcPr>
            <w:tcW w:w="1225" w:type="dxa"/>
            <w:noWrap/>
          </w:tcPr>
          <w:p w14:paraId="6DBE3567"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412 </w:t>
            </w:r>
          </w:p>
        </w:tc>
      </w:tr>
      <w:tr w:rsidR="00287F1C" w:rsidRPr="002946A9" w14:paraId="7539D92B"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4D26EFA2" w14:textId="77777777" w:rsidR="00287F1C" w:rsidRPr="002946A9" w:rsidRDefault="00287F1C" w:rsidP="00F024D9">
            <w:pPr>
              <w:rPr>
                <w:rFonts w:cs="Calibri"/>
                <w:b w:val="0"/>
                <w:i/>
                <w:iCs/>
                <w:color w:val="auto"/>
                <w:sz w:val="18"/>
                <w:szCs w:val="18"/>
              </w:rPr>
            </w:pPr>
            <w:r w:rsidRPr="002946A9">
              <w:rPr>
                <w:b w:val="0"/>
                <w:i/>
                <w:iCs/>
                <w:color w:val="auto"/>
                <w:sz w:val="18"/>
                <w:szCs w:val="18"/>
              </w:rPr>
              <w:t>Caucasia</w:t>
            </w:r>
          </w:p>
        </w:tc>
        <w:tc>
          <w:tcPr>
            <w:tcW w:w="1134" w:type="dxa"/>
            <w:noWrap/>
          </w:tcPr>
          <w:p w14:paraId="69C3EEAB"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05154</w:t>
            </w:r>
          </w:p>
        </w:tc>
        <w:tc>
          <w:tcPr>
            <w:tcW w:w="1225" w:type="dxa"/>
            <w:noWrap/>
          </w:tcPr>
          <w:p w14:paraId="1CA807A4"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55,240 </w:t>
            </w:r>
          </w:p>
        </w:tc>
      </w:tr>
      <w:tr w:rsidR="00287F1C" w:rsidRPr="002946A9" w14:paraId="14C2C413"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474D4879" w14:textId="77777777" w:rsidR="00287F1C" w:rsidRPr="002946A9" w:rsidRDefault="00287F1C" w:rsidP="00F024D9">
            <w:pPr>
              <w:rPr>
                <w:rFonts w:cs="Calibri"/>
                <w:b w:val="0"/>
                <w:i/>
                <w:iCs/>
                <w:color w:val="auto"/>
                <w:sz w:val="18"/>
                <w:szCs w:val="18"/>
              </w:rPr>
            </w:pPr>
            <w:r w:rsidRPr="002946A9">
              <w:rPr>
                <w:b w:val="0"/>
                <w:i/>
                <w:iCs/>
                <w:color w:val="auto"/>
                <w:sz w:val="18"/>
                <w:szCs w:val="18"/>
              </w:rPr>
              <w:t>Chigorodó</w:t>
            </w:r>
          </w:p>
        </w:tc>
        <w:tc>
          <w:tcPr>
            <w:tcW w:w="1134" w:type="dxa"/>
            <w:noWrap/>
          </w:tcPr>
          <w:p w14:paraId="7AE21B8D"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05172</w:t>
            </w:r>
          </w:p>
        </w:tc>
        <w:tc>
          <w:tcPr>
            <w:tcW w:w="1225" w:type="dxa"/>
            <w:noWrap/>
          </w:tcPr>
          <w:p w14:paraId="4F47E902"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29,997 </w:t>
            </w:r>
          </w:p>
        </w:tc>
      </w:tr>
      <w:tr w:rsidR="00287F1C" w:rsidRPr="002946A9" w14:paraId="2F0FB62E"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0EE8D849" w14:textId="5BFB0B3C" w:rsidR="00287F1C" w:rsidRPr="002946A9" w:rsidRDefault="00287F1C" w:rsidP="00F024D9">
            <w:pPr>
              <w:rPr>
                <w:rFonts w:cs="Calibri"/>
                <w:b w:val="0"/>
                <w:i/>
                <w:iCs/>
                <w:color w:val="auto"/>
                <w:sz w:val="18"/>
                <w:szCs w:val="18"/>
              </w:rPr>
            </w:pPr>
            <w:r w:rsidRPr="002946A9">
              <w:rPr>
                <w:b w:val="0"/>
                <w:i/>
                <w:iCs/>
                <w:color w:val="auto"/>
                <w:sz w:val="18"/>
                <w:szCs w:val="18"/>
              </w:rPr>
              <w:t>Cisneros</w:t>
            </w:r>
          </w:p>
        </w:tc>
        <w:tc>
          <w:tcPr>
            <w:tcW w:w="1134" w:type="dxa"/>
            <w:noWrap/>
          </w:tcPr>
          <w:p w14:paraId="15BE11A8"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05190</w:t>
            </w:r>
          </w:p>
        </w:tc>
        <w:tc>
          <w:tcPr>
            <w:tcW w:w="1225" w:type="dxa"/>
            <w:noWrap/>
          </w:tcPr>
          <w:p w14:paraId="37B82928"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6,863 </w:t>
            </w:r>
          </w:p>
        </w:tc>
      </w:tr>
      <w:tr w:rsidR="00287F1C" w:rsidRPr="002946A9" w14:paraId="286E5ED6"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08CCC39A" w14:textId="77777777" w:rsidR="00287F1C" w:rsidRPr="002946A9" w:rsidRDefault="00287F1C" w:rsidP="00F024D9">
            <w:pPr>
              <w:rPr>
                <w:rFonts w:cs="Calibri"/>
                <w:b w:val="0"/>
                <w:i/>
                <w:iCs/>
                <w:color w:val="auto"/>
                <w:sz w:val="18"/>
                <w:szCs w:val="18"/>
              </w:rPr>
            </w:pPr>
            <w:r w:rsidRPr="002946A9">
              <w:rPr>
                <w:b w:val="0"/>
                <w:i/>
                <w:iCs/>
                <w:color w:val="auto"/>
                <w:sz w:val="18"/>
                <w:szCs w:val="18"/>
              </w:rPr>
              <w:t>Ciudad Bolívar</w:t>
            </w:r>
          </w:p>
        </w:tc>
        <w:tc>
          <w:tcPr>
            <w:tcW w:w="1134" w:type="dxa"/>
            <w:noWrap/>
          </w:tcPr>
          <w:p w14:paraId="3278A9F6"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05101</w:t>
            </w:r>
          </w:p>
        </w:tc>
        <w:tc>
          <w:tcPr>
            <w:tcW w:w="1225" w:type="dxa"/>
            <w:noWrap/>
          </w:tcPr>
          <w:p w14:paraId="5A1D12FD"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7,715 </w:t>
            </w:r>
          </w:p>
        </w:tc>
      </w:tr>
      <w:tr w:rsidR="00287F1C" w:rsidRPr="002946A9" w14:paraId="02E9D895"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D38F2F0" w14:textId="77777777" w:rsidR="00287F1C" w:rsidRPr="002946A9" w:rsidRDefault="00287F1C" w:rsidP="00F024D9">
            <w:pPr>
              <w:rPr>
                <w:rFonts w:cs="Calibri"/>
                <w:b w:val="0"/>
                <w:i/>
                <w:iCs/>
                <w:color w:val="auto"/>
                <w:sz w:val="18"/>
                <w:szCs w:val="18"/>
              </w:rPr>
            </w:pPr>
            <w:r w:rsidRPr="002946A9">
              <w:rPr>
                <w:b w:val="0"/>
                <w:i/>
                <w:iCs/>
                <w:color w:val="auto"/>
                <w:sz w:val="18"/>
                <w:szCs w:val="18"/>
              </w:rPr>
              <w:t>Cocorná</w:t>
            </w:r>
          </w:p>
        </w:tc>
        <w:tc>
          <w:tcPr>
            <w:tcW w:w="1134" w:type="dxa"/>
            <w:noWrap/>
          </w:tcPr>
          <w:p w14:paraId="7CCCA7B1"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05197</w:t>
            </w:r>
          </w:p>
        </w:tc>
        <w:tc>
          <w:tcPr>
            <w:tcW w:w="1225" w:type="dxa"/>
            <w:noWrap/>
          </w:tcPr>
          <w:p w14:paraId="524A2E95"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17,924 </w:t>
            </w:r>
          </w:p>
        </w:tc>
      </w:tr>
      <w:tr w:rsidR="00287F1C" w:rsidRPr="002946A9" w14:paraId="6AF2CC60"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6026866C" w14:textId="77777777" w:rsidR="00287F1C" w:rsidRPr="002946A9" w:rsidRDefault="00287F1C" w:rsidP="00F024D9">
            <w:pPr>
              <w:rPr>
                <w:rFonts w:cs="Calibri"/>
                <w:b w:val="0"/>
                <w:i/>
                <w:iCs/>
                <w:color w:val="auto"/>
                <w:sz w:val="18"/>
                <w:szCs w:val="18"/>
              </w:rPr>
            </w:pPr>
            <w:r w:rsidRPr="002946A9">
              <w:rPr>
                <w:b w:val="0"/>
                <w:i/>
                <w:iCs/>
                <w:color w:val="auto"/>
                <w:sz w:val="18"/>
                <w:szCs w:val="18"/>
              </w:rPr>
              <w:t>Concepción</w:t>
            </w:r>
          </w:p>
        </w:tc>
        <w:tc>
          <w:tcPr>
            <w:tcW w:w="1134" w:type="dxa"/>
            <w:noWrap/>
          </w:tcPr>
          <w:p w14:paraId="40FFC337"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05206</w:t>
            </w:r>
          </w:p>
        </w:tc>
        <w:tc>
          <w:tcPr>
            <w:tcW w:w="1225" w:type="dxa"/>
            <w:noWrap/>
          </w:tcPr>
          <w:p w14:paraId="2EF0E7A1"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625 </w:t>
            </w:r>
          </w:p>
        </w:tc>
      </w:tr>
      <w:tr w:rsidR="00287F1C" w:rsidRPr="002946A9" w14:paraId="2E77783D"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F976440" w14:textId="77777777" w:rsidR="00287F1C" w:rsidRPr="002946A9" w:rsidRDefault="00287F1C" w:rsidP="00F024D9">
            <w:pPr>
              <w:rPr>
                <w:rFonts w:cs="Calibri"/>
                <w:b w:val="0"/>
                <w:i/>
                <w:iCs/>
                <w:color w:val="auto"/>
                <w:sz w:val="18"/>
                <w:szCs w:val="18"/>
              </w:rPr>
            </w:pPr>
            <w:r w:rsidRPr="002946A9">
              <w:rPr>
                <w:b w:val="0"/>
                <w:i/>
                <w:iCs/>
                <w:color w:val="auto"/>
                <w:sz w:val="18"/>
                <w:szCs w:val="18"/>
              </w:rPr>
              <w:t>Concordia</w:t>
            </w:r>
          </w:p>
        </w:tc>
        <w:tc>
          <w:tcPr>
            <w:tcW w:w="1134" w:type="dxa"/>
            <w:noWrap/>
          </w:tcPr>
          <w:p w14:paraId="6DEDE24F"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05209</w:t>
            </w:r>
          </w:p>
        </w:tc>
        <w:tc>
          <w:tcPr>
            <w:tcW w:w="1225" w:type="dxa"/>
            <w:noWrap/>
          </w:tcPr>
          <w:p w14:paraId="5A0FE2AA"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3,388 </w:t>
            </w:r>
          </w:p>
        </w:tc>
      </w:tr>
      <w:tr w:rsidR="00287F1C" w:rsidRPr="002946A9" w14:paraId="21C4CE02"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84C85E4" w14:textId="30C0F8B7" w:rsidR="00287F1C" w:rsidRPr="002946A9" w:rsidRDefault="00287F1C" w:rsidP="00F024D9">
            <w:pPr>
              <w:rPr>
                <w:rFonts w:cs="Calibri"/>
                <w:b w:val="0"/>
                <w:i/>
                <w:iCs/>
                <w:color w:val="auto"/>
                <w:sz w:val="18"/>
                <w:szCs w:val="18"/>
              </w:rPr>
            </w:pPr>
            <w:r w:rsidRPr="002946A9">
              <w:rPr>
                <w:b w:val="0"/>
                <w:i/>
                <w:iCs/>
                <w:color w:val="auto"/>
                <w:sz w:val="18"/>
                <w:szCs w:val="18"/>
              </w:rPr>
              <w:t>Copacabana</w:t>
            </w:r>
          </w:p>
        </w:tc>
        <w:tc>
          <w:tcPr>
            <w:tcW w:w="1134" w:type="dxa"/>
            <w:noWrap/>
          </w:tcPr>
          <w:p w14:paraId="6AB94B7A"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05212</w:t>
            </w:r>
          </w:p>
        </w:tc>
        <w:tc>
          <w:tcPr>
            <w:tcW w:w="1225" w:type="dxa"/>
            <w:noWrap/>
          </w:tcPr>
          <w:p w14:paraId="61916461"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4,377 </w:t>
            </w:r>
          </w:p>
        </w:tc>
      </w:tr>
      <w:tr w:rsidR="00287F1C" w:rsidRPr="002946A9" w14:paraId="105840F1"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161FE45E" w14:textId="77777777" w:rsidR="00287F1C" w:rsidRPr="002946A9" w:rsidRDefault="00287F1C" w:rsidP="00F024D9">
            <w:pPr>
              <w:rPr>
                <w:rFonts w:cs="Calibri"/>
                <w:b w:val="0"/>
                <w:i/>
                <w:iCs/>
                <w:color w:val="auto"/>
                <w:sz w:val="18"/>
                <w:szCs w:val="18"/>
              </w:rPr>
            </w:pPr>
            <w:r w:rsidRPr="002946A9">
              <w:rPr>
                <w:b w:val="0"/>
                <w:i/>
                <w:iCs/>
                <w:color w:val="auto"/>
                <w:sz w:val="18"/>
                <w:szCs w:val="18"/>
              </w:rPr>
              <w:t>Dabeiba</w:t>
            </w:r>
          </w:p>
        </w:tc>
        <w:tc>
          <w:tcPr>
            <w:tcW w:w="1134" w:type="dxa"/>
            <w:noWrap/>
          </w:tcPr>
          <w:p w14:paraId="6088A21E"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05234</w:t>
            </w:r>
          </w:p>
        </w:tc>
        <w:tc>
          <w:tcPr>
            <w:tcW w:w="1225" w:type="dxa"/>
            <w:noWrap/>
          </w:tcPr>
          <w:p w14:paraId="74C04D09"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19,726 </w:t>
            </w:r>
          </w:p>
        </w:tc>
      </w:tr>
      <w:tr w:rsidR="00287F1C" w:rsidRPr="002946A9" w14:paraId="5985C66A"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4C01BF8" w14:textId="61750F79" w:rsidR="00287F1C" w:rsidRPr="002946A9" w:rsidRDefault="00287F1C" w:rsidP="00F024D9">
            <w:pPr>
              <w:rPr>
                <w:rFonts w:cs="Calibri"/>
                <w:b w:val="0"/>
                <w:i/>
                <w:iCs/>
                <w:color w:val="auto"/>
                <w:sz w:val="18"/>
                <w:szCs w:val="18"/>
              </w:rPr>
            </w:pPr>
            <w:r w:rsidRPr="002946A9">
              <w:rPr>
                <w:b w:val="0"/>
                <w:i/>
                <w:iCs/>
                <w:color w:val="auto"/>
                <w:sz w:val="18"/>
                <w:szCs w:val="18"/>
              </w:rPr>
              <w:t>Don Matías</w:t>
            </w:r>
          </w:p>
        </w:tc>
        <w:tc>
          <w:tcPr>
            <w:tcW w:w="1134" w:type="dxa"/>
            <w:noWrap/>
          </w:tcPr>
          <w:p w14:paraId="78FDB855"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05237</w:t>
            </w:r>
          </w:p>
        </w:tc>
        <w:tc>
          <w:tcPr>
            <w:tcW w:w="1225" w:type="dxa"/>
            <w:noWrap/>
          </w:tcPr>
          <w:p w14:paraId="38957A68"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7,436 </w:t>
            </w:r>
          </w:p>
        </w:tc>
      </w:tr>
      <w:tr w:rsidR="00287F1C" w:rsidRPr="002946A9" w14:paraId="1B0711FF"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C19BA27" w14:textId="77777777" w:rsidR="00287F1C" w:rsidRPr="002946A9" w:rsidRDefault="00287F1C" w:rsidP="00F024D9">
            <w:pPr>
              <w:rPr>
                <w:rFonts w:cs="Calibri"/>
                <w:b w:val="0"/>
                <w:i/>
                <w:iCs/>
                <w:color w:val="auto"/>
                <w:sz w:val="18"/>
                <w:szCs w:val="18"/>
              </w:rPr>
            </w:pPr>
            <w:r w:rsidRPr="002946A9">
              <w:rPr>
                <w:b w:val="0"/>
                <w:i/>
                <w:iCs/>
                <w:color w:val="auto"/>
                <w:sz w:val="18"/>
                <w:szCs w:val="18"/>
              </w:rPr>
              <w:t>Ebéjico</w:t>
            </w:r>
          </w:p>
        </w:tc>
        <w:tc>
          <w:tcPr>
            <w:tcW w:w="1134" w:type="dxa"/>
            <w:noWrap/>
          </w:tcPr>
          <w:p w14:paraId="02076EB8"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05240</w:t>
            </w:r>
          </w:p>
        </w:tc>
        <w:tc>
          <w:tcPr>
            <w:tcW w:w="1225" w:type="dxa"/>
            <w:noWrap/>
          </w:tcPr>
          <w:p w14:paraId="722F48C1"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6,336 </w:t>
            </w:r>
          </w:p>
        </w:tc>
      </w:tr>
      <w:tr w:rsidR="00287F1C" w:rsidRPr="002946A9" w14:paraId="7F44A594"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94A342E" w14:textId="77777777" w:rsidR="00287F1C" w:rsidRPr="002946A9" w:rsidRDefault="00287F1C" w:rsidP="00F024D9">
            <w:pPr>
              <w:rPr>
                <w:rFonts w:cs="Calibri"/>
                <w:b w:val="0"/>
                <w:i/>
                <w:iCs/>
                <w:color w:val="auto"/>
                <w:sz w:val="18"/>
                <w:szCs w:val="18"/>
              </w:rPr>
            </w:pPr>
            <w:r w:rsidRPr="002946A9">
              <w:rPr>
                <w:b w:val="0"/>
                <w:i/>
                <w:iCs/>
                <w:color w:val="auto"/>
                <w:sz w:val="18"/>
                <w:szCs w:val="18"/>
              </w:rPr>
              <w:t>El Bagre</w:t>
            </w:r>
          </w:p>
        </w:tc>
        <w:tc>
          <w:tcPr>
            <w:tcW w:w="1134" w:type="dxa"/>
            <w:noWrap/>
          </w:tcPr>
          <w:p w14:paraId="2EC0D308"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05250</w:t>
            </w:r>
          </w:p>
        </w:tc>
        <w:tc>
          <w:tcPr>
            <w:tcW w:w="1225" w:type="dxa"/>
            <w:noWrap/>
          </w:tcPr>
          <w:p w14:paraId="366C995F"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14,857 </w:t>
            </w:r>
          </w:p>
        </w:tc>
      </w:tr>
      <w:tr w:rsidR="00287F1C" w:rsidRPr="002946A9" w14:paraId="207B0BA8"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07911754" w14:textId="45DD9FD2" w:rsidR="00287F1C" w:rsidRPr="002946A9" w:rsidRDefault="00287F1C" w:rsidP="00F024D9">
            <w:pPr>
              <w:rPr>
                <w:rFonts w:cs="Calibri"/>
                <w:b w:val="0"/>
                <w:i/>
                <w:iCs/>
                <w:color w:val="auto"/>
                <w:sz w:val="18"/>
                <w:szCs w:val="18"/>
              </w:rPr>
            </w:pPr>
            <w:r w:rsidRPr="002946A9">
              <w:rPr>
                <w:b w:val="0"/>
                <w:i/>
                <w:iCs/>
                <w:color w:val="auto"/>
                <w:sz w:val="18"/>
                <w:szCs w:val="18"/>
              </w:rPr>
              <w:t>El Carmen De Atrato</w:t>
            </w:r>
          </w:p>
        </w:tc>
        <w:tc>
          <w:tcPr>
            <w:tcW w:w="1134" w:type="dxa"/>
            <w:noWrap/>
          </w:tcPr>
          <w:p w14:paraId="6438AF08"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27245</w:t>
            </w:r>
          </w:p>
        </w:tc>
        <w:tc>
          <w:tcPr>
            <w:tcW w:w="1225" w:type="dxa"/>
            <w:noWrap/>
          </w:tcPr>
          <w:p w14:paraId="6D9FA49D"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320 </w:t>
            </w:r>
          </w:p>
        </w:tc>
      </w:tr>
      <w:tr w:rsidR="00287F1C" w:rsidRPr="002946A9" w14:paraId="0B8869F4"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B7ADFCF" w14:textId="77777777" w:rsidR="00287F1C" w:rsidRPr="002946A9" w:rsidRDefault="00287F1C" w:rsidP="00F024D9">
            <w:pPr>
              <w:rPr>
                <w:rFonts w:cs="Calibri"/>
                <w:b w:val="0"/>
                <w:i/>
                <w:iCs/>
                <w:color w:val="auto"/>
                <w:sz w:val="18"/>
                <w:szCs w:val="18"/>
              </w:rPr>
            </w:pPr>
            <w:r w:rsidRPr="002946A9">
              <w:rPr>
                <w:b w:val="0"/>
                <w:i/>
                <w:iCs/>
                <w:color w:val="auto"/>
                <w:sz w:val="18"/>
                <w:szCs w:val="18"/>
              </w:rPr>
              <w:t>El Carmen de Viboral</w:t>
            </w:r>
          </w:p>
        </w:tc>
        <w:tc>
          <w:tcPr>
            <w:tcW w:w="1134" w:type="dxa"/>
            <w:noWrap/>
          </w:tcPr>
          <w:p w14:paraId="23E8CF62"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05148</w:t>
            </w:r>
          </w:p>
        </w:tc>
        <w:tc>
          <w:tcPr>
            <w:tcW w:w="1225" w:type="dxa"/>
            <w:noWrap/>
          </w:tcPr>
          <w:p w14:paraId="3568AB82"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10,627 </w:t>
            </w:r>
          </w:p>
        </w:tc>
      </w:tr>
      <w:tr w:rsidR="00287F1C" w:rsidRPr="002946A9" w14:paraId="153C54C4"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0B55734F" w14:textId="77777777" w:rsidR="00287F1C" w:rsidRPr="002946A9" w:rsidRDefault="00287F1C" w:rsidP="00F024D9">
            <w:pPr>
              <w:rPr>
                <w:rFonts w:cs="Calibri"/>
                <w:b w:val="0"/>
                <w:i/>
                <w:iCs/>
                <w:color w:val="auto"/>
                <w:sz w:val="18"/>
                <w:szCs w:val="18"/>
              </w:rPr>
            </w:pPr>
            <w:r w:rsidRPr="002946A9">
              <w:rPr>
                <w:b w:val="0"/>
                <w:i/>
                <w:iCs/>
                <w:color w:val="auto"/>
                <w:sz w:val="18"/>
                <w:szCs w:val="18"/>
              </w:rPr>
              <w:t>El Peñol</w:t>
            </w:r>
          </w:p>
        </w:tc>
        <w:tc>
          <w:tcPr>
            <w:tcW w:w="1134" w:type="dxa"/>
            <w:noWrap/>
          </w:tcPr>
          <w:p w14:paraId="683563FB"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05541</w:t>
            </w:r>
          </w:p>
        </w:tc>
        <w:tc>
          <w:tcPr>
            <w:tcW w:w="1225" w:type="dxa"/>
            <w:noWrap/>
          </w:tcPr>
          <w:p w14:paraId="63497C8F"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5,104 </w:t>
            </w:r>
          </w:p>
        </w:tc>
      </w:tr>
      <w:tr w:rsidR="00287F1C" w:rsidRPr="002946A9" w14:paraId="60B5EC68"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468C9C60" w14:textId="77777777" w:rsidR="00287F1C" w:rsidRPr="002946A9" w:rsidRDefault="00287F1C" w:rsidP="00F024D9">
            <w:pPr>
              <w:rPr>
                <w:rFonts w:cs="Calibri"/>
                <w:b w:val="0"/>
                <w:i/>
                <w:iCs/>
                <w:color w:val="auto"/>
                <w:sz w:val="18"/>
                <w:szCs w:val="18"/>
              </w:rPr>
            </w:pPr>
            <w:r w:rsidRPr="002946A9">
              <w:rPr>
                <w:b w:val="0"/>
                <w:i/>
                <w:iCs/>
                <w:color w:val="auto"/>
                <w:sz w:val="18"/>
                <w:szCs w:val="18"/>
              </w:rPr>
              <w:t>El Retiro</w:t>
            </w:r>
          </w:p>
        </w:tc>
        <w:tc>
          <w:tcPr>
            <w:tcW w:w="1134" w:type="dxa"/>
            <w:noWrap/>
          </w:tcPr>
          <w:p w14:paraId="1B57D90E"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05607</w:t>
            </w:r>
          </w:p>
        </w:tc>
        <w:tc>
          <w:tcPr>
            <w:tcW w:w="1225" w:type="dxa"/>
            <w:noWrap/>
          </w:tcPr>
          <w:p w14:paraId="142EC12F"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4,966 </w:t>
            </w:r>
          </w:p>
        </w:tc>
      </w:tr>
      <w:tr w:rsidR="00287F1C" w:rsidRPr="002946A9" w14:paraId="039F91D7"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E3B44CC" w14:textId="77777777" w:rsidR="00287F1C" w:rsidRPr="002946A9" w:rsidRDefault="00287F1C" w:rsidP="00F024D9">
            <w:pPr>
              <w:rPr>
                <w:rFonts w:cs="Calibri"/>
                <w:b w:val="0"/>
                <w:i/>
                <w:iCs/>
                <w:color w:val="auto"/>
                <w:sz w:val="18"/>
                <w:szCs w:val="18"/>
              </w:rPr>
            </w:pPr>
            <w:r w:rsidRPr="002946A9">
              <w:rPr>
                <w:b w:val="0"/>
                <w:i/>
                <w:iCs/>
                <w:color w:val="auto"/>
                <w:sz w:val="18"/>
                <w:szCs w:val="18"/>
              </w:rPr>
              <w:t>El Santuario</w:t>
            </w:r>
          </w:p>
        </w:tc>
        <w:tc>
          <w:tcPr>
            <w:tcW w:w="1134" w:type="dxa"/>
            <w:noWrap/>
          </w:tcPr>
          <w:p w14:paraId="02CB18FC"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05697</w:t>
            </w:r>
          </w:p>
        </w:tc>
        <w:tc>
          <w:tcPr>
            <w:tcW w:w="1225" w:type="dxa"/>
            <w:noWrap/>
          </w:tcPr>
          <w:p w14:paraId="448A2AFA"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7,013 </w:t>
            </w:r>
          </w:p>
        </w:tc>
      </w:tr>
      <w:tr w:rsidR="00287F1C" w:rsidRPr="002946A9" w14:paraId="76D7F6DC"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1BAAA77F" w14:textId="77777777" w:rsidR="00287F1C" w:rsidRPr="002946A9" w:rsidRDefault="00287F1C" w:rsidP="00F024D9">
            <w:pPr>
              <w:rPr>
                <w:rFonts w:cs="Calibri"/>
                <w:b w:val="0"/>
                <w:i/>
                <w:iCs/>
                <w:color w:val="auto"/>
                <w:sz w:val="18"/>
                <w:szCs w:val="18"/>
              </w:rPr>
            </w:pPr>
            <w:r w:rsidRPr="002946A9">
              <w:rPr>
                <w:b w:val="0"/>
                <w:i/>
                <w:iCs/>
                <w:color w:val="auto"/>
                <w:sz w:val="18"/>
                <w:szCs w:val="18"/>
              </w:rPr>
              <w:t>Entrerríos</w:t>
            </w:r>
          </w:p>
        </w:tc>
        <w:tc>
          <w:tcPr>
            <w:tcW w:w="1134" w:type="dxa"/>
            <w:noWrap/>
          </w:tcPr>
          <w:p w14:paraId="7CE86410"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05264</w:t>
            </w:r>
          </w:p>
        </w:tc>
        <w:tc>
          <w:tcPr>
            <w:tcW w:w="1225" w:type="dxa"/>
            <w:noWrap/>
          </w:tcPr>
          <w:p w14:paraId="7A53AB1A"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1,781 </w:t>
            </w:r>
          </w:p>
        </w:tc>
      </w:tr>
      <w:tr w:rsidR="00287F1C" w:rsidRPr="002946A9" w14:paraId="3646D26C"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6263DD9" w14:textId="77777777" w:rsidR="00287F1C" w:rsidRPr="002946A9" w:rsidRDefault="00287F1C" w:rsidP="00F024D9">
            <w:pPr>
              <w:rPr>
                <w:rFonts w:cs="Calibri"/>
                <w:b w:val="0"/>
                <w:i/>
                <w:iCs/>
                <w:color w:val="auto"/>
                <w:sz w:val="18"/>
                <w:szCs w:val="18"/>
              </w:rPr>
            </w:pPr>
            <w:r w:rsidRPr="002946A9">
              <w:rPr>
                <w:b w:val="0"/>
                <w:i/>
                <w:iCs/>
                <w:color w:val="auto"/>
                <w:sz w:val="18"/>
                <w:szCs w:val="18"/>
              </w:rPr>
              <w:t>Envigado</w:t>
            </w:r>
          </w:p>
        </w:tc>
        <w:tc>
          <w:tcPr>
            <w:tcW w:w="1134" w:type="dxa"/>
            <w:noWrap/>
          </w:tcPr>
          <w:p w14:paraId="141F8547"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05266</w:t>
            </w:r>
          </w:p>
        </w:tc>
        <w:tc>
          <w:tcPr>
            <w:tcW w:w="1225" w:type="dxa"/>
            <w:noWrap/>
          </w:tcPr>
          <w:p w14:paraId="1848A74C"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65,412 </w:t>
            </w:r>
          </w:p>
        </w:tc>
      </w:tr>
      <w:tr w:rsidR="00287F1C" w:rsidRPr="002946A9" w14:paraId="6AE70319"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6033B78" w14:textId="77777777" w:rsidR="00287F1C" w:rsidRPr="002946A9" w:rsidRDefault="00287F1C" w:rsidP="00F024D9">
            <w:pPr>
              <w:rPr>
                <w:rFonts w:cs="Calibri"/>
                <w:b w:val="0"/>
                <w:i/>
                <w:iCs/>
                <w:color w:val="auto"/>
                <w:sz w:val="18"/>
                <w:szCs w:val="18"/>
              </w:rPr>
            </w:pPr>
            <w:r w:rsidRPr="002946A9">
              <w:rPr>
                <w:b w:val="0"/>
                <w:i/>
                <w:iCs/>
                <w:color w:val="auto"/>
                <w:sz w:val="18"/>
                <w:szCs w:val="18"/>
              </w:rPr>
              <w:t>Fredonia</w:t>
            </w:r>
          </w:p>
        </w:tc>
        <w:tc>
          <w:tcPr>
            <w:tcW w:w="1134" w:type="dxa"/>
            <w:noWrap/>
          </w:tcPr>
          <w:p w14:paraId="550D5A50"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05282</w:t>
            </w:r>
          </w:p>
        </w:tc>
        <w:tc>
          <w:tcPr>
            <w:tcW w:w="1225" w:type="dxa"/>
            <w:noWrap/>
          </w:tcPr>
          <w:p w14:paraId="7C4E823B"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2,763 </w:t>
            </w:r>
          </w:p>
        </w:tc>
      </w:tr>
      <w:tr w:rsidR="00287F1C" w:rsidRPr="002946A9" w14:paraId="18A1CE48"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B6EC50D" w14:textId="77777777" w:rsidR="00287F1C" w:rsidRPr="002946A9" w:rsidRDefault="00287F1C" w:rsidP="00F024D9">
            <w:pPr>
              <w:rPr>
                <w:rFonts w:cs="Calibri"/>
                <w:b w:val="0"/>
                <w:i/>
                <w:iCs/>
                <w:color w:val="auto"/>
                <w:sz w:val="18"/>
                <w:szCs w:val="18"/>
              </w:rPr>
            </w:pPr>
            <w:r w:rsidRPr="002946A9">
              <w:rPr>
                <w:b w:val="0"/>
                <w:i/>
                <w:iCs/>
                <w:color w:val="auto"/>
                <w:sz w:val="18"/>
                <w:szCs w:val="18"/>
              </w:rPr>
              <w:t>Frontino</w:t>
            </w:r>
          </w:p>
        </w:tc>
        <w:tc>
          <w:tcPr>
            <w:tcW w:w="1134" w:type="dxa"/>
            <w:noWrap/>
          </w:tcPr>
          <w:p w14:paraId="238A5E03"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05284</w:t>
            </w:r>
          </w:p>
        </w:tc>
        <w:tc>
          <w:tcPr>
            <w:tcW w:w="1225" w:type="dxa"/>
            <w:noWrap/>
          </w:tcPr>
          <w:p w14:paraId="0E456E36"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5,515 </w:t>
            </w:r>
          </w:p>
        </w:tc>
      </w:tr>
      <w:tr w:rsidR="00287F1C" w:rsidRPr="002946A9" w14:paraId="4EA7AC3C"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127370A2" w14:textId="77777777" w:rsidR="00287F1C" w:rsidRPr="002946A9" w:rsidRDefault="00287F1C" w:rsidP="00F024D9">
            <w:pPr>
              <w:rPr>
                <w:rFonts w:cs="Calibri"/>
                <w:b w:val="0"/>
                <w:i/>
                <w:iCs/>
                <w:color w:val="auto"/>
                <w:sz w:val="18"/>
                <w:szCs w:val="18"/>
              </w:rPr>
            </w:pPr>
            <w:r w:rsidRPr="002946A9">
              <w:rPr>
                <w:b w:val="0"/>
                <w:i/>
                <w:iCs/>
                <w:color w:val="auto"/>
                <w:sz w:val="18"/>
                <w:szCs w:val="18"/>
              </w:rPr>
              <w:t>Giraldo</w:t>
            </w:r>
          </w:p>
        </w:tc>
        <w:tc>
          <w:tcPr>
            <w:tcW w:w="1134" w:type="dxa"/>
            <w:noWrap/>
          </w:tcPr>
          <w:p w14:paraId="71B4AD79"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05306</w:t>
            </w:r>
          </w:p>
        </w:tc>
        <w:tc>
          <w:tcPr>
            <w:tcW w:w="1225" w:type="dxa"/>
            <w:noWrap/>
          </w:tcPr>
          <w:p w14:paraId="3B6FE4C2"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999 </w:t>
            </w:r>
          </w:p>
        </w:tc>
      </w:tr>
      <w:tr w:rsidR="00287F1C" w:rsidRPr="002946A9" w14:paraId="2FE770F0"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118757C3" w14:textId="77777777" w:rsidR="00287F1C" w:rsidRPr="002946A9" w:rsidRDefault="00287F1C" w:rsidP="00F024D9">
            <w:pPr>
              <w:rPr>
                <w:rFonts w:cs="Calibri"/>
                <w:b w:val="0"/>
                <w:i/>
                <w:iCs/>
                <w:color w:val="auto"/>
                <w:sz w:val="18"/>
                <w:szCs w:val="18"/>
              </w:rPr>
            </w:pPr>
            <w:r w:rsidRPr="002946A9">
              <w:rPr>
                <w:b w:val="0"/>
                <w:i/>
                <w:iCs/>
                <w:color w:val="auto"/>
                <w:sz w:val="18"/>
                <w:szCs w:val="18"/>
              </w:rPr>
              <w:t>Girardota</w:t>
            </w:r>
          </w:p>
        </w:tc>
        <w:tc>
          <w:tcPr>
            <w:tcW w:w="1134" w:type="dxa"/>
            <w:noWrap/>
          </w:tcPr>
          <w:p w14:paraId="103E7EC7"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05308</w:t>
            </w:r>
          </w:p>
        </w:tc>
        <w:tc>
          <w:tcPr>
            <w:tcW w:w="1225" w:type="dxa"/>
            <w:noWrap/>
          </w:tcPr>
          <w:p w14:paraId="48924ED7"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18,964 </w:t>
            </w:r>
          </w:p>
        </w:tc>
      </w:tr>
      <w:tr w:rsidR="00287F1C" w:rsidRPr="002946A9" w14:paraId="19B77D8D"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CE47111" w14:textId="77777777" w:rsidR="00287F1C" w:rsidRPr="002946A9" w:rsidRDefault="00287F1C" w:rsidP="00F024D9">
            <w:pPr>
              <w:rPr>
                <w:rFonts w:cs="Calibri"/>
                <w:b w:val="0"/>
                <w:i/>
                <w:iCs/>
                <w:color w:val="auto"/>
                <w:sz w:val="18"/>
                <w:szCs w:val="18"/>
              </w:rPr>
            </w:pPr>
            <w:r w:rsidRPr="002946A9">
              <w:rPr>
                <w:b w:val="0"/>
                <w:i/>
                <w:iCs/>
                <w:color w:val="auto"/>
                <w:sz w:val="18"/>
                <w:szCs w:val="18"/>
              </w:rPr>
              <w:t>Gómez Plata</w:t>
            </w:r>
          </w:p>
        </w:tc>
        <w:tc>
          <w:tcPr>
            <w:tcW w:w="1134" w:type="dxa"/>
            <w:noWrap/>
          </w:tcPr>
          <w:p w14:paraId="42D276C3"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05310</w:t>
            </w:r>
          </w:p>
        </w:tc>
        <w:tc>
          <w:tcPr>
            <w:tcW w:w="1225" w:type="dxa"/>
            <w:noWrap/>
          </w:tcPr>
          <w:p w14:paraId="1F22EBA9"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12,178 </w:t>
            </w:r>
          </w:p>
        </w:tc>
      </w:tr>
      <w:tr w:rsidR="00287F1C" w:rsidRPr="002946A9" w14:paraId="2AF50B5C"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F5844D1" w14:textId="77777777" w:rsidR="00287F1C" w:rsidRPr="002946A9" w:rsidRDefault="00287F1C" w:rsidP="00F024D9">
            <w:pPr>
              <w:rPr>
                <w:rFonts w:cs="Calibri"/>
                <w:b w:val="0"/>
                <w:i/>
                <w:iCs/>
                <w:color w:val="auto"/>
                <w:sz w:val="18"/>
                <w:szCs w:val="18"/>
              </w:rPr>
            </w:pPr>
            <w:r w:rsidRPr="002946A9">
              <w:rPr>
                <w:b w:val="0"/>
                <w:i/>
                <w:iCs/>
                <w:color w:val="auto"/>
                <w:sz w:val="18"/>
                <w:szCs w:val="18"/>
              </w:rPr>
              <w:t>Granada</w:t>
            </w:r>
          </w:p>
        </w:tc>
        <w:tc>
          <w:tcPr>
            <w:tcW w:w="1134" w:type="dxa"/>
            <w:noWrap/>
          </w:tcPr>
          <w:p w14:paraId="6854E169"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05313</w:t>
            </w:r>
          </w:p>
        </w:tc>
        <w:tc>
          <w:tcPr>
            <w:tcW w:w="1225" w:type="dxa"/>
            <w:noWrap/>
          </w:tcPr>
          <w:p w14:paraId="1B587108"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4,011 </w:t>
            </w:r>
          </w:p>
        </w:tc>
      </w:tr>
      <w:tr w:rsidR="00287F1C" w:rsidRPr="002946A9" w14:paraId="5688A5C8"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15C19EE4" w14:textId="77777777" w:rsidR="00287F1C" w:rsidRPr="002946A9" w:rsidRDefault="00287F1C" w:rsidP="00F024D9">
            <w:pPr>
              <w:rPr>
                <w:rFonts w:cs="Calibri"/>
                <w:b w:val="0"/>
                <w:i/>
                <w:iCs/>
                <w:color w:val="auto"/>
                <w:sz w:val="18"/>
                <w:szCs w:val="18"/>
              </w:rPr>
            </w:pPr>
            <w:r w:rsidRPr="002946A9">
              <w:rPr>
                <w:b w:val="0"/>
                <w:i/>
                <w:iCs/>
                <w:color w:val="auto"/>
                <w:sz w:val="18"/>
                <w:szCs w:val="18"/>
              </w:rPr>
              <w:t>Guadalupe</w:t>
            </w:r>
          </w:p>
        </w:tc>
        <w:tc>
          <w:tcPr>
            <w:tcW w:w="1134" w:type="dxa"/>
            <w:noWrap/>
          </w:tcPr>
          <w:p w14:paraId="3FF95BD5"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05315</w:t>
            </w:r>
          </w:p>
        </w:tc>
        <w:tc>
          <w:tcPr>
            <w:tcW w:w="1225" w:type="dxa"/>
            <w:noWrap/>
          </w:tcPr>
          <w:p w14:paraId="5C44CD66"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6,285 </w:t>
            </w:r>
          </w:p>
        </w:tc>
      </w:tr>
      <w:tr w:rsidR="00287F1C" w:rsidRPr="002946A9" w14:paraId="0EA3C45E"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34CE0CB" w14:textId="77777777" w:rsidR="00287F1C" w:rsidRPr="002946A9" w:rsidRDefault="00287F1C" w:rsidP="00F024D9">
            <w:pPr>
              <w:rPr>
                <w:rFonts w:cs="Calibri"/>
                <w:b w:val="0"/>
                <w:i/>
                <w:iCs/>
                <w:color w:val="auto"/>
                <w:sz w:val="18"/>
                <w:szCs w:val="18"/>
              </w:rPr>
            </w:pPr>
            <w:r w:rsidRPr="002946A9">
              <w:rPr>
                <w:b w:val="0"/>
                <w:i/>
                <w:iCs/>
                <w:color w:val="auto"/>
                <w:sz w:val="18"/>
                <w:szCs w:val="18"/>
              </w:rPr>
              <w:t>Guarne</w:t>
            </w:r>
          </w:p>
        </w:tc>
        <w:tc>
          <w:tcPr>
            <w:tcW w:w="1134" w:type="dxa"/>
            <w:noWrap/>
          </w:tcPr>
          <w:p w14:paraId="47589E3E"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05318</w:t>
            </w:r>
          </w:p>
        </w:tc>
        <w:tc>
          <w:tcPr>
            <w:tcW w:w="1225" w:type="dxa"/>
            <w:noWrap/>
          </w:tcPr>
          <w:p w14:paraId="2DBB89D7"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26,023 </w:t>
            </w:r>
          </w:p>
        </w:tc>
      </w:tr>
      <w:tr w:rsidR="00287F1C" w:rsidRPr="002946A9" w14:paraId="1B0184C3"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BB0F3A9" w14:textId="77777777" w:rsidR="00287F1C" w:rsidRPr="002946A9" w:rsidRDefault="00287F1C" w:rsidP="00F024D9">
            <w:pPr>
              <w:rPr>
                <w:rFonts w:cs="Calibri"/>
                <w:b w:val="0"/>
                <w:i/>
                <w:iCs/>
                <w:color w:val="auto"/>
                <w:sz w:val="18"/>
                <w:szCs w:val="18"/>
              </w:rPr>
            </w:pPr>
            <w:r w:rsidRPr="002946A9">
              <w:rPr>
                <w:b w:val="0"/>
                <w:i/>
                <w:iCs/>
                <w:color w:val="auto"/>
                <w:sz w:val="18"/>
                <w:szCs w:val="18"/>
              </w:rPr>
              <w:t>Guatapé</w:t>
            </w:r>
          </w:p>
        </w:tc>
        <w:tc>
          <w:tcPr>
            <w:tcW w:w="1134" w:type="dxa"/>
            <w:noWrap/>
          </w:tcPr>
          <w:p w14:paraId="0E806600"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05321</w:t>
            </w:r>
          </w:p>
        </w:tc>
        <w:tc>
          <w:tcPr>
            <w:tcW w:w="1225" w:type="dxa"/>
            <w:noWrap/>
          </w:tcPr>
          <w:p w14:paraId="6ED5CC0A"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1,670 </w:t>
            </w:r>
          </w:p>
        </w:tc>
      </w:tr>
      <w:tr w:rsidR="00287F1C" w:rsidRPr="002946A9" w14:paraId="51E0D4F6"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44EDA53" w14:textId="77777777" w:rsidR="00287F1C" w:rsidRPr="002946A9" w:rsidRDefault="00287F1C" w:rsidP="00F024D9">
            <w:pPr>
              <w:rPr>
                <w:rFonts w:cs="Calibri"/>
                <w:b w:val="0"/>
                <w:i/>
                <w:iCs/>
                <w:color w:val="auto"/>
                <w:sz w:val="18"/>
                <w:szCs w:val="18"/>
              </w:rPr>
            </w:pPr>
            <w:r w:rsidRPr="002946A9">
              <w:rPr>
                <w:b w:val="0"/>
                <w:i/>
                <w:iCs/>
                <w:color w:val="auto"/>
                <w:sz w:val="18"/>
                <w:szCs w:val="18"/>
              </w:rPr>
              <w:t>Heliconia</w:t>
            </w:r>
          </w:p>
        </w:tc>
        <w:tc>
          <w:tcPr>
            <w:tcW w:w="1134" w:type="dxa"/>
            <w:noWrap/>
          </w:tcPr>
          <w:p w14:paraId="001A5F73"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05347</w:t>
            </w:r>
          </w:p>
        </w:tc>
        <w:tc>
          <w:tcPr>
            <w:tcW w:w="1225" w:type="dxa"/>
            <w:noWrap/>
          </w:tcPr>
          <w:p w14:paraId="0ECC6239"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603 </w:t>
            </w:r>
          </w:p>
        </w:tc>
      </w:tr>
      <w:tr w:rsidR="00287F1C" w:rsidRPr="002946A9" w14:paraId="4C36368E"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956C8AD" w14:textId="77777777" w:rsidR="00287F1C" w:rsidRPr="002946A9" w:rsidRDefault="00287F1C" w:rsidP="00F024D9">
            <w:pPr>
              <w:rPr>
                <w:rFonts w:cs="Calibri"/>
                <w:b w:val="0"/>
                <w:i/>
                <w:iCs/>
                <w:color w:val="auto"/>
                <w:sz w:val="18"/>
                <w:szCs w:val="18"/>
              </w:rPr>
            </w:pPr>
            <w:r w:rsidRPr="002946A9">
              <w:rPr>
                <w:b w:val="0"/>
                <w:i/>
                <w:iCs/>
                <w:color w:val="auto"/>
                <w:sz w:val="18"/>
                <w:szCs w:val="18"/>
              </w:rPr>
              <w:t>Hispania</w:t>
            </w:r>
          </w:p>
        </w:tc>
        <w:tc>
          <w:tcPr>
            <w:tcW w:w="1134" w:type="dxa"/>
            <w:noWrap/>
          </w:tcPr>
          <w:p w14:paraId="515D62B3"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05353</w:t>
            </w:r>
          </w:p>
        </w:tc>
        <w:tc>
          <w:tcPr>
            <w:tcW w:w="1225" w:type="dxa"/>
            <w:noWrap/>
          </w:tcPr>
          <w:p w14:paraId="06A03C4E"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1,279 </w:t>
            </w:r>
          </w:p>
        </w:tc>
      </w:tr>
      <w:tr w:rsidR="00287F1C" w:rsidRPr="002946A9" w14:paraId="5C59BEB8"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6D7C498" w14:textId="77777777" w:rsidR="00287F1C" w:rsidRPr="002946A9" w:rsidRDefault="00287F1C" w:rsidP="00F024D9">
            <w:pPr>
              <w:rPr>
                <w:rFonts w:cs="Calibri"/>
                <w:b w:val="0"/>
                <w:i/>
                <w:iCs/>
                <w:color w:val="auto"/>
                <w:sz w:val="18"/>
                <w:szCs w:val="18"/>
              </w:rPr>
            </w:pPr>
            <w:r w:rsidRPr="002946A9">
              <w:rPr>
                <w:b w:val="0"/>
                <w:i/>
                <w:iCs/>
                <w:color w:val="auto"/>
                <w:sz w:val="18"/>
                <w:szCs w:val="18"/>
              </w:rPr>
              <w:t>Itagüí</w:t>
            </w:r>
          </w:p>
        </w:tc>
        <w:tc>
          <w:tcPr>
            <w:tcW w:w="1134" w:type="dxa"/>
            <w:noWrap/>
          </w:tcPr>
          <w:p w14:paraId="2E9DE159"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05360</w:t>
            </w:r>
          </w:p>
        </w:tc>
        <w:tc>
          <w:tcPr>
            <w:tcW w:w="1225" w:type="dxa"/>
            <w:noWrap/>
          </w:tcPr>
          <w:p w14:paraId="79DADCE9"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18,868 </w:t>
            </w:r>
          </w:p>
        </w:tc>
      </w:tr>
      <w:tr w:rsidR="00287F1C" w:rsidRPr="002946A9" w14:paraId="77BB703E"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9F67E38" w14:textId="77777777" w:rsidR="00287F1C" w:rsidRPr="002946A9" w:rsidRDefault="00287F1C" w:rsidP="00F024D9">
            <w:pPr>
              <w:rPr>
                <w:rFonts w:cs="Calibri"/>
                <w:b w:val="0"/>
                <w:i/>
                <w:iCs/>
                <w:color w:val="auto"/>
                <w:sz w:val="18"/>
                <w:szCs w:val="18"/>
              </w:rPr>
            </w:pPr>
            <w:r w:rsidRPr="002946A9">
              <w:rPr>
                <w:b w:val="0"/>
                <w:i/>
                <w:iCs/>
                <w:color w:val="auto"/>
                <w:sz w:val="18"/>
                <w:szCs w:val="18"/>
              </w:rPr>
              <w:t>Ituango</w:t>
            </w:r>
          </w:p>
        </w:tc>
        <w:tc>
          <w:tcPr>
            <w:tcW w:w="1134" w:type="dxa"/>
            <w:noWrap/>
          </w:tcPr>
          <w:p w14:paraId="00552156"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05361</w:t>
            </w:r>
          </w:p>
        </w:tc>
        <w:tc>
          <w:tcPr>
            <w:tcW w:w="1225" w:type="dxa"/>
            <w:noWrap/>
          </w:tcPr>
          <w:p w14:paraId="5CEC7E70"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12,913 </w:t>
            </w:r>
          </w:p>
        </w:tc>
      </w:tr>
      <w:tr w:rsidR="00287F1C" w:rsidRPr="002946A9" w14:paraId="55FF0D9C"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6CCDF5C7" w14:textId="77777777" w:rsidR="00287F1C" w:rsidRPr="002946A9" w:rsidRDefault="00287F1C" w:rsidP="00F024D9">
            <w:pPr>
              <w:rPr>
                <w:rFonts w:cs="Calibri"/>
                <w:b w:val="0"/>
                <w:i/>
                <w:iCs/>
                <w:color w:val="auto"/>
                <w:sz w:val="18"/>
                <w:szCs w:val="18"/>
              </w:rPr>
            </w:pPr>
            <w:r w:rsidRPr="002946A9">
              <w:rPr>
                <w:b w:val="0"/>
                <w:i/>
                <w:iCs/>
                <w:color w:val="auto"/>
                <w:sz w:val="18"/>
                <w:szCs w:val="18"/>
              </w:rPr>
              <w:t>Jardín</w:t>
            </w:r>
          </w:p>
        </w:tc>
        <w:tc>
          <w:tcPr>
            <w:tcW w:w="1134" w:type="dxa"/>
            <w:noWrap/>
          </w:tcPr>
          <w:p w14:paraId="345ACBDB"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05364</w:t>
            </w:r>
          </w:p>
        </w:tc>
        <w:tc>
          <w:tcPr>
            <w:tcW w:w="1225" w:type="dxa"/>
            <w:noWrap/>
          </w:tcPr>
          <w:p w14:paraId="1A4B4E14"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1,490 </w:t>
            </w:r>
          </w:p>
        </w:tc>
      </w:tr>
      <w:tr w:rsidR="00287F1C" w:rsidRPr="002946A9" w14:paraId="67A592CC"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4BA0A4A" w14:textId="77777777" w:rsidR="00287F1C" w:rsidRPr="002946A9" w:rsidRDefault="00287F1C" w:rsidP="00F024D9">
            <w:pPr>
              <w:rPr>
                <w:rFonts w:cs="Calibri"/>
                <w:b w:val="0"/>
                <w:i/>
                <w:iCs/>
                <w:color w:val="auto"/>
                <w:sz w:val="18"/>
                <w:szCs w:val="18"/>
              </w:rPr>
            </w:pPr>
            <w:r w:rsidRPr="002946A9">
              <w:rPr>
                <w:b w:val="0"/>
                <w:i/>
                <w:iCs/>
                <w:color w:val="auto"/>
                <w:sz w:val="18"/>
                <w:szCs w:val="18"/>
              </w:rPr>
              <w:t>Jericó</w:t>
            </w:r>
          </w:p>
        </w:tc>
        <w:tc>
          <w:tcPr>
            <w:tcW w:w="1134" w:type="dxa"/>
            <w:noWrap/>
          </w:tcPr>
          <w:p w14:paraId="602992F2"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05368</w:t>
            </w:r>
          </w:p>
        </w:tc>
        <w:tc>
          <w:tcPr>
            <w:tcW w:w="1225" w:type="dxa"/>
            <w:noWrap/>
          </w:tcPr>
          <w:p w14:paraId="35F7347E"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1,634 </w:t>
            </w:r>
          </w:p>
        </w:tc>
      </w:tr>
      <w:tr w:rsidR="00287F1C" w:rsidRPr="002946A9" w14:paraId="6E73ECD9"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5FD91D2" w14:textId="77777777" w:rsidR="00287F1C" w:rsidRPr="002946A9" w:rsidRDefault="00287F1C" w:rsidP="00F024D9">
            <w:pPr>
              <w:rPr>
                <w:rFonts w:cs="Calibri"/>
                <w:b w:val="0"/>
                <w:i/>
                <w:iCs/>
                <w:color w:val="auto"/>
                <w:sz w:val="18"/>
                <w:szCs w:val="18"/>
              </w:rPr>
            </w:pPr>
            <w:r w:rsidRPr="002946A9">
              <w:rPr>
                <w:b w:val="0"/>
                <w:i/>
                <w:iCs/>
                <w:color w:val="auto"/>
                <w:sz w:val="18"/>
                <w:szCs w:val="18"/>
              </w:rPr>
              <w:t>La Apartada</w:t>
            </w:r>
          </w:p>
        </w:tc>
        <w:tc>
          <w:tcPr>
            <w:tcW w:w="1134" w:type="dxa"/>
            <w:noWrap/>
          </w:tcPr>
          <w:p w14:paraId="7BD00CD6"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23350</w:t>
            </w:r>
          </w:p>
        </w:tc>
        <w:tc>
          <w:tcPr>
            <w:tcW w:w="1225" w:type="dxa"/>
            <w:noWrap/>
          </w:tcPr>
          <w:p w14:paraId="77896EFE"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58 </w:t>
            </w:r>
          </w:p>
        </w:tc>
      </w:tr>
      <w:tr w:rsidR="00287F1C" w:rsidRPr="002946A9" w14:paraId="0E9E9012"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052344B" w14:textId="77777777" w:rsidR="00287F1C" w:rsidRPr="002946A9" w:rsidRDefault="00287F1C" w:rsidP="00F024D9">
            <w:pPr>
              <w:rPr>
                <w:rFonts w:cs="Calibri"/>
                <w:b w:val="0"/>
                <w:i/>
                <w:iCs/>
                <w:color w:val="auto"/>
                <w:sz w:val="18"/>
                <w:szCs w:val="18"/>
              </w:rPr>
            </w:pPr>
            <w:r w:rsidRPr="002946A9">
              <w:rPr>
                <w:b w:val="0"/>
                <w:i/>
                <w:iCs/>
                <w:color w:val="auto"/>
                <w:sz w:val="18"/>
                <w:szCs w:val="18"/>
              </w:rPr>
              <w:t>La Ceja</w:t>
            </w:r>
          </w:p>
        </w:tc>
        <w:tc>
          <w:tcPr>
            <w:tcW w:w="1134" w:type="dxa"/>
            <w:noWrap/>
          </w:tcPr>
          <w:p w14:paraId="1CAD1E01"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05376</w:t>
            </w:r>
          </w:p>
        </w:tc>
        <w:tc>
          <w:tcPr>
            <w:tcW w:w="1225" w:type="dxa"/>
            <w:noWrap/>
          </w:tcPr>
          <w:p w14:paraId="3864D079"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4,858 </w:t>
            </w:r>
          </w:p>
        </w:tc>
      </w:tr>
      <w:tr w:rsidR="00287F1C" w:rsidRPr="002946A9" w14:paraId="53593805"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409BB68" w14:textId="77777777" w:rsidR="00287F1C" w:rsidRPr="002946A9" w:rsidRDefault="00287F1C" w:rsidP="00F024D9">
            <w:pPr>
              <w:rPr>
                <w:rFonts w:cs="Calibri"/>
                <w:b w:val="0"/>
                <w:i/>
                <w:iCs/>
                <w:color w:val="auto"/>
                <w:sz w:val="18"/>
                <w:szCs w:val="18"/>
              </w:rPr>
            </w:pPr>
            <w:r w:rsidRPr="002946A9">
              <w:rPr>
                <w:b w:val="0"/>
                <w:i/>
                <w:iCs/>
                <w:color w:val="auto"/>
                <w:sz w:val="18"/>
                <w:szCs w:val="18"/>
              </w:rPr>
              <w:t>La Estrella</w:t>
            </w:r>
          </w:p>
        </w:tc>
        <w:tc>
          <w:tcPr>
            <w:tcW w:w="1134" w:type="dxa"/>
            <w:noWrap/>
          </w:tcPr>
          <w:p w14:paraId="34677FD1"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05380</w:t>
            </w:r>
          </w:p>
        </w:tc>
        <w:tc>
          <w:tcPr>
            <w:tcW w:w="1225" w:type="dxa"/>
            <w:noWrap/>
          </w:tcPr>
          <w:p w14:paraId="019F324C"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33,438 </w:t>
            </w:r>
          </w:p>
        </w:tc>
      </w:tr>
      <w:tr w:rsidR="00287F1C" w:rsidRPr="002946A9" w14:paraId="1931C949"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0C6EA51" w14:textId="77777777" w:rsidR="00287F1C" w:rsidRPr="002946A9" w:rsidRDefault="00287F1C" w:rsidP="00F024D9">
            <w:pPr>
              <w:rPr>
                <w:rFonts w:cs="Calibri"/>
                <w:b w:val="0"/>
                <w:i/>
                <w:iCs/>
                <w:color w:val="auto"/>
                <w:sz w:val="18"/>
                <w:szCs w:val="18"/>
              </w:rPr>
            </w:pPr>
            <w:r w:rsidRPr="002946A9">
              <w:rPr>
                <w:b w:val="0"/>
                <w:i/>
                <w:iCs/>
                <w:color w:val="auto"/>
                <w:sz w:val="18"/>
                <w:szCs w:val="18"/>
              </w:rPr>
              <w:t>La Pintada</w:t>
            </w:r>
          </w:p>
        </w:tc>
        <w:tc>
          <w:tcPr>
            <w:tcW w:w="1134" w:type="dxa"/>
            <w:noWrap/>
          </w:tcPr>
          <w:p w14:paraId="0A17E3D8"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05390</w:t>
            </w:r>
          </w:p>
        </w:tc>
        <w:tc>
          <w:tcPr>
            <w:tcW w:w="1225" w:type="dxa"/>
            <w:noWrap/>
          </w:tcPr>
          <w:p w14:paraId="518C94B5"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1,523 </w:t>
            </w:r>
          </w:p>
        </w:tc>
      </w:tr>
      <w:tr w:rsidR="00287F1C" w:rsidRPr="002946A9" w14:paraId="7E3B7D5A"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603ADB8" w14:textId="77777777" w:rsidR="00287F1C" w:rsidRPr="002946A9" w:rsidRDefault="00287F1C" w:rsidP="00F024D9">
            <w:pPr>
              <w:rPr>
                <w:rFonts w:cs="Calibri"/>
                <w:b w:val="0"/>
                <w:i/>
                <w:iCs/>
                <w:color w:val="auto"/>
                <w:sz w:val="18"/>
                <w:szCs w:val="18"/>
              </w:rPr>
            </w:pPr>
            <w:r w:rsidRPr="002946A9">
              <w:rPr>
                <w:b w:val="0"/>
                <w:i/>
                <w:iCs/>
                <w:color w:val="auto"/>
                <w:sz w:val="18"/>
                <w:szCs w:val="18"/>
              </w:rPr>
              <w:t>La Unión</w:t>
            </w:r>
          </w:p>
        </w:tc>
        <w:tc>
          <w:tcPr>
            <w:tcW w:w="1134" w:type="dxa"/>
            <w:noWrap/>
          </w:tcPr>
          <w:p w14:paraId="762C2828"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05400</w:t>
            </w:r>
          </w:p>
        </w:tc>
        <w:tc>
          <w:tcPr>
            <w:tcW w:w="1225" w:type="dxa"/>
            <w:noWrap/>
          </w:tcPr>
          <w:p w14:paraId="170D8F34"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4,072 </w:t>
            </w:r>
          </w:p>
        </w:tc>
      </w:tr>
      <w:tr w:rsidR="00287F1C" w:rsidRPr="002946A9" w14:paraId="454C1D43"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4B44E021" w14:textId="77777777" w:rsidR="00287F1C" w:rsidRPr="002946A9" w:rsidRDefault="00287F1C" w:rsidP="00F024D9">
            <w:pPr>
              <w:rPr>
                <w:rFonts w:cs="Calibri"/>
                <w:b w:val="0"/>
                <w:i/>
                <w:iCs/>
                <w:color w:val="auto"/>
                <w:sz w:val="18"/>
                <w:szCs w:val="18"/>
              </w:rPr>
            </w:pPr>
            <w:r w:rsidRPr="002946A9">
              <w:rPr>
                <w:b w:val="0"/>
                <w:i/>
                <w:iCs/>
                <w:color w:val="auto"/>
                <w:sz w:val="18"/>
                <w:szCs w:val="18"/>
              </w:rPr>
              <w:t>Liborina</w:t>
            </w:r>
          </w:p>
        </w:tc>
        <w:tc>
          <w:tcPr>
            <w:tcW w:w="1134" w:type="dxa"/>
            <w:noWrap/>
          </w:tcPr>
          <w:p w14:paraId="2C572456"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05411</w:t>
            </w:r>
          </w:p>
        </w:tc>
        <w:tc>
          <w:tcPr>
            <w:tcW w:w="1225" w:type="dxa"/>
            <w:noWrap/>
          </w:tcPr>
          <w:p w14:paraId="2619C29F"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4,399 </w:t>
            </w:r>
          </w:p>
        </w:tc>
      </w:tr>
      <w:tr w:rsidR="00287F1C" w:rsidRPr="002946A9" w14:paraId="74FB8080"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140B6278" w14:textId="77777777" w:rsidR="00287F1C" w:rsidRPr="002946A9" w:rsidRDefault="00287F1C" w:rsidP="00F024D9">
            <w:pPr>
              <w:rPr>
                <w:rFonts w:cs="Calibri"/>
                <w:b w:val="0"/>
                <w:i/>
                <w:iCs/>
                <w:color w:val="auto"/>
                <w:sz w:val="18"/>
                <w:szCs w:val="18"/>
              </w:rPr>
            </w:pPr>
            <w:r w:rsidRPr="002946A9">
              <w:rPr>
                <w:b w:val="0"/>
                <w:i/>
                <w:iCs/>
                <w:color w:val="auto"/>
                <w:sz w:val="18"/>
                <w:szCs w:val="18"/>
              </w:rPr>
              <w:t>Maceo</w:t>
            </w:r>
          </w:p>
        </w:tc>
        <w:tc>
          <w:tcPr>
            <w:tcW w:w="1134" w:type="dxa"/>
            <w:noWrap/>
          </w:tcPr>
          <w:p w14:paraId="13CD41E1"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05425</w:t>
            </w:r>
          </w:p>
        </w:tc>
        <w:tc>
          <w:tcPr>
            <w:tcW w:w="1225" w:type="dxa"/>
            <w:noWrap/>
          </w:tcPr>
          <w:p w14:paraId="446515A0"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6,966 </w:t>
            </w:r>
          </w:p>
        </w:tc>
      </w:tr>
      <w:tr w:rsidR="00287F1C" w:rsidRPr="002946A9" w14:paraId="0CD29C0D"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6F7DA57C" w14:textId="77777777" w:rsidR="00287F1C" w:rsidRPr="002946A9" w:rsidRDefault="00287F1C" w:rsidP="00F024D9">
            <w:pPr>
              <w:rPr>
                <w:rFonts w:cs="Calibri"/>
                <w:b w:val="0"/>
                <w:i/>
                <w:iCs/>
                <w:color w:val="auto"/>
                <w:sz w:val="18"/>
                <w:szCs w:val="18"/>
              </w:rPr>
            </w:pPr>
            <w:r w:rsidRPr="002946A9">
              <w:rPr>
                <w:b w:val="0"/>
                <w:i/>
                <w:iCs/>
                <w:color w:val="auto"/>
                <w:sz w:val="18"/>
                <w:szCs w:val="18"/>
              </w:rPr>
              <w:t>Marinilla</w:t>
            </w:r>
          </w:p>
        </w:tc>
        <w:tc>
          <w:tcPr>
            <w:tcW w:w="1134" w:type="dxa"/>
            <w:noWrap/>
          </w:tcPr>
          <w:p w14:paraId="424270F8"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05440</w:t>
            </w:r>
          </w:p>
        </w:tc>
        <w:tc>
          <w:tcPr>
            <w:tcW w:w="1225" w:type="dxa"/>
            <w:noWrap/>
          </w:tcPr>
          <w:p w14:paraId="09F4BBBB"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10,078 </w:t>
            </w:r>
          </w:p>
        </w:tc>
      </w:tr>
      <w:tr w:rsidR="00287F1C" w:rsidRPr="002946A9" w14:paraId="2E073B8A" w14:textId="77777777" w:rsidTr="00370F28">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06B94B29" w14:textId="77777777" w:rsidR="00287F1C" w:rsidRPr="002946A9" w:rsidRDefault="00287F1C" w:rsidP="00F024D9">
            <w:pPr>
              <w:rPr>
                <w:rFonts w:cs="Calibri"/>
                <w:b w:val="0"/>
                <w:i/>
                <w:iCs/>
                <w:color w:val="auto"/>
                <w:sz w:val="18"/>
                <w:szCs w:val="18"/>
              </w:rPr>
            </w:pPr>
            <w:r w:rsidRPr="002946A9">
              <w:rPr>
                <w:b w:val="0"/>
                <w:i/>
                <w:iCs/>
                <w:color w:val="auto"/>
                <w:sz w:val="18"/>
                <w:szCs w:val="18"/>
              </w:rPr>
              <w:t>Medellín</w:t>
            </w:r>
          </w:p>
        </w:tc>
        <w:tc>
          <w:tcPr>
            <w:tcW w:w="1134" w:type="dxa"/>
            <w:noWrap/>
          </w:tcPr>
          <w:p w14:paraId="0D850C5C"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05001</w:t>
            </w:r>
          </w:p>
        </w:tc>
        <w:tc>
          <w:tcPr>
            <w:tcW w:w="1225" w:type="dxa"/>
            <w:noWrap/>
          </w:tcPr>
          <w:p w14:paraId="4437DC32" w14:textId="0C2C8921"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w:t>
            </w:r>
            <w:r w:rsidR="00F517BA" w:rsidRPr="002946A9">
              <w:rPr>
                <w:sz w:val="18"/>
                <w:szCs w:val="18"/>
              </w:rPr>
              <w:t>34</w:t>
            </w:r>
            <w:r w:rsidR="00F517BA">
              <w:rPr>
                <w:sz w:val="18"/>
                <w:szCs w:val="18"/>
              </w:rPr>
              <w:t>2</w:t>
            </w:r>
            <w:r w:rsidRPr="002946A9">
              <w:rPr>
                <w:sz w:val="18"/>
                <w:szCs w:val="18"/>
              </w:rPr>
              <w:t>,</w:t>
            </w:r>
            <w:r w:rsidR="00F517BA">
              <w:rPr>
                <w:sz w:val="18"/>
                <w:szCs w:val="18"/>
              </w:rPr>
              <w:t>882</w:t>
            </w:r>
            <w:r w:rsidR="00F517BA" w:rsidRPr="002946A9">
              <w:rPr>
                <w:sz w:val="18"/>
                <w:szCs w:val="18"/>
              </w:rPr>
              <w:t xml:space="preserve"> </w:t>
            </w:r>
          </w:p>
        </w:tc>
      </w:tr>
      <w:tr w:rsidR="00287F1C" w:rsidRPr="002946A9" w14:paraId="4C4029E4"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6683DAA6" w14:textId="77777777" w:rsidR="00287F1C" w:rsidRPr="002946A9" w:rsidRDefault="00287F1C" w:rsidP="00F024D9">
            <w:pPr>
              <w:rPr>
                <w:rFonts w:cs="Calibri"/>
                <w:b w:val="0"/>
                <w:i/>
                <w:iCs/>
                <w:color w:val="auto"/>
                <w:sz w:val="18"/>
                <w:szCs w:val="18"/>
              </w:rPr>
            </w:pPr>
            <w:r w:rsidRPr="002946A9">
              <w:rPr>
                <w:b w:val="0"/>
                <w:i/>
                <w:iCs/>
                <w:color w:val="auto"/>
                <w:sz w:val="18"/>
                <w:szCs w:val="18"/>
              </w:rPr>
              <w:t>Montebello</w:t>
            </w:r>
          </w:p>
        </w:tc>
        <w:tc>
          <w:tcPr>
            <w:tcW w:w="1134" w:type="dxa"/>
            <w:noWrap/>
          </w:tcPr>
          <w:p w14:paraId="6B67F103"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05467</w:t>
            </w:r>
          </w:p>
        </w:tc>
        <w:tc>
          <w:tcPr>
            <w:tcW w:w="1225" w:type="dxa"/>
            <w:noWrap/>
          </w:tcPr>
          <w:p w14:paraId="0D95F0B6"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2,386 </w:t>
            </w:r>
          </w:p>
        </w:tc>
      </w:tr>
      <w:tr w:rsidR="00287F1C" w:rsidRPr="002946A9" w14:paraId="0AF5C945"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493FD5F" w14:textId="77777777" w:rsidR="00287F1C" w:rsidRPr="002946A9" w:rsidRDefault="00287F1C" w:rsidP="00F024D9">
            <w:pPr>
              <w:rPr>
                <w:rFonts w:cs="Calibri"/>
                <w:b w:val="0"/>
                <w:i/>
                <w:iCs/>
                <w:color w:val="auto"/>
                <w:sz w:val="18"/>
                <w:szCs w:val="18"/>
              </w:rPr>
            </w:pPr>
            <w:r w:rsidRPr="002946A9">
              <w:rPr>
                <w:b w:val="0"/>
                <w:i/>
                <w:iCs/>
                <w:color w:val="auto"/>
                <w:sz w:val="18"/>
                <w:szCs w:val="18"/>
              </w:rPr>
              <w:t>Montelíbano</w:t>
            </w:r>
          </w:p>
        </w:tc>
        <w:tc>
          <w:tcPr>
            <w:tcW w:w="1134" w:type="dxa"/>
            <w:noWrap/>
          </w:tcPr>
          <w:p w14:paraId="4C6C14C8"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23466</w:t>
            </w:r>
          </w:p>
        </w:tc>
        <w:tc>
          <w:tcPr>
            <w:tcW w:w="1225" w:type="dxa"/>
            <w:noWrap/>
          </w:tcPr>
          <w:p w14:paraId="69660C61"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15 </w:t>
            </w:r>
          </w:p>
        </w:tc>
      </w:tr>
      <w:tr w:rsidR="00287F1C" w:rsidRPr="002946A9" w14:paraId="44C8C436"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1237225A" w14:textId="77777777" w:rsidR="00287F1C" w:rsidRPr="002946A9" w:rsidRDefault="00287F1C" w:rsidP="00F024D9">
            <w:pPr>
              <w:rPr>
                <w:rFonts w:cs="Calibri"/>
                <w:b w:val="0"/>
                <w:i/>
                <w:iCs/>
                <w:color w:val="auto"/>
                <w:sz w:val="18"/>
                <w:szCs w:val="18"/>
              </w:rPr>
            </w:pPr>
            <w:r w:rsidRPr="002946A9">
              <w:rPr>
                <w:b w:val="0"/>
                <w:i/>
                <w:iCs/>
                <w:color w:val="auto"/>
                <w:sz w:val="18"/>
                <w:szCs w:val="18"/>
              </w:rPr>
              <w:t>Mutatá</w:t>
            </w:r>
          </w:p>
        </w:tc>
        <w:tc>
          <w:tcPr>
            <w:tcW w:w="1134" w:type="dxa"/>
            <w:noWrap/>
          </w:tcPr>
          <w:p w14:paraId="682D98B4"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05480</w:t>
            </w:r>
          </w:p>
        </w:tc>
        <w:tc>
          <w:tcPr>
            <w:tcW w:w="1225" w:type="dxa"/>
            <w:noWrap/>
          </w:tcPr>
          <w:p w14:paraId="38483291"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25,409 </w:t>
            </w:r>
          </w:p>
        </w:tc>
      </w:tr>
      <w:tr w:rsidR="00287F1C" w:rsidRPr="002946A9" w14:paraId="771EE481"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651C15CB" w14:textId="77777777" w:rsidR="00287F1C" w:rsidRPr="002946A9" w:rsidRDefault="00287F1C" w:rsidP="00F024D9">
            <w:pPr>
              <w:rPr>
                <w:rFonts w:cs="Calibri"/>
                <w:b w:val="0"/>
                <w:i/>
                <w:iCs/>
                <w:color w:val="auto"/>
                <w:sz w:val="18"/>
                <w:szCs w:val="18"/>
              </w:rPr>
            </w:pPr>
            <w:r w:rsidRPr="002946A9">
              <w:rPr>
                <w:b w:val="0"/>
                <w:i/>
                <w:iCs/>
                <w:color w:val="auto"/>
                <w:sz w:val="18"/>
                <w:szCs w:val="18"/>
              </w:rPr>
              <w:t>Nariño</w:t>
            </w:r>
          </w:p>
        </w:tc>
        <w:tc>
          <w:tcPr>
            <w:tcW w:w="1134" w:type="dxa"/>
            <w:noWrap/>
          </w:tcPr>
          <w:p w14:paraId="017D0636"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05483</w:t>
            </w:r>
          </w:p>
        </w:tc>
        <w:tc>
          <w:tcPr>
            <w:tcW w:w="1225" w:type="dxa"/>
            <w:noWrap/>
          </w:tcPr>
          <w:p w14:paraId="3463E397"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2,825 </w:t>
            </w:r>
          </w:p>
        </w:tc>
      </w:tr>
      <w:tr w:rsidR="00287F1C" w:rsidRPr="002946A9" w14:paraId="75EA5A03"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7312D99" w14:textId="77777777" w:rsidR="00287F1C" w:rsidRPr="002946A9" w:rsidRDefault="00287F1C" w:rsidP="00F024D9">
            <w:pPr>
              <w:rPr>
                <w:rFonts w:cs="Calibri"/>
                <w:b w:val="0"/>
                <w:i/>
                <w:iCs/>
                <w:color w:val="auto"/>
                <w:sz w:val="18"/>
                <w:szCs w:val="18"/>
              </w:rPr>
            </w:pPr>
            <w:r w:rsidRPr="002946A9">
              <w:rPr>
                <w:b w:val="0"/>
                <w:i/>
                <w:iCs/>
                <w:color w:val="auto"/>
                <w:sz w:val="18"/>
                <w:szCs w:val="18"/>
              </w:rPr>
              <w:t>Nechí</w:t>
            </w:r>
          </w:p>
        </w:tc>
        <w:tc>
          <w:tcPr>
            <w:tcW w:w="1134" w:type="dxa"/>
            <w:noWrap/>
          </w:tcPr>
          <w:p w14:paraId="34AF2B10"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05495</w:t>
            </w:r>
          </w:p>
        </w:tc>
        <w:tc>
          <w:tcPr>
            <w:tcW w:w="1225" w:type="dxa"/>
            <w:noWrap/>
          </w:tcPr>
          <w:p w14:paraId="3F13CE9E"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9,762 </w:t>
            </w:r>
          </w:p>
        </w:tc>
      </w:tr>
      <w:tr w:rsidR="00287F1C" w:rsidRPr="002946A9" w14:paraId="7F903585"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A8C2465" w14:textId="77777777" w:rsidR="00287F1C" w:rsidRPr="002946A9" w:rsidRDefault="00287F1C" w:rsidP="00F024D9">
            <w:pPr>
              <w:rPr>
                <w:rFonts w:cs="Calibri"/>
                <w:b w:val="0"/>
                <w:i/>
                <w:iCs/>
                <w:color w:val="auto"/>
                <w:sz w:val="18"/>
                <w:szCs w:val="18"/>
              </w:rPr>
            </w:pPr>
            <w:r w:rsidRPr="002946A9">
              <w:rPr>
                <w:b w:val="0"/>
                <w:i/>
                <w:iCs/>
                <w:color w:val="auto"/>
                <w:sz w:val="18"/>
                <w:szCs w:val="18"/>
              </w:rPr>
              <w:t>Necoclí</w:t>
            </w:r>
          </w:p>
        </w:tc>
        <w:tc>
          <w:tcPr>
            <w:tcW w:w="1134" w:type="dxa"/>
            <w:noWrap/>
          </w:tcPr>
          <w:p w14:paraId="2D5D018C"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05490</w:t>
            </w:r>
          </w:p>
        </w:tc>
        <w:tc>
          <w:tcPr>
            <w:tcW w:w="1225" w:type="dxa"/>
            <w:noWrap/>
          </w:tcPr>
          <w:p w14:paraId="64111CF1"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30,586 </w:t>
            </w:r>
          </w:p>
        </w:tc>
      </w:tr>
      <w:tr w:rsidR="00287F1C" w:rsidRPr="002946A9" w14:paraId="05CA06A4"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A6225B4" w14:textId="77777777" w:rsidR="00287F1C" w:rsidRPr="002946A9" w:rsidRDefault="00287F1C" w:rsidP="00F024D9">
            <w:pPr>
              <w:rPr>
                <w:rFonts w:cs="Calibri"/>
                <w:b w:val="0"/>
                <w:i/>
                <w:iCs/>
                <w:color w:val="auto"/>
                <w:sz w:val="18"/>
                <w:szCs w:val="18"/>
              </w:rPr>
            </w:pPr>
            <w:r w:rsidRPr="002946A9">
              <w:rPr>
                <w:b w:val="0"/>
                <w:i/>
                <w:iCs/>
                <w:color w:val="auto"/>
                <w:sz w:val="18"/>
                <w:szCs w:val="18"/>
              </w:rPr>
              <w:t>Olaya</w:t>
            </w:r>
          </w:p>
        </w:tc>
        <w:tc>
          <w:tcPr>
            <w:tcW w:w="1134" w:type="dxa"/>
            <w:noWrap/>
          </w:tcPr>
          <w:p w14:paraId="024D43EF"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05501</w:t>
            </w:r>
          </w:p>
        </w:tc>
        <w:tc>
          <w:tcPr>
            <w:tcW w:w="1225" w:type="dxa"/>
            <w:noWrap/>
          </w:tcPr>
          <w:p w14:paraId="6933DD9F"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493 </w:t>
            </w:r>
          </w:p>
        </w:tc>
      </w:tr>
      <w:tr w:rsidR="00287F1C" w:rsidRPr="002946A9" w14:paraId="2BA6CFA4"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26D7EF2" w14:textId="77777777" w:rsidR="00287F1C" w:rsidRPr="002946A9" w:rsidRDefault="00287F1C" w:rsidP="00F024D9">
            <w:pPr>
              <w:rPr>
                <w:rFonts w:cs="Calibri"/>
                <w:b w:val="0"/>
                <w:i/>
                <w:iCs/>
                <w:color w:val="auto"/>
                <w:sz w:val="18"/>
                <w:szCs w:val="18"/>
              </w:rPr>
            </w:pPr>
            <w:r w:rsidRPr="002946A9">
              <w:rPr>
                <w:b w:val="0"/>
                <w:i/>
                <w:iCs/>
                <w:color w:val="auto"/>
                <w:sz w:val="18"/>
                <w:szCs w:val="18"/>
              </w:rPr>
              <w:t>Peque</w:t>
            </w:r>
          </w:p>
        </w:tc>
        <w:tc>
          <w:tcPr>
            <w:tcW w:w="1134" w:type="dxa"/>
            <w:noWrap/>
          </w:tcPr>
          <w:p w14:paraId="2DABDAB0"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05543</w:t>
            </w:r>
          </w:p>
        </w:tc>
        <w:tc>
          <w:tcPr>
            <w:tcW w:w="1225" w:type="dxa"/>
            <w:noWrap/>
          </w:tcPr>
          <w:p w14:paraId="34F1646F"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3,389 </w:t>
            </w:r>
          </w:p>
        </w:tc>
      </w:tr>
      <w:tr w:rsidR="00287F1C" w:rsidRPr="002946A9" w14:paraId="3D1F4368"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9788DD6" w14:textId="77777777" w:rsidR="00287F1C" w:rsidRPr="002946A9" w:rsidRDefault="00287F1C" w:rsidP="00F024D9">
            <w:pPr>
              <w:rPr>
                <w:rFonts w:cs="Calibri"/>
                <w:b w:val="0"/>
                <w:i/>
                <w:iCs/>
                <w:color w:val="auto"/>
                <w:sz w:val="18"/>
                <w:szCs w:val="18"/>
              </w:rPr>
            </w:pPr>
            <w:r w:rsidRPr="002946A9">
              <w:rPr>
                <w:b w:val="0"/>
                <w:i/>
                <w:iCs/>
                <w:color w:val="auto"/>
                <w:sz w:val="18"/>
                <w:szCs w:val="18"/>
              </w:rPr>
              <w:t>Pueblorrico</w:t>
            </w:r>
          </w:p>
        </w:tc>
        <w:tc>
          <w:tcPr>
            <w:tcW w:w="1134" w:type="dxa"/>
            <w:noWrap/>
          </w:tcPr>
          <w:p w14:paraId="60E61A9D"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05576</w:t>
            </w:r>
          </w:p>
        </w:tc>
        <w:tc>
          <w:tcPr>
            <w:tcW w:w="1225" w:type="dxa"/>
            <w:noWrap/>
          </w:tcPr>
          <w:p w14:paraId="7697EB00"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869 </w:t>
            </w:r>
          </w:p>
        </w:tc>
      </w:tr>
      <w:tr w:rsidR="00287F1C" w:rsidRPr="002946A9" w14:paraId="6BAC95FE"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369AF8A" w14:textId="77777777" w:rsidR="00287F1C" w:rsidRPr="002946A9" w:rsidRDefault="00287F1C" w:rsidP="00F024D9">
            <w:pPr>
              <w:rPr>
                <w:rFonts w:cs="Calibri"/>
                <w:b w:val="0"/>
                <w:i/>
                <w:iCs/>
                <w:color w:val="auto"/>
                <w:sz w:val="18"/>
                <w:szCs w:val="18"/>
              </w:rPr>
            </w:pPr>
            <w:r w:rsidRPr="002946A9">
              <w:rPr>
                <w:b w:val="0"/>
                <w:i/>
                <w:iCs/>
                <w:color w:val="auto"/>
                <w:sz w:val="18"/>
                <w:szCs w:val="18"/>
              </w:rPr>
              <w:t>Puerto Berrío</w:t>
            </w:r>
          </w:p>
        </w:tc>
        <w:tc>
          <w:tcPr>
            <w:tcW w:w="1134" w:type="dxa"/>
            <w:noWrap/>
          </w:tcPr>
          <w:p w14:paraId="38803B44"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05579</w:t>
            </w:r>
          </w:p>
        </w:tc>
        <w:tc>
          <w:tcPr>
            <w:tcW w:w="1225" w:type="dxa"/>
            <w:noWrap/>
          </w:tcPr>
          <w:p w14:paraId="2A6E7C8A"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15,744 </w:t>
            </w:r>
          </w:p>
        </w:tc>
      </w:tr>
      <w:tr w:rsidR="00287F1C" w:rsidRPr="002946A9" w14:paraId="6C9F6CD6"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70325A3" w14:textId="77777777" w:rsidR="00287F1C" w:rsidRPr="002946A9" w:rsidRDefault="00287F1C" w:rsidP="00F024D9">
            <w:pPr>
              <w:rPr>
                <w:rFonts w:cs="Calibri"/>
                <w:b w:val="0"/>
                <w:i/>
                <w:iCs/>
                <w:color w:val="auto"/>
                <w:sz w:val="18"/>
                <w:szCs w:val="18"/>
              </w:rPr>
            </w:pPr>
            <w:r w:rsidRPr="002946A9">
              <w:rPr>
                <w:b w:val="0"/>
                <w:i/>
                <w:iCs/>
                <w:color w:val="auto"/>
                <w:sz w:val="18"/>
                <w:szCs w:val="18"/>
              </w:rPr>
              <w:t>Puerto Nare</w:t>
            </w:r>
          </w:p>
        </w:tc>
        <w:tc>
          <w:tcPr>
            <w:tcW w:w="1134" w:type="dxa"/>
            <w:noWrap/>
          </w:tcPr>
          <w:p w14:paraId="2EC7BB80"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05585</w:t>
            </w:r>
          </w:p>
        </w:tc>
        <w:tc>
          <w:tcPr>
            <w:tcW w:w="1225" w:type="dxa"/>
            <w:noWrap/>
          </w:tcPr>
          <w:p w14:paraId="3F70FCCF"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7,420 </w:t>
            </w:r>
          </w:p>
        </w:tc>
      </w:tr>
      <w:tr w:rsidR="00287F1C" w:rsidRPr="002946A9" w14:paraId="446CBC80"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B1F2D34" w14:textId="77777777" w:rsidR="00287F1C" w:rsidRPr="002946A9" w:rsidRDefault="00287F1C" w:rsidP="00F024D9">
            <w:pPr>
              <w:rPr>
                <w:rFonts w:cs="Calibri"/>
                <w:b w:val="0"/>
                <w:i/>
                <w:iCs/>
                <w:color w:val="auto"/>
                <w:sz w:val="18"/>
                <w:szCs w:val="18"/>
              </w:rPr>
            </w:pPr>
            <w:r w:rsidRPr="002946A9">
              <w:rPr>
                <w:b w:val="0"/>
                <w:i/>
                <w:iCs/>
                <w:color w:val="auto"/>
                <w:sz w:val="18"/>
                <w:szCs w:val="18"/>
              </w:rPr>
              <w:t>Puerto Triunfo</w:t>
            </w:r>
          </w:p>
        </w:tc>
        <w:tc>
          <w:tcPr>
            <w:tcW w:w="1134" w:type="dxa"/>
            <w:noWrap/>
          </w:tcPr>
          <w:p w14:paraId="3615E741"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05591</w:t>
            </w:r>
          </w:p>
        </w:tc>
        <w:tc>
          <w:tcPr>
            <w:tcW w:w="1225" w:type="dxa"/>
            <w:noWrap/>
          </w:tcPr>
          <w:p w14:paraId="01556768"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8,226 </w:t>
            </w:r>
          </w:p>
        </w:tc>
      </w:tr>
      <w:tr w:rsidR="00287F1C" w:rsidRPr="002946A9" w14:paraId="540BDA84"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1A884B6D" w14:textId="77777777" w:rsidR="00287F1C" w:rsidRPr="002946A9" w:rsidRDefault="00287F1C" w:rsidP="00F024D9">
            <w:pPr>
              <w:rPr>
                <w:rFonts w:cs="Calibri"/>
                <w:b w:val="0"/>
                <w:i/>
                <w:iCs/>
                <w:color w:val="auto"/>
                <w:sz w:val="18"/>
                <w:szCs w:val="18"/>
              </w:rPr>
            </w:pPr>
            <w:r w:rsidRPr="002946A9">
              <w:rPr>
                <w:b w:val="0"/>
                <w:i/>
                <w:iCs/>
                <w:color w:val="auto"/>
                <w:sz w:val="18"/>
                <w:szCs w:val="18"/>
              </w:rPr>
              <w:t>Remedios</w:t>
            </w:r>
          </w:p>
        </w:tc>
        <w:tc>
          <w:tcPr>
            <w:tcW w:w="1134" w:type="dxa"/>
            <w:noWrap/>
          </w:tcPr>
          <w:p w14:paraId="79C25A21"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05604</w:t>
            </w:r>
          </w:p>
        </w:tc>
        <w:tc>
          <w:tcPr>
            <w:tcW w:w="1225" w:type="dxa"/>
            <w:noWrap/>
          </w:tcPr>
          <w:p w14:paraId="30089368"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20,841 </w:t>
            </w:r>
          </w:p>
        </w:tc>
      </w:tr>
      <w:tr w:rsidR="00287F1C" w:rsidRPr="002946A9" w14:paraId="65643EB1"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65CADCB5" w14:textId="77777777" w:rsidR="00287F1C" w:rsidRPr="002946A9" w:rsidRDefault="00287F1C" w:rsidP="00F024D9">
            <w:pPr>
              <w:rPr>
                <w:rFonts w:cs="Calibri"/>
                <w:b w:val="0"/>
                <w:i/>
                <w:iCs/>
                <w:color w:val="auto"/>
                <w:sz w:val="18"/>
                <w:szCs w:val="18"/>
              </w:rPr>
            </w:pPr>
            <w:r w:rsidRPr="002946A9">
              <w:rPr>
                <w:b w:val="0"/>
                <w:i/>
                <w:iCs/>
                <w:color w:val="auto"/>
                <w:sz w:val="18"/>
                <w:szCs w:val="18"/>
              </w:rPr>
              <w:t>Rionegro</w:t>
            </w:r>
          </w:p>
        </w:tc>
        <w:tc>
          <w:tcPr>
            <w:tcW w:w="1134" w:type="dxa"/>
            <w:noWrap/>
          </w:tcPr>
          <w:p w14:paraId="3281F508"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05615</w:t>
            </w:r>
          </w:p>
        </w:tc>
        <w:tc>
          <w:tcPr>
            <w:tcW w:w="1225" w:type="dxa"/>
            <w:noWrap/>
          </w:tcPr>
          <w:p w14:paraId="3EA1EF40"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46,681 </w:t>
            </w:r>
          </w:p>
        </w:tc>
      </w:tr>
      <w:tr w:rsidR="00287F1C" w:rsidRPr="002946A9" w14:paraId="17B893E9"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1C60157" w14:textId="77777777" w:rsidR="00287F1C" w:rsidRPr="002946A9" w:rsidRDefault="00287F1C" w:rsidP="00F024D9">
            <w:pPr>
              <w:rPr>
                <w:rFonts w:cs="Calibri"/>
                <w:b w:val="0"/>
                <w:i/>
                <w:iCs/>
                <w:color w:val="auto"/>
                <w:sz w:val="18"/>
                <w:szCs w:val="18"/>
              </w:rPr>
            </w:pPr>
            <w:r w:rsidRPr="002946A9">
              <w:rPr>
                <w:b w:val="0"/>
                <w:i/>
                <w:iCs/>
                <w:color w:val="auto"/>
                <w:sz w:val="18"/>
                <w:szCs w:val="18"/>
              </w:rPr>
              <w:t>Riosucio</w:t>
            </w:r>
          </w:p>
        </w:tc>
        <w:tc>
          <w:tcPr>
            <w:tcW w:w="1134" w:type="dxa"/>
            <w:noWrap/>
          </w:tcPr>
          <w:p w14:paraId="342E35CE"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27615</w:t>
            </w:r>
          </w:p>
        </w:tc>
        <w:tc>
          <w:tcPr>
            <w:tcW w:w="1225" w:type="dxa"/>
            <w:noWrap/>
          </w:tcPr>
          <w:p w14:paraId="6BD2F973"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2,139 </w:t>
            </w:r>
          </w:p>
        </w:tc>
      </w:tr>
      <w:tr w:rsidR="00287F1C" w:rsidRPr="002946A9" w14:paraId="69B7ADA5"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1F0F111C" w14:textId="77777777" w:rsidR="00287F1C" w:rsidRPr="002946A9" w:rsidRDefault="00287F1C" w:rsidP="00F024D9">
            <w:pPr>
              <w:rPr>
                <w:rFonts w:cs="Calibri"/>
                <w:b w:val="0"/>
                <w:i/>
                <w:iCs/>
                <w:color w:val="auto"/>
                <w:sz w:val="18"/>
                <w:szCs w:val="18"/>
              </w:rPr>
            </w:pPr>
            <w:r w:rsidRPr="002946A9">
              <w:rPr>
                <w:b w:val="0"/>
                <w:i/>
                <w:iCs/>
                <w:color w:val="auto"/>
                <w:sz w:val="18"/>
                <w:szCs w:val="18"/>
              </w:rPr>
              <w:t>Sabanalarga</w:t>
            </w:r>
          </w:p>
        </w:tc>
        <w:tc>
          <w:tcPr>
            <w:tcW w:w="1134" w:type="dxa"/>
            <w:noWrap/>
          </w:tcPr>
          <w:p w14:paraId="2010333E"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05628</w:t>
            </w:r>
          </w:p>
        </w:tc>
        <w:tc>
          <w:tcPr>
            <w:tcW w:w="1225" w:type="dxa"/>
            <w:noWrap/>
          </w:tcPr>
          <w:p w14:paraId="288AA3B9"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2,722 </w:t>
            </w:r>
          </w:p>
        </w:tc>
      </w:tr>
      <w:tr w:rsidR="00287F1C" w:rsidRPr="002946A9" w14:paraId="790C3DA4"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468D910C" w14:textId="77777777" w:rsidR="00287F1C" w:rsidRPr="002946A9" w:rsidRDefault="00287F1C" w:rsidP="00F024D9">
            <w:pPr>
              <w:rPr>
                <w:rFonts w:cs="Calibri"/>
                <w:b w:val="0"/>
                <w:i/>
                <w:iCs/>
                <w:color w:val="auto"/>
                <w:sz w:val="18"/>
                <w:szCs w:val="18"/>
              </w:rPr>
            </w:pPr>
            <w:r w:rsidRPr="002946A9">
              <w:rPr>
                <w:b w:val="0"/>
                <w:i/>
                <w:iCs/>
                <w:color w:val="auto"/>
                <w:sz w:val="18"/>
                <w:szCs w:val="18"/>
              </w:rPr>
              <w:t>Sabaneta</w:t>
            </w:r>
          </w:p>
        </w:tc>
        <w:tc>
          <w:tcPr>
            <w:tcW w:w="1134" w:type="dxa"/>
            <w:noWrap/>
          </w:tcPr>
          <w:p w14:paraId="400247BC"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05631</w:t>
            </w:r>
          </w:p>
        </w:tc>
        <w:tc>
          <w:tcPr>
            <w:tcW w:w="1225" w:type="dxa"/>
            <w:noWrap/>
          </w:tcPr>
          <w:p w14:paraId="3286D0FD"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4,505 </w:t>
            </w:r>
          </w:p>
        </w:tc>
      </w:tr>
      <w:tr w:rsidR="00287F1C" w:rsidRPr="002946A9" w14:paraId="0C052A7D"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65A5C492" w14:textId="77777777" w:rsidR="00287F1C" w:rsidRPr="002946A9" w:rsidRDefault="00287F1C" w:rsidP="00F024D9">
            <w:pPr>
              <w:rPr>
                <w:rFonts w:cs="Calibri"/>
                <w:b w:val="0"/>
                <w:i/>
                <w:iCs/>
                <w:color w:val="auto"/>
                <w:sz w:val="18"/>
                <w:szCs w:val="18"/>
              </w:rPr>
            </w:pPr>
            <w:r w:rsidRPr="002946A9">
              <w:rPr>
                <w:b w:val="0"/>
                <w:i/>
                <w:iCs/>
                <w:color w:val="auto"/>
                <w:sz w:val="18"/>
                <w:szCs w:val="18"/>
              </w:rPr>
              <w:t>Salgar</w:t>
            </w:r>
          </w:p>
        </w:tc>
        <w:tc>
          <w:tcPr>
            <w:tcW w:w="1134" w:type="dxa"/>
            <w:noWrap/>
          </w:tcPr>
          <w:p w14:paraId="237308F5"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05642</w:t>
            </w:r>
          </w:p>
        </w:tc>
        <w:tc>
          <w:tcPr>
            <w:tcW w:w="1225" w:type="dxa"/>
            <w:noWrap/>
          </w:tcPr>
          <w:p w14:paraId="0F2B5268"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4,179 </w:t>
            </w:r>
          </w:p>
        </w:tc>
      </w:tr>
      <w:tr w:rsidR="00287F1C" w:rsidRPr="002946A9" w14:paraId="3B3D61F8"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D3BB48F" w14:textId="77777777" w:rsidR="00287F1C" w:rsidRPr="002946A9" w:rsidRDefault="00287F1C" w:rsidP="00F024D9">
            <w:pPr>
              <w:rPr>
                <w:rFonts w:cs="Calibri"/>
                <w:b w:val="0"/>
                <w:i/>
                <w:iCs/>
                <w:color w:val="auto"/>
                <w:sz w:val="18"/>
                <w:szCs w:val="18"/>
              </w:rPr>
            </w:pPr>
            <w:r w:rsidRPr="002946A9">
              <w:rPr>
                <w:b w:val="0"/>
                <w:i/>
                <w:iCs/>
                <w:color w:val="auto"/>
                <w:sz w:val="18"/>
                <w:szCs w:val="18"/>
              </w:rPr>
              <w:t>San Andrés de Cuerquia</w:t>
            </w:r>
          </w:p>
        </w:tc>
        <w:tc>
          <w:tcPr>
            <w:tcW w:w="1134" w:type="dxa"/>
            <w:noWrap/>
          </w:tcPr>
          <w:p w14:paraId="368A9FCD"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05647</w:t>
            </w:r>
          </w:p>
        </w:tc>
        <w:tc>
          <w:tcPr>
            <w:tcW w:w="1225" w:type="dxa"/>
            <w:noWrap/>
          </w:tcPr>
          <w:p w14:paraId="7F214ABE"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1,037 </w:t>
            </w:r>
          </w:p>
        </w:tc>
      </w:tr>
      <w:tr w:rsidR="00287F1C" w:rsidRPr="002946A9" w14:paraId="79382675"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CE4462E" w14:textId="77777777" w:rsidR="00287F1C" w:rsidRPr="002946A9" w:rsidRDefault="00287F1C" w:rsidP="00F024D9">
            <w:pPr>
              <w:rPr>
                <w:rFonts w:cs="Calibri"/>
                <w:b w:val="0"/>
                <w:i/>
                <w:iCs/>
                <w:color w:val="auto"/>
                <w:sz w:val="18"/>
                <w:szCs w:val="18"/>
              </w:rPr>
            </w:pPr>
            <w:r w:rsidRPr="002946A9">
              <w:rPr>
                <w:b w:val="0"/>
                <w:i/>
                <w:iCs/>
                <w:color w:val="auto"/>
                <w:sz w:val="18"/>
                <w:szCs w:val="18"/>
              </w:rPr>
              <w:t>San Carlos</w:t>
            </w:r>
          </w:p>
        </w:tc>
        <w:tc>
          <w:tcPr>
            <w:tcW w:w="1134" w:type="dxa"/>
            <w:noWrap/>
          </w:tcPr>
          <w:p w14:paraId="1C651972"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05649</w:t>
            </w:r>
          </w:p>
        </w:tc>
        <w:tc>
          <w:tcPr>
            <w:tcW w:w="1225" w:type="dxa"/>
            <w:noWrap/>
          </w:tcPr>
          <w:p w14:paraId="6D8DEFDF"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11,509 </w:t>
            </w:r>
          </w:p>
        </w:tc>
      </w:tr>
      <w:tr w:rsidR="00287F1C" w:rsidRPr="002946A9" w14:paraId="025E74E0"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A285ECC" w14:textId="77777777" w:rsidR="00287F1C" w:rsidRPr="002946A9" w:rsidRDefault="00287F1C" w:rsidP="00F024D9">
            <w:pPr>
              <w:rPr>
                <w:rFonts w:cs="Calibri"/>
                <w:b w:val="0"/>
                <w:i/>
                <w:iCs/>
                <w:color w:val="auto"/>
                <w:sz w:val="18"/>
                <w:szCs w:val="18"/>
              </w:rPr>
            </w:pPr>
            <w:r w:rsidRPr="002946A9">
              <w:rPr>
                <w:b w:val="0"/>
                <w:i/>
                <w:iCs/>
                <w:color w:val="auto"/>
                <w:sz w:val="18"/>
                <w:szCs w:val="18"/>
              </w:rPr>
              <w:t>San Francisco</w:t>
            </w:r>
          </w:p>
        </w:tc>
        <w:tc>
          <w:tcPr>
            <w:tcW w:w="1134" w:type="dxa"/>
            <w:noWrap/>
          </w:tcPr>
          <w:p w14:paraId="79C9A188"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05652</w:t>
            </w:r>
          </w:p>
        </w:tc>
        <w:tc>
          <w:tcPr>
            <w:tcW w:w="1225" w:type="dxa"/>
            <w:noWrap/>
          </w:tcPr>
          <w:p w14:paraId="4746CE20"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1,640 </w:t>
            </w:r>
          </w:p>
        </w:tc>
      </w:tr>
      <w:tr w:rsidR="00287F1C" w:rsidRPr="002946A9" w14:paraId="21AC6BC1"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CB66148" w14:textId="77777777" w:rsidR="00287F1C" w:rsidRPr="002946A9" w:rsidRDefault="00287F1C" w:rsidP="00F024D9">
            <w:pPr>
              <w:rPr>
                <w:rFonts w:cs="Calibri"/>
                <w:b w:val="0"/>
                <w:i/>
                <w:iCs/>
                <w:color w:val="auto"/>
                <w:sz w:val="18"/>
                <w:szCs w:val="18"/>
              </w:rPr>
            </w:pPr>
            <w:r w:rsidRPr="002946A9">
              <w:rPr>
                <w:b w:val="0"/>
                <w:i/>
                <w:iCs/>
                <w:color w:val="auto"/>
                <w:sz w:val="18"/>
                <w:szCs w:val="18"/>
              </w:rPr>
              <w:t>San Jerónimo</w:t>
            </w:r>
          </w:p>
        </w:tc>
        <w:tc>
          <w:tcPr>
            <w:tcW w:w="1134" w:type="dxa"/>
            <w:noWrap/>
          </w:tcPr>
          <w:p w14:paraId="7BBEF1EE"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05656</w:t>
            </w:r>
          </w:p>
        </w:tc>
        <w:tc>
          <w:tcPr>
            <w:tcW w:w="1225" w:type="dxa"/>
            <w:noWrap/>
          </w:tcPr>
          <w:p w14:paraId="67542215"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26,474 </w:t>
            </w:r>
          </w:p>
        </w:tc>
      </w:tr>
      <w:tr w:rsidR="00287F1C" w:rsidRPr="002946A9" w14:paraId="7258C792"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6EAE82B5" w14:textId="77777777" w:rsidR="00287F1C" w:rsidRPr="002946A9" w:rsidRDefault="00287F1C" w:rsidP="00F024D9">
            <w:pPr>
              <w:rPr>
                <w:rFonts w:cs="Calibri"/>
                <w:b w:val="0"/>
                <w:i/>
                <w:iCs/>
                <w:color w:val="auto"/>
                <w:sz w:val="18"/>
                <w:szCs w:val="18"/>
              </w:rPr>
            </w:pPr>
            <w:r w:rsidRPr="002946A9">
              <w:rPr>
                <w:b w:val="0"/>
                <w:i/>
                <w:iCs/>
                <w:color w:val="auto"/>
                <w:sz w:val="18"/>
                <w:szCs w:val="18"/>
              </w:rPr>
              <w:t>San José De La Montaña</w:t>
            </w:r>
          </w:p>
        </w:tc>
        <w:tc>
          <w:tcPr>
            <w:tcW w:w="1134" w:type="dxa"/>
            <w:noWrap/>
          </w:tcPr>
          <w:p w14:paraId="37D9516A"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05658</w:t>
            </w:r>
          </w:p>
        </w:tc>
        <w:tc>
          <w:tcPr>
            <w:tcW w:w="1225" w:type="dxa"/>
            <w:noWrap/>
          </w:tcPr>
          <w:p w14:paraId="27152C7F"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584 </w:t>
            </w:r>
          </w:p>
        </w:tc>
      </w:tr>
      <w:tr w:rsidR="00287F1C" w:rsidRPr="002946A9" w14:paraId="18DBFC83"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2ED1829" w14:textId="77777777" w:rsidR="00287F1C" w:rsidRPr="002946A9" w:rsidRDefault="00287F1C" w:rsidP="00F024D9">
            <w:pPr>
              <w:rPr>
                <w:rFonts w:cs="Calibri"/>
                <w:b w:val="0"/>
                <w:i/>
                <w:iCs/>
                <w:color w:val="auto"/>
                <w:sz w:val="18"/>
                <w:szCs w:val="18"/>
              </w:rPr>
            </w:pPr>
            <w:r w:rsidRPr="002946A9">
              <w:rPr>
                <w:b w:val="0"/>
                <w:i/>
                <w:iCs/>
                <w:color w:val="auto"/>
                <w:sz w:val="18"/>
                <w:szCs w:val="18"/>
              </w:rPr>
              <w:t>San Juan de Urabá</w:t>
            </w:r>
          </w:p>
        </w:tc>
        <w:tc>
          <w:tcPr>
            <w:tcW w:w="1134" w:type="dxa"/>
            <w:noWrap/>
          </w:tcPr>
          <w:p w14:paraId="6CC4BAED"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05659</w:t>
            </w:r>
          </w:p>
        </w:tc>
        <w:tc>
          <w:tcPr>
            <w:tcW w:w="1225" w:type="dxa"/>
            <w:noWrap/>
          </w:tcPr>
          <w:p w14:paraId="524414BA"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4,855 </w:t>
            </w:r>
          </w:p>
        </w:tc>
      </w:tr>
      <w:tr w:rsidR="00287F1C" w:rsidRPr="002946A9" w14:paraId="58F957FE"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4A72F85E" w14:textId="77777777" w:rsidR="00287F1C" w:rsidRPr="002946A9" w:rsidRDefault="00287F1C" w:rsidP="00F024D9">
            <w:pPr>
              <w:rPr>
                <w:rFonts w:cs="Calibri"/>
                <w:b w:val="0"/>
                <w:i/>
                <w:iCs/>
                <w:color w:val="auto"/>
                <w:sz w:val="18"/>
                <w:szCs w:val="18"/>
              </w:rPr>
            </w:pPr>
            <w:r w:rsidRPr="002946A9">
              <w:rPr>
                <w:b w:val="0"/>
                <w:i/>
                <w:iCs/>
                <w:color w:val="auto"/>
                <w:sz w:val="18"/>
                <w:szCs w:val="18"/>
              </w:rPr>
              <w:t>San Luis</w:t>
            </w:r>
          </w:p>
        </w:tc>
        <w:tc>
          <w:tcPr>
            <w:tcW w:w="1134" w:type="dxa"/>
            <w:noWrap/>
          </w:tcPr>
          <w:p w14:paraId="37AF12A1"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05660</w:t>
            </w:r>
          </w:p>
        </w:tc>
        <w:tc>
          <w:tcPr>
            <w:tcW w:w="1225" w:type="dxa"/>
            <w:noWrap/>
          </w:tcPr>
          <w:p w14:paraId="526A7438"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18,949 </w:t>
            </w:r>
          </w:p>
        </w:tc>
      </w:tr>
      <w:tr w:rsidR="00287F1C" w:rsidRPr="002946A9" w14:paraId="5A5ED5C1"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0B18855" w14:textId="77777777" w:rsidR="00287F1C" w:rsidRPr="002946A9" w:rsidRDefault="00287F1C" w:rsidP="00F024D9">
            <w:pPr>
              <w:rPr>
                <w:rFonts w:cs="Calibri"/>
                <w:b w:val="0"/>
                <w:i/>
                <w:iCs/>
                <w:color w:val="auto"/>
                <w:sz w:val="18"/>
                <w:szCs w:val="18"/>
              </w:rPr>
            </w:pPr>
            <w:r w:rsidRPr="002946A9">
              <w:rPr>
                <w:b w:val="0"/>
                <w:i/>
                <w:iCs/>
                <w:color w:val="auto"/>
                <w:sz w:val="18"/>
                <w:szCs w:val="18"/>
              </w:rPr>
              <w:t>San Pedro De Los Milagros</w:t>
            </w:r>
          </w:p>
        </w:tc>
        <w:tc>
          <w:tcPr>
            <w:tcW w:w="1134" w:type="dxa"/>
            <w:noWrap/>
          </w:tcPr>
          <w:p w14:paraId="65C815A5"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05664</w:t>
            </w:r>
          </w:p>
        </w:tc>
        <w:tc>
          <w:tcPr>
            <w:tcW w:w="1225" w:type="dxa"/>
            <w:noWrap/>
          </w:tcPr>
          <w:p w14:paraId="47F34304"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8,880 </w:t>
            </w:r>
          </w:p>
        </w:tc>
      </w:tr>
      <w:tr w:rsidR="00287F1C" w:rsidRPr="002946A9" w14:paraId="781C7162"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033B3D23" w14:textId="77777777" w:rsidR="00287F1C" w:rsidRPr="002946A9" w:rsidRDefault="00287F1C" w:rsidP="00F024D9">
            <w:pPr>
              <w:rPr>
                <w:rFonts w:cs="Calibri"/>
                <w:b w:val="0"/>
                <w:i/>
                <w:iCs/>
                <w:color w:val="auto"/>
                <w:sz w:val="18"/>
                <w:szCs w:val="18"/>
              </w:rPr>
            </w:pPr>
            <w:r w:rsidRPr="002946A9">
              <w:rPr>
                <w:b w:val="0"/>
                <w:i/>
                <w:iCs/>
                <w:color w:val="auto"/>
                <w:sz w:val="18"/>
                <w:szCs w:val="18"/>
              </w:rPr>
              <w:t>San Pedro De Urabá</w:t>
            </w:r>
          </w:p>
        </w:tc>
        <w:tc>
          <w:tcPr>
            <w:tcW w:w="1134" w:type="dxa"/>
            <w:noWrap/>
          </w:tcPr>
          <w:p w14:paraId="12A50A09"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05665</w:t>
            </w:r>
          </w:p>
        </w:tc>
        <w:tc>
          <w:tcPr>
            <w:tcW w:w="1225" w:type="dxa"/>
            <w:noWrap/>
          </w:tcPr>
          <w:p w14:paraId="607EB617"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16,251 </w:t>
            </w:r>
          </w:p>
        </w:tc>
      </w:tr>
      <w:tr w:rsidR="00287F1C" w:rsidRPr="002946A9" w14:paraId="06619699"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636C56B" w14:textId="77777777" w:rsidR="00287F1C" w:rsidRPr="002946A9" w:rsidRDefault="00287F1C" w:rsidP="00F024D9">
            <w:pPr>
              <w:rPr>
                <w:rFonts w:cs="Calibri"/>
                <w:b w:val="0"/>
                <w:i/>
                <w:iCs/>
                <w:color w:val="auto"/>
                <w:sz w:val="18"/>
                <w:szCs w:val="18"/>
              </w:rPr>
            </w:pPr>
            <w:r w:rsidRPr="002946A9">
              <w:rPr>
                <w:b w:val="0"/>
                <w:i/>
                <w:iCs/>
                <w:color w:val="auto"/>
                <w:sz w:val="18"/>
                <w:szCs w:val="18"/>
              </w:rPr>
              <w:t>San Rafael</w:t>
            </w:r>
          </w:p>
        </w:tc>
        <w:tc>
          <w:tcPr>
            <w:tcW w:w="1134" w:type="dxa"/>
            <w:noWrap/>
          </w:tcPr>
          <w:p w14:paraId="2E408DC9"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05667</w:t>
            </w:r>
          </w:p>
        </w:tc>
        <w:tc>
          <w:tcPr>
            <w:tcW w:w="1225" w:type="dxa"/>
            <w:noWrap/>
          </w:tcPr>
          <w:p w14:paraId="7D8C31DB"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10,174 </w:t>
            </w:r>
          </w:p>
        </w:tc>
      </w:tr>
      <w:tr w:rsidR="00287F1C" w:rsidRPr="002946A9" w14:paraId="52E44E15"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68DB1EC2" w14:textId="77777777" w:rsidR="00287F1C" w:rsidRPr="002946A9" w:rsidRDefault="00287F1C" w:rsidP="00F024D9">
            <w:pPr>
              <w:rPr>
                <w:rFonts w:cs="Calibri"/>
                <w:b w:val="0"/>
                <w:i/>
                <w:iCs/>
                <w:color w:val="auto"/>
                <w:sz w:val="18"/>
                <w:szCs w:val="18"/>
              </w:rPr>
            </w:pPr>
            <w:r w:rsidRPr="002946A9">
              <w:rPr>
                <w:b w:val="0"/>
                <w:i/>
                <w:iCs/>
                <w:color w:val="auto"/>
                <w:sz w:val="18"/>
                <w:szCs w:val="18"/>
              </w:rPr>
              <w:t>San Roque</w:t>
            </w:r>
          </w:p>
        </w:tc>
        <w:tc>
          <w:tcPr>
            <w:tcW w:w="1134" w:type="dxa"/>
            <w:noWrap/>
          </w:tcPr>
          <w:p w14:paraId="3937D4A4"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05670</w:t>
            </w:r>
          </w:p>
        </w:tc>
        <w:tc>
          <w:tcPr>
            <w:tcW w:w="1225" w:type="dxa"/>
            <w:noWrap/>
          </w:tcPr>
          <w:p w14:paraId="2DE55B17"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12,342 </w:t>
            </w:r>
          </w:p>
        </w:tc>
      </w:tr>
      <w:tr w:rsidR="00287F1C" w:rsidRPr="002946A9" w14:paraId="54C0A6F1"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1B945578" w14:textId="77777777" w:rsidR="00287F1C" w:rsidRPr="002946A9" w:rsidRDefault="00287F1C" w:rsidP="00F024D9">
            <w:pPr>
              <w:rPr>
                <w:rFonts w:cs="Calibri"/>
                <w:b w:val="0"/>
                <w:i/>
                <w:iCs/>
                <w:color w:val="auto"/>
                <w:sz w:val="18"/>
                <w:szCs w:val="18"/>
              </w:rPr>
            </w:pPr>
            <w:r w:rsidRPr="002946A9">
              <w:rPr>
                <w:b w:val="0"/>
                <w:i/>
                <w:iCs/>
                <w:color w:val="auto"/>
                <w:sz w:val="18"/>
                <w:szCs w:val="18"/>
              </w:rPr>
              <w:t>San Vicente</w:t>
            </w:r>
          </w:p>
        </w:tc>
        <w:tc>
          <w:tcPr>
            <w:tcW w:w="1134" w:type="dxa"/>
            <w:noWrap/>
          </w:tcPr>
          <w:p w14:paraId="249FAE45"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05674</w:t>
            </w:r>
          </w:p>
        </w:tc>
        <w:tc>
          <w:tcPr>
            <w:tcW w:w="1225" w:type="dxa"/>
            <w:noWrap/>
          </w:tcPr>
          <w:p w14:paraId="1CED4018"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6,044 </w:t>
            </w:r>
          </w:p>
        </w:tc>
      </w:tr>
      <w:tr w:rsidR="00287F1C" w:rsidRPr="002946A9" w14:paraId="5780F7FD"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DD15DAA" w14:textId="77777777" w:rsidR="00287F1C" w:rsidRPr="002946A9" w:rsidRDefault="00287F1C" w:rsidP="00F024D9">
            <w:pPr>
              <w:rPr>
                <w:rFonts w:cs="Calibri"/>
                <w:b w:val="0"/>
                <w:i/>
                <w:iCs/>
                <w:color w:val="auto"/>
                <w:sz w:val="18"/>
                <w:szCs w:val="18"/>
              </w:rPr>
            </w:pPr>
            <w:r w:rsidRPr="002946A9">
              <w:rPr>
                <w:b w:val="0"/>
                <w:i/>
                <w:iCs/>
                <w:color w:val="auto"/>
                <w:sz w:val="18"/>
                <w:szCs w:val="18"/>
              </w:rPr>
              <w:t>Santa Bárbara</w:t>
            </w:r>
          </w:p>
        </w:tc>
        <w:tc>
          <w:tcPr>
            <w:tcW w:w="1134" w:type="dxa"/>
            <w:noWrap/>
          </w:tcPr>
          <w:p w14:paraId="64033519"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05679</w:t>
            </w:r>
          </w:p>
        </w:tc>
        <w:tc>
          <w:tcPr>
            <w:tcW w:w="1225" w:type="dxa"/>
            <w:noWrap/>
          </w:tcPr>
          <w:p w14:paraId="6A18E11D"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8,477 </w:t>
            </w:r>
          </w:p>
        </w:tc>
      </w:tr>
      <w:tr w:rsidR="00287F1C" w:rsidRPr="002946A9" w14:paraId="07281B83"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09B698AE" w14:textId="77777777" w:rsidR="00287F1C" w:rsidRPr="002946A9" w:rsidRDefault="00287F1C" w:rsidP="00F024D9">
            <w:pPr>
              <w:rPr>
                <w:rFonts w:cs="Calibri"/>
                <w:b w:val="0"/>
                <w:i/>
                <w:iCs/>
                <w:color w:val="auto"/>
                <w:sz w:val="18"/>
                <w:szCs w:val="18"/>
              </w:rPr>
            </w:pPr>
            <w:r w:rsidRPr="002946A9">
              <w:rPr>
                <w:b w:val="0"/>
                <w:i/>
                <w:iCs/>
                <w:color w:val="auto"/>
                <w:sz w:val="18"/>
                <w:szCs w:val="18"/>
              </w:rPr>
              <w:t>Santa Rosa de Osos</w:t>
            </w:r>
          </w:p>
        </w:tc>
        <w:tc>
          <w:tcPr>
            <w:tcW w:w="1134" w:type="dxa"/>
            <w:noWrap/>
          </w:tcPr>
          <w:p w14:paraId="3D0BF0AD"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05686</w:t>
            </w:r>
          </w:p>
        </w:tc>
        <w:tc>
          <w:tcPr>
            <w:tcW w:w="1225" w:type="dxa"/>
            <w:noWrap/>
          </w:tcPr>
          <w:p w14:paraId="0E1CEFCC"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34,848 </w:t>
            </w:r>
          </w:p>
        </w:tc>
      </w:tr>
      <w:tr w:rsidR="00287F1C" w:rsidRPr="002946A9" w14:paraId="0A358A8E"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8B41F1F" w14:textId="77777777" w:rsidR="00287F1C" w:rsidRPr="002946A9" w:rsidRDefault="00287F1C" w:rsidP="00F024D9">
            <w:pPr>
              <w:rPr>
                <w:rFonts w:cs="Calibri"/>
                <w:b w:val="0"/>
                <w:i/>
                <w:iCs/>
                <w:color w:val="auto"/>
                <w:sz w:val="18"/>
                <w:szCs w:val="18"/>
              </w:rPr>
            </w:pPr>
            <w:r w:rsidRPr="002946A9">
              <w:rPr>
                <w:b w:val="0"/>
                <w:i/>
                <w:iCs/>
                <w:color w:val="auto"/>
                <w:sz w:val="18"/>
                <w:szCs w:val="18"/>
              </w:rPr>
              <w:t>Santafé De Antioquia</w:t>
            </w:r>
          </w:p>
        </w:tc>
        <w:tc>
          <w:tcPr>
            <w:tcW w:w="1134" w:type="dxa"/>
            <w:noWrap/>
          </w:tcPr>
          <w:p w14:paraId="211ABA63"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05042</w:t>
            </w:r>
          </w:p>
        </w:tc>
        <w:tc>
          <w:tcPr>
            <w:tcW w:w="1225" w:type="dxa"/>
            <w:noWrap/>
          </w:tcPr>
          <w:p w14:paraId="196D1E71"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20,619 </w:t>
            </w:r>
          </w:p>
        </w:tc>
      </w:tr>
      <w:tr w:rsidR="00287F1C" w:rsidRPr="002946A9" w14:paraId="2F4DCCE1"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43111139" w14:textId="77777777" w:rsidR="00287F1C" w:rsidRPr="002946A9" w:rsidRDefault="00287F1C" w:rsidP="00F024D9">
            <w:pPr>
              <w:rPr>
                <w:rFonts w:cs="Calibri"/>
                <w:b w:val="0"/>
                <w:i/>
                <w:iCs/>
                <w:color w:val="auto"/>
                <w:sz w:val="18"/>
                <w:szCs w:val="18"/>
              </w:rPr>
            </w:pPr>
            <w:r w:rsidRPr="002946A9">
              <w:rPr>
                <w:b w:val="0"/>
                <w:i/>
                <w:iCs/>
                <w:color w:val="auto"/>
                <w:sz w:val="18"/>
                <w:szCs w:val="18"/>
              </w:rPr>
              <w:t>Santo Domingo</w:t>
            </w:r>
          </w:p>
        </w:tc>
        <w:tc>
          <w:tcPr>
            <w:tcW w:w="1134" w:type="dxa"/>
            <w:noWrap/>
          </w:tcPr>
          <w:p w14:paraId="00CE94EC"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05690</w:t>
            </w:r>
          </w:p>
        </w:tc>
        <w:tc>
          <w:tcPr>
            <w:tcW w:w="1225" w:type="dxa"/>
            <w:noWrap/>
          </w:tcPr>
          <w:p w14:paraId="1033D3B7"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14,886 </w:t>
            </w:r>
          </w:p>
        </w:tc>
      </w:tr>
      <w:tr w:rsidR="00287F1C" w:rsidRPr="002946A9" w14:paraId="20E36D0F"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6B997F6" w14:textId="77777777" w:rsidR="00287F1C" w:rsidRPr="002946A9" w:rsidRDefault="00287F1C" w:rsidP="00F024D9">
            <w:pPr>
              <w:rPr>
                <w:rFonts w:cs="Calibri"/>
                <w:b w:val="0"/>
                <w:i/>
                <w:iCs/>
                <w:color w:val="auto"/>
                <w:sz w:val="18"/>
                <w:szCs w:val="18"/>
              </w:rPr>
            </w:pPr>
            <w:r w:rsidRPr="002946A9">
              <w:rPr>
                <w:b w:val="0"/>
                <w:i/>
                <w:iCs/>
                <w:color w:val="auto"/>
                <w:sz w:val="18"/>
                <w:szCs w:val="18"/>
              </w:rPr>
              <w:t>Segovia</w:t>
            </w:r>
          </w:p>
        </w:tc>
        <w:tc>
          <w:tcPr>
            <w:tcW w:w="1134" w:type="dxa"/>
            <w:noWrap/>
          </w:tcPr>
          <w:p w14:paraId="29078DC0"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05736</w:t>
            </w:r>
          </w:p>
        </w:tc>
        <w:tc>
          <w:tcPr>
            <w:tcW w:w="1225" w:type="dxa"/>
            <w:noWrap/>
          </w:tcPr>
          <w:p w14:paraId="21D5C496"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5,183 </w:t>
            </w:r>
          </w:p>
        </w:tc>
      </w:tr>
      <w:tr w:rsidR="00287F1C" w:rsidRPr="002946A9" w14:paraId="465E94C7"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4FDBA5A0" w14:textId="77777777" w:rsidR="00287F1C" w:rsidRPr="002946A9" w:rsidRDefault="00287F1C" w:rsidP="00F024D9">
            <w:pPr>
              <w:rPr>
                <w:rFonts w:cs="Calibri"/>
                <w:b w:val="0"/>
                <w:i/>
                <w:iCs/>
                <w:color w:val="auto"/>
                <w:sz w:val="18"/>
                <w:szCs w:val="18"/>
              </w:rPr>
            </w:pPr>
            <w:r w:rsidRPr="002946A9">
              <w:rPr>
                <w:b w:val="0"/>
                <w:i/>
                <w:iCs/>
                <w:color w:val="auto"/>
                <w:sz w:val="18"/>
                <w:szCs w:val="18"/>
              </w:rPr>
              <w:t>Sonsón</w:t>
            </w:r>
          </w:p>
        </w:tc>
        <w:tc>
          <w:tcPr>
            <w:tcW w:w="1134" w:type="dxa"/>
            <w:noWrap/>
          </w:tcPr>
          <w:p w14:paraId="386DC869"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05756</w:t>
            </w:r>
          </w:p>
        </w:tc>
        <w:tc>
          <w:tcPr>
            <w:tcW w:w="1225" w:type="dxa"/>
            <w:noWrap/>
          </w:tcPr>
          <w:p w14:paraId="66AE4374"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13,148 </w:t>
            </w:r>
          </w:p>
        </w:tc>
      </w:tr>
      <w:tr w:rsidR="00287F1C" w:rsidRPr="002946A9" w14:paraId="24A17B79"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57E75C1" w14:textId="77777777" w:rsidR="00287F1C" w:rsidRPr="002946A9" w:rsidRDefault="00287F1C" w:rsidP="00F024D9">
            <w:pPr>
              <w:rPr>
                <w:rFonts w:cs="Calibri"/>
                <w:b w:val="0"/>
                <w:i/>
                <w:iCs/>
                <w:color w:val="auto"/>
                <w:sz w:val="18"/>
                <w:szCs w:val="18"/>
              </w:rPr>
            </w:pPr>
            <w:r w:rsidRPr="002946A9">
              <w:rPr>
                <w:b w:val="0"/>
                <w:i/>
                <w:iCs/>
                <w:color w:val="auto"/>
                <w:sz w:val="18"/>
                <w:szCs w:val="18"/>
              </w:rPr>
              <w:t>Sopetrán</w:t>
            </w:r>
          </w:p>
        </w:tc>
        <w:tc>
          <w:tcPr>
            <w:tcW w:w="1134" w:type="dxa"/>
            <w:noWrap/>
          </w:tcPr>
          <w:p w14:paraId="4F783053"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05761</w:t>
            </w:r>
          </w:p>
        </w:tc>
        <w:tc>
          <w:tcPr>
            <w:tcW w:w="1225" w:type="dxa"/>
            <w:noWrap/>
          </w:tcPr>
          <w:p w14:paraId="50E2B75E"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3,490 </w:t>
            </w:r>
          </w:p>
        </w:tc>
      </w:tr>
      <w:tr w:rsidR="00287F1C" w:rsidRPr="002946A9" w14:paraId="4281876E"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620AA121" w14:textId="77777777" w:rsidR="00287F1C" w:rsidRPr="002946A9" w:rsidRDefault="00287F1C" w:rsidP="00F024D9">
            <w:pPr>
              <w:rPr>
                <w:rFonts w:cs="Calibri"/>
                <w:b w:val="0"/>
                <w:i/>
                <w:iCs/>
                <w:color w:val="auto"/>
                <w:sz w:val="18"/>
                <w:szCs w:val="18"/>
              </w:rPr>
            </w:pPr>
            <w:r w:rsidRPr="002946A9">
              <w:rPr>
                <w:b w:val="0"/>
                <w:i/>
                <w:iCs/>
                <w:color w:val="auto"/>
                <w:sz w:val="18"/>
                <w:szCs w:val="18"/>
              </w:rPr>
              <w:t>Támesis</w:t>
            </w:r>
          </w:p>
        </w:tc>
        <w:tc>
          <w:tcPr>
            <w:tcW w:w="1134" w:type="dxa"/>
            <w:noWrap/>
          </w:tcPr>
          <w:p w14:paraId="4CD45677"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05789</w:t>
            </w:r>
          </w:p>
        </w:tc>
        <w:tc>
          <w:tcPr>
            <w:tcW w:w="1225" w:type="dxa"/>
            <w:noWrap/>
          </w:tcPr>
          <w:p w14:paraId="0905E727"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3,403 </w:t>
            </w:r>
          </w:p>
        </w:tc>
      </w:tr>
      <w:tr w:rsidR="00287F1C" w:rsidRPr="002946A9" w14:paraId="6EA1E0EE"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E354CA4" w14:textId="77777777" w:rsidR="00287F1C" w:rsidRPr="002946A9" w:rsidRDefault="00287F1C" w:rsidP="00F024D9">
            <w:pPr>
              <w:rPr>
                <w:rFonts w:cs="Calibri"/>
                <w:b w:val="0"/>
                <w:i/>
                <w:iCs/>
                <w:color w:val="auto"/>
                <w:sz w:val="18"/>
                <w:szCs w:val="18"/>
              </w:rPr>
            </w:pPr>
            <w:r w:rsidRPr="002946A9">
              <w:rPr>
                <w:b w:val="0"/>
                <w:i/>
                <w:iCs/>
                <w:color w:val="auto"/>
                <w:sz w:val="18"/>
                <w:szCs w:val="18"/>
              </w:rPr>
              <w:t>Tarazá</w:t>
            </w:r>
          </w:p>
        </w:tc>
        <w:tc>
          <w:tcPr>
            <w:tcW w:w="1134" w:type="dxa"/>
            <w:noWrap/>
          </w:tcPr>
          <w:p w14:paraId="5DCA2CEF"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05790</w:t>
            </w:r>
          </w:p>
        </w:tc>
        <w:tc>
          <w:tcPr>
            <w:tcW w:w="1225" w:type="dxa"/>
            <w:noWrap/>
          </w:tcPr>
          <w:p w14:paraId="302AA252"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16,972 </w:t>
            </w:r>
          </w:p>
        </w:tc>
      </w:tr>
      <w:tr w:rsidR="00287F1C" w:rsidRPr="002946A9" w14:paraId="3FE459B4"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33EECB1" w14:textId="77777777" w:rsidR="00287F1C" w:rsidRPr="002946A9" w:rsidRDefault="00287F1C" w:rsidP="00F024D9">
            <w:pPr>
              <w:rPr>
                <w:rFonts w:cs="Calibri"/>
                <w:b w:val="0"/>
                <w:i/>
                <w:iCs/>
                <w:color w:val="auto"/>
                <w:sz w:val="18"/>
                <w:szCs w:val="18"/>
              </w:rPr>
            </w:pPr>
            <w:r w:rsidRPr="002946A9">
              <w:rPr>
                <w:b w:val="0"/>
                <w:i/>
                <w:iCs/>
                <w:color w:val="auto"/>
                <w:sz w:val="18"/>
                <w:szCs w:val="18"/>
              </w:rPr>
              <w:t>Tarso</w:t>
            </w:r>
          </w:p>
        </w:tc>
        <w:tc>
          <w:tcPr>
            <w:tcW w:w="1134" w:type="dxa"/>
            <w:noWrap/>
          </w:tcPr>
          <w:p w14:paraId="300B213C"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05792</w:t>
            </w:r>
          </w:p>
        </w:tc>
        <w:tc>
          <w:tcPr>
            <w:tcW w:w="1225" w:type="dxa"/>
            <w:noWrap/>
          </w:tcPr>
          <w:p w14:paraId="3606D9F5"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815 </w:t>
            </w:r>
          </w:p>
        </w:tc>
      </w:tr>
      <w:tr w:rsidR="00287F1C" w:rsidRPr="002946A9" w14:paraId="63FD1243"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6523618" w14:textId="77777777" w:rsidR="00287F1C" w:rsidRPr="002946A9" w:rsidRDefault="00287F1C" w:rsidP="00F024D9">
            <w:pPr>
              <w:rPr>
                <w:rFonts w:cs="Calibri"/>
                <w:b w:val="0"/>
                <w:i/>
                <w:iCs/>
                <w:color w:val="auto"/>
                <w:sz w:val="18"/>
                <w:szCs w:val="18"/>
              </w:rPr>
            </w:pPr>
            <w:r w:rsidRPr="002946A9">
              <w:rPr>
                <w:b w:val="0"/>
                <w:i/>
                <w:iCs/>
                <w:color w:val="auto"/>
                <w:sz w:val="18"/>
                <w:szCs w:val="18"/>
              </w:rPr>
              <w:t>Titiribí</w:t>
            </w:r>
          </w:p>
        </w:tc>
        <w:tc>
          <w:tcPr>
            <w:tcW w:w="1134" w:type="dxa"/>
            <w:noWrap/>
          </w:tcPr>
          <w:p w14:paraId="0AF1F92F"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05809</w:t>
            </w:r>
          </w:p>
        </w:tc>
        <w:tc>
          <w:tcPr>
            <w:tcW w:w="1225" w:type="dxa"/>
            <w:noWrap/>
          </w:tcPr>
          <w:p w14:paraId="7FF137F8"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2,286 </w:t>
            </w:r>
          </w:p>
        </w:tc>
      </w:tr>
      <w:tr w:rsidR="00287F1C" w:rsidRPr="002946A9" w14:paraId="7B37F638"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EB28734" w14:textId="77777777" w:rsidR="00287F1C" w:rsidRPr="002946A9" w:rsidRDefault="00287F1C" w:rsidP="00F024D9">
            <w:pPr>
              <w:rPr>
                <w:rFonts w:cs="Calibri"/>
                <w:b w:val="0"/>
                <w:i/>
                <w:iCs/>
                <w:color w:val="auto"/>
                <w:sz w:val="18"/>
                <w:szCs w:val="18"/>
              </w:rPr>
            </w:pPr>
            <w:r w:rsidRPr="002946A9">
              <w:rPr>
                <w:b w:val="0"/>
                <w:i/>
                <w:iCs/>
                <w:color w:val="auto"/>
                <w:sz w:val="18"/>
                <w:szCs w:val="18"/>
              </w:rPr>
              <w:t>Toledo</w:t>
            </w:r>
          </w:p>
        </w:tc>
        <w:tc>
          <w:tcPr>
            <w:tcW w:w="1134" w:type="dxa"/>
            <w:noWrap/>
          </w:tcPr>
          <w:p w14:paraId="21F9C131"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05819</w:t>
            </w:r>
          </w:p>
        </w:tc>
        <w:tc>
          <w:tcPr>
            <w:tcW w:w="1225" w:type="dxa"/>
            <w:noWrap/>
          </w:tcPr>
          <w:p w14:paraId="05752C7A"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4,944 </w:t>
            </w:r>
          </w:p>
        </w:tc>
      </w:tr>
      <w:tr w:rsidR="00287F1C" w:rsidRPr="002946A9" w14:paraId="204D6F64"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CEDC180" w14:textId="77777777" w:rsidR="00287F1C" w:rsidRPr="002946A9" w:rsidRDefault="00287F1C" w:rsidP="00F024D9">
            <w:pPr>
              <w:rPr>
                <w:rFonts w:cs="Calibri"/>
                <w:b w:val="0"/>
                <w:i/>
                <w:iCs/>
                <w:color w:val="auto"/>
                <w:sz w:val="18"/>
                <w:szCs w:val="18"/>
              </w:rPr>
            </w:pPr>
            <w:r w:rsidRPr="002946A9">
              <w:rPr>
                <w:b w:val="0"/>
                <w:i/>
                <w:iCs/>
                <w:color w:val="auto"/>
                <w:sz w:val="18"/>
                <w:szCs w:val="18"/>
              </w:rPr>
              <w:t>Turbo</w:t>
            </w:r>
          </w:p>
        </w:tc>
        <w:tc>
          <w:tcPr>
            <w:tcW w:w="1134" w:type="dxa"/>
            <w:noWrap/>
          </w:tcPr>
          <w:p w14:paraId="3825086B"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05837</w:t>
            </w:r>
          </w:p>
        </w:tc>
        <w:tc>
          <w:tcPr>
            <w:tcW w:w="1225" w:type="dxa"/>
            <w:noWrap/>
          </w:tcPr>
          <w:p w14:paraId="7FC0BE32"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75,642 </w:t>
            </w:r>
          </w:p>
        </w:tc>
      </w:tr>
      <w:tr w:rsidR="00287F1C" w:rsidRPr="002946A9" w14:paraId="7DFFF252"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5B7001B" w14:textId="77777777" w:rsidR="00287F1C" w:rsidRPr="002946A9" w:rsidRDefault="00287F1C" w:rsidP="00F024D9">
            <w:pPr>
              <w:rPr>
                <w:rFonts w:cs="Calibri"/>
                <w:b w:val="0"/>
                <w:i/>
                <w:iCs/>
                <w:color w:val="auto"/>
                <w:sz w:val="18"/>
                <w:szCs w:val="18"/>
              </w:rPr>
            </w:pPr>
            <w:r w:rsidRPr="002946A9">
              <w:rPr>
                <w:b w:val="0"/>
                <w:i/>
                <w:iCs/>
                <w:color w:val="auto"/>
                <w:sz w:val="18"/>
                <w:szCs w:val="18"/>
              </w:rPr>
              <w:t>Uramita</w:t>
            </w:r>
          </w:p>
        </w:tc>
        <w:tc>
          <w:tcPr>
            <w:tcW w:w="1134" w:type="dxa"/>
            <w:noWrap/>
          </w:tcPr>
          <w:p w14:paraId="688BEF29"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05842</w:t>
            </w:r>
          </w:p>
        </w:tc>
        <w:tc>
          <w:tcPr>
            <w:tcW w:w="1225" w:type="dxa"/>
            <w:noWrap/>
          </w:tcPr>
          <w:p w14:paraId="5B62F28D"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10,384 </w:t>
            </w:r>
          </w:p>
        </w:tc>
      </w:tr>
      <w:tr w:rsidR="00287F1C" w:rsidRPr="002946A9" w14:paraId="20E312F7"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F003198" w14:textId="77777777" w:rsidR="00287F1C" w:rsidRPr="002946A9" w:rsidRDefault="00287F1C" w:rsidP="00F024D9">
            <w:pPr>
              <w:rPr>
                <w:rFonts w:cs="Calibri"/>
                <w:b w:val="0"/>
                <w:i/>
                <w:iCs/>
                <w:color w:val="auto"/>
                <w:sz w:val="18"/>
                <w:szCs w:val="18"/>
              </w:rPr>
            </w:pPr>
            <w:r w:rsidRPr="002946A9">
              <w:rPr>
                <w:b w:val="0"/>
                <w:i/>
                <w:iCs/>
                <w:color w:val="auto"/>
                <w:sz w:val="18"/>
                <w:szCs w:val="18"/>
              </w:rPr>
              <w:t>Urrao</w:t>
            </w:r>
          </w:p>
        </w:tc>
        <w:tc>
          <w:tcPr>
            <w:tcW w:w="1134" w:type="dxa"/>
            <w:noWrap/>
          </w:tcPr>
          <w:p w14:paraId="257B6D29"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05847</w:t>
            </w:r>
          </w:p>
        </w:tc>
        <w:tc>
          <w:tcPr>
            <w:tcW w:w="1225" w:type="dxa"/>
            <w:noWrap/>
          </w:tcPr>
          <w:p w14:paraId="0B1788AD"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10,122 </w:t>
            </w:r>
          </w:p>
        </w:tc>
      </w:tr>
      <w:tr w:rsidR="00287F1C" w:rsidRPr="002946A9" w14:paraId="7B1EF5DB"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425B5776" w14:textId="77777777" w:rsidR="00287F1C" w:rsidRPr="002946A9" w:rsidRDefault="00287F1C" w:rsidP="00F024D9">
            <w:pPr>
              <w:rPr>
                <w:rFonts w:cs="Calibri"/>
                <w:b w:val="0"/>
                <w:i/>
                <w:iCs/>
                <w:color w:val="auto"/>
                <w:sz w:val="18"/>
                <w:szCs w:val="18"/>
              </w:rPr>
            </w:pPr>
            <w:r w:rsidRPr="002946A9">
              <w:rPr>
                <w:b w:val="0"/>
                <w:i/>
                <w:iCs/>
                <w:color w:val="auto"/>
                <w:sz w:val="18"/>
                <w:szCs w:val="18"/>
              </w:rPr>
              <w:t>Valdivia</w:t>
            </w:r>
          </w:p>
        </w:tc>
        <w:tc>
          <w:tcPr>
            <w:tcW w:w="1134" w:type="dxa"/>
            <w:noWrap/>
          </w:tcPr>
          <w:p w14:paraId="45371984"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05854</w:t>
            </w:r>
          </w:p>
        </w:tc>
        <w:tc>
          <w:tcPr>
            <w:tcW w:w="1225" w:type="dxa"/>
            <w:noWrap/>
          </w:tcPr>
          <w:p w14:paraId="6DDABA03"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11,949 </w:t>
            </w:r>
          </w:p>
        </w:tc>
      </w:tr>
      <w:tr w:rsidR="00287F1C" w:rsidRPr="002946A9" w14:paraId="12D119E2"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6DCABAA2" w14:textId="77777777" w:rsidR="00287F1C" w:rsidRPr="002946A9" w:rsidRDefault="00287F1C" w:rsidP="00F024D9">
            <w:pPr>
              <w:rPr>
                <w:rFonts w:cs="Calibri"/>
                <w:b w:val="0"/>
                <w:i/>
                <w:iCs/>
                <w:color w:val="auto"/>
                <w:sz w:val="18"/>
                <w:szCs w:val="18"/>
              </w:rPr>
            </w:pPr>
            <w:r w:rsidRPr="002946A9">
              <w:rPr>
                <w:b w:val="0"/>
                <w:i/>
                <w:iCs/>
                <w:color w:val="auto"/>
                <w:sz w:val="18"/>
                <w:szCs w:val="18"/>
              </w:rPr>
              <w:t>Valparaíso</w:t>
            </w:r>
          </w:p>
        </w:tc>
        <w:tc>
          <w:tcPr>
            <w:tcW w:w="1134" w:type="dxa"/>
            <w:noWrap/>
          </w:tcPr>
          <w:p w14:paraId="1566BE3C"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05856</w:t>
            </w:r>
          </w:p>
        </w:tc>
        <w:tc>
          <w:tcPr>
            <w:tcW w:w="1225" w:type="dxa"/>
            <w:noWrap/>
          </w:tcPr>
          <w:p w14:paraId="219CAE22"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1,782 </w:t>
            </w:r>
          </w:p>
        </w:tc>
      </w:tr>
      <w:tr w:rsidR="00287F1C" w:rsidRPr="002946A9" w14:paraId="68E6E5F6"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ADAAA2C" w14:textId="77777777" w:rsidR="00287F1C" w:rsidRPr="002946A9" w:rsidRDefault="00287F1C" w:rsidP="00F024D9">
            <w:pPr>
              <w:rPr>
                <w:rFonts w:cs="Calibri"/>
                <w:b w:val="0"/>
                <w:i/>
                <w:iCs/>
                <w:color w:val="auto"/>
                <w:sz w:val="18"/>
                <w:szCs w:val="18"/>
              </w:rPr>
            </w:pPr>
            <w:r w:rsidRPr="002946A9">
              <w:rPr>
                <w:b w:val="0"/>
                <w:i/>
                <w:iCs/>
                <w:color w:val="auto"/>
                <w:sz w:val="18"/>
                <w:szCs w:val="18"/>
              </w:rPr>
              <w:t>Vegachí</w:t>
            </w:r>
          </w:p>
        </w:tc>
        <w:tc>
          <w:tcPr>
            <w:tcW w:w="1134" w:type="dxa"/>
            <w:noWrap/>
          </w:tcPr>
          <w:p w14:paraId="31BF473B"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05858</w:t>
            </w:r>
          </w:p>
        </w:tc>
        <w:tc>
          <w:tcPr>
            <w:tcW w:w="1225" w:type="dxa"/>
            <w:noWrap/>
          </w:tcPr>
          <w:p w14:paraId="121C75FB"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10,418 </w:t>
            </w:r>
          </w:p>
        </w:tc>
      </w:tr>
      <w:tr w:rsidR="00287F1C" w:rsidRPr="002946A9" w14:paraId="090475AC" w14:textId="77777777" w:rsidTr="00370F28">
        <w:trPr>
          <w:cnfStyle w:val="000000010000" w:firstRow="0" w:lastRow="0" w:firstColumn="0" w:lastColumn="0" w:oddVBand="0" w:evenVBand="0" w:oddHBand="0" w:evenHBand="1"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7D110F04" w14:textId="77777777" w:rsidR="00287F1C" w:rsidRPr="002946A9" w:rsidRDefault="00287F1C" w:rsidP="00F024D9">
            <w:pPr>
              <w:rPr>
                <w:rFonts w:cs="Calibri"/>
                <w:b w:val="0"/>
                <w:i/>
                <w:iCs/>
                <w:color w:val="auto"/>
                <w:sz w:val="18"/>
                <w:szCs w:val="18"/>
              </w:rPr>
            </w:pPr>
            <w:r w:rsidRPr="002946A9">
              <w:rPr>
                <w:b w:val="0"/>
                <w:i/>
                <w:iCs/>
                <w:color w:val="auto"/>
                <w:sz w:val="18"/>
                <w:szCs w:val="18"/>
              </w:rPr>
              <w:t>Venecia</w:t>
            </w:r>
          </w:p>
        </w:tc>
        <w:tc>
          <w:tcPr>
            <w:tcW w:w="1134" w:type="dxa"/>
            <w:noWrap/>
          </w:tcPr>
          <w:p w14:paraId="127A07F0"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05861</w:t>
            </w:r>
          </w:p>
        </w:tc>
        <w:tc>
          <w:tcPr>
            <w:tcW w:w="1225" w:type="dxa"/>
            <w:noWrap/>
          </w:tcPr>
          <w:p w14:paraId="6E8F42D9"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2,245 </w:t>
            </w:r>
          </w:p>
        </w:tc>
      </w:tr>
      <w:tr w:rsidR="00287F1C" w:rsidRPr="002946A9" w14:paraId="53CC1B53"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0B22FE43" w14:textId="77777777" w:rsidR="00287F1C" w:rsidRPr="002946A9" w:rsidRDefault="00287F1C" w:rsidP="00F024D9">
            <w:pPr>
              <w:rPr>
                <w:rFonts w:cs="Calibri"/>
                <w:b w:val="0"/>
                <w:i/>
                <w:iCs/>
                <w:color w:val="auto"/>
                <w:sz w:val="18"/>
                <w:szCs w:val="18"/>
              </w:rPr>
            </w:pPr>
            <w:r w:rsidRPr="002946A9">
              <w:rPr>
                <w:b w:val="0"/>
                <w:i/>
                <w:iCs/>
                <w:color w:val="auto"/>
                <w:sz w:val="18"/>
                <w:szCs w:val="18"/>
              </w:rPr>
              <w:t>Yalí</w:t>
            </w:r>
          </w:p>
        </w:tc>
        <w:tc>
          <w:tcPr>
            <w:tcW w:w="1134" w:type="dxa"/>
            <w:noWrap/>
          </w:tcPr>
          <w:p w14:paraId="5880FB59"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05885</w:t>
            </w:r>
          </w:p>
        </w:tc>
        <w:tc>
          <w:tcPr>
            <w:tcW w:w="1225" w:type="dxa"/>
            <w:noWrap/>
          </w:tcPr>
          <w:p w14:paraId="67376936"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3,096 </w:t>
            </w:r>
          </w:p>
        </w:tc>
      </w:tr>
      <w:tr w:rsidR="00287F1C" w:rsidRPr="002946A9" w14:paraId="56F26633"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58412FC5" w14:textId="77777777" w:rsidR="00287F1C" w:rsidRPr="002946A9" w:rsidRDefault="00287F1C" w:rsidP="00F024D9">
            <w:pPr>
              <w:rPr>
                <w:rFonts w:cs="Calibri"/>
                <w:b w:val="0"/>
                <w:i/>
                <w:iCs/>
                <w:color w:val="auto"/>
                <w:sz w:val="18"/>
                <w:szCs w:val="18"/>
              </w:rPr>
            </w:pPr>
            <w:r w:rsidRPr="002946A9">
              <w:rPr>
                <w:b w:val="0"/>
                <w:i/>
                <w:iCs/>
                <w:color w:val="auto"/>
                <w:sz w:val="18"/>
                <w:szCs w:val="18"/>
              </w:rPr>
              <w:t>Yarumal</w:t>
            </w:r>
          </w:p>
        </w:tc>
        <w:tc>
          <w:tcPr>
            <w:tcW w:w="1134" w:type="dxa"/>
            <w:noWrap/>
          </w:tcPr>
          <w:p w14:paraId="57D272A1"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05887</w:t>
            </w:r>
          </w:p>
        </w:tc>
        <w:tc>
          <w:tcPr>
            <w:tcW w:w="1225" w:type="dxa"/>
            <w:noWrap/>
          </w:tcPr>
          <w:p w14:paraId="3F847111"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19,112 </w:t>
            </w:r>
          </w:p>
        </w:tc>
      </w:tr>
      <w:tr w:rsidR="00287F1C" w:rsidRPr="002946A9" w14:paraId="7D9AF4DD"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C47A83E" w14:textId="77777777" w:rsidR="00287F1C" w:rsidRPr="002946A9" w:rsidRDefault="00287F1C" w:rsidP="00F024D9">
            <w:pPr>
              <w:rPr>
                <w:rFonts w:cs="Calibri"/>
                <w:b w:val="0"/>
                <w:i/>
                <w:iCs/>
                <w:color w:val="auto"/>
                <w:sz w:val="18"/>
                <w:szCs w:val="18"/>
              </w:rPr>
            </w:pPr>
            <w:r w:rsidRPr="002946A9">
              <w:rPr>
                <w:b w:val="0"/>
                <w:i/>
                <w:iCs/>
                <w:color w:val="auto"/>
                <w:sz w:val="18"/>
                <w:szCs w:val="18"/>
              </w:rPr>
              <w:t>Yolombó</w:t>
            </w:r>
          </w:p>
        </w:tc>
        <w:tc>
          <w:tcPr>
            <w:tcW w:w="1134" w:type="dxa"/>
            <w:noWrap/>
          </w:tcPr>
          <w:p w14:paraId="540E13B6"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05890</w:t>
            </w:r>
          </w:p>
        </w:tc>
        <w:tc>
          <w:tcPr>
            <w:tcW w:w="1225" w:type="dxa"/>
            <w:noWrap/>
          </w:tcPr>
          <w:p w14:paraId="3B170801"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7,956 </w:t>
            </w:r>
          </w:p>
        </w:tc>
      </w:tr>
      <w:tr w:rsidR="00287F1C" w:rsidRPr="002946A9" w14:paraId="4E2D6467"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CB0AEB5" w14:textId="77777777" w:rsidR="00287F1C" w:rsidRPr="002946A9" w:rsidRDefault="00287F1C" w:rsidP="00F024D9">
            <w:pPr>
              <w:rPr>
                <w:rFonts w:cs="Calibri"/>
                <w:b w:val="0"/>
                <w:i/>
                <w:iCs/>
                <w:color w:val="auto"/>
                <w:sz w:val="18"/>
                <w:szCs w:val="18"/>
              </w:rPr>
            </w:pPr>
            <w:r w:rsidRPr="002946A9">
              <w:rPr>
                <w:b w:val="0"/>
                <w:i/>
                <w:iCs/>
                <w:color w:val="auto"/>
                <w:sz w:val="18"/>
                <w:szCs w:val="18"/>
              </w:rPr>
              <w:t>Yondó</w:t>
            </w:r>
          </w:p>
        </w:tc>
        <w:tc>
          <w:tcPr>
            <w:tcW w:w="1134" w:type="dxa"/>
            <w:noWrap/>
          </w:tcPr>
          <w:p w14:paraId="612B294C"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05893</w:t>
            </w:r>
          </w:p>
        </w:tc>
        <w:tc>
          <w:tcPr>
            <w:tcW w:w="1225" w:type="dxa"/>
            <w:noWrap/>
          </w:tcPr>
          <w:p w14:paraId="4FDC36C1" w14:textId="77777777"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2946A9">
              <w:rPr>
                <w:sz w:val="18"/>
                <w:szCs w:val="18"/>
              </w:rPr>
              <w:t xml:space="preserve"> 31,514 </w:t>
            </w:r>
          </w:p>
        </w:tc>
      </w:tr>
      <w:tr w:rsidR="00287F1C" w:rsidRPr="002946A9" w14:paraId="36DF211E" w14:textId="77777777" w:rsidTr="00370F28">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3E719889" w14:textId="77777777" w:rsidR="00287F1C" w:rsidRPr="002946A9" w:rsidRDefault="00287F1C" w:rsidP="00F024D9">
            <w:pPr>
              <w:rPr>
                <w:rFonts w:cs="Calibri"/>
                <w:b w:val="0"/>
                <w:i/>
                <w:iCs/>
                <w:color w:val="auto"/>
                <w:sz w:val="18"/>
                <w:szCs w:val="18"/>
              </w:rPr>
            </w:pPr>
            <w:r w:rsidRPr="002946A9">
              <w:rPr>
                <w:b w:val="0"/>
                <w:i/>
                <w:iCs/>
                <w:color w:val="auto"/>
                <w:sz w:val="18"/>
                <w:szCs w:val="18"/>
              </w:rPr>
              <w:t>Zaragoza</w:t>
            </w:r>
          </w:p>
        </w:tc>
        <w:tc>
          <w:tcPr>
            <w:tcW w:w="1134" w:type="dxa"/>
            <w:noWrap/>
          </w:tcPr>
          <w:p w14:paraId="26F5A6CC" w14:textId="77777777" w:rsidR="00287F1C" w:rsidRPr="002946A9" w:rsidRDefault="00287F1C" w:rsidP="00F024D9">
            <w:pPr>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05895</w:t>
            </w:r>
          </w:p>
        </w:tc>
        <w:tc>
          <w:tcPr>
            <w:tcW w:w="1225" w:type="dxa"/>
            <w:noWrap/>
          </w:tcPr>
          <w:p w14:paraId="390CB095" w14:textId="77777777" w:rsidR="00287F1C" w:rsidRPr="002946A9" w:rsidRDefault="00287F1C" w:rsidP="00F024D9">
            <w:pP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2946A9">
              <w:rPr>
                <w:sz w:val="18"/>
                <w:szCs w:val="18"/>
              </w:rPr>
              <w:t xml:space="preserve"> 8,632 </w:t>
            </w:r>
          </w:p>
        </w:tc>
      </w:tr>
      <w:tr w:rsidR="00287F1C" w:rsidRPr="002946A9" w14:paraId="42EDE3D0" w14:textId="77777777" w:rsidTr="00370F28">
        <w:trPr>
          <w:cnfStyle w:val="000000010000" w:firstRow="0" w:lastRow="0" w:firstColumn="0" w:lastColumn="0" w:oddVBand="0" w:evenVBand="0" w:oddHBand="0" w:evenHBand="1"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1696" w:type="dxa"/>
            <w:noWrap/>
            <w:vAlign w:val="top"/>
          </w:tcPr>
          <w:p w14:paraId="29063F56" w14:textId="77777777" w:rsidR="00287F1C" w:rsidRPr="002946A9" w:rsidRDefault="00287F1C" w:rsidP="00F024D9">
            <w:pPr>
              <w:rPr>
                <w:rFonts w:cs="Calibri"/>
                <w:bCs w:val="0"/>
                <w:color w:val="auto"/>
                <w:sz w:val="18"/>
                <w:szCs w:val="18"/>
              </w:rPr>
            </w:pPr>
            <w:r w:rsidRPr="002946A9">
              <w:rPr>
                <w:bCs w:val="0"/>
                <w:color w:val="auto"/>
                <w:sz w:val="18"/>
                <w:szCs w:val="18"/>
              </w:rPr>
              <w:t>Total general</w:t>
            </w:r>
          </w:p>
        </w:tc>
        <w:tc>
          <w:tcPr>
            <w:tcW w:w="1134" w:type="dxa"/>
            <w:shd w:val="clear" w:color="auto" w:fill="BFE2A8" w:themeFill="accent2" w:themeFillTint="66"/>
            <w:noWrap/>
          </w:tcPr>
          <w:p w14:paraId="6FB88BFF" w14:textId="77777777" w:rsidR="00287F1C" w:rsidRPr="002946A9" w:rsidRDefault="00287F1C" w:rsidP="00F024D9">
            <w:pPr>
              <w:jc w:val="center"/>
              <w:cnfStyle w:val="000000010000" w:firstRow="0" w:lastRow="0" w:firstColumn="0" w:lastColumn="0" w:oddVBand="0" w:evenVBand="0" w:oddHBand="0" w:evenHBand="1" w:firstRowFirstColumn="0" w:firstRowLastColumn="0" w:lastRowFirstColumn="0" w:lastRowLastColumn="0"/>
              <w:rPr>
                <w:rFonts w:cs="Calibri"/>
                <w:b/>
                <w:bCs/>
                <w:color w:val="000000"/>
                <w:sz w:val="18"/>
                <w:szCs w:val="18"/>
              </w:rPr>
            </w:pPr>
          </w:p>
        </w:tc>
        <w:tc>
          <w:tcPr>
            <w:tcW w:w="1225" w:type="dxa"/>
            <w:shd w:val="clear" w:color="auto" w:fill="BFE2A8" w:themeFill="accent2" w:themeFillTint="66"/>
            <w:noWrap/>
          </w:tcPr>
          <w:p w14:paraId="15DFB9F7" w14:textId="6924F6F3" w:rsidR="00287F1C" w:rsidRPr="002946A9" w:rsidRDefault="00287F1C" w:rsidP="00F024D9">
            <w:pPr>
              <w:cnfStyle w:val="000000010000" w:firstRow="0" w:lastRow="0" w:firstColumn="0" w:lastColumn="0" w:oddVBand="0" w:evenVBand="0" w:oddHBand="0" w:evenHBand="1" w:firstRowFirstColumn="0" w:firstRowLastColumn="0" w:lastRowFirstColumn="0" w:lastRowLastColumn="0"/>
              <w:rPr>
                <w:rFonts w:cs="Calibri"/>
                <w:b/>
                <w:bCs/>
                <w:color w:val="000000"/>
                <w:sz w:val="18"/>
                <w:szCs w:val="18"/>
              </w:rPr>
            </w:pPr>
            <w:r w:rsidRPr="002946A9">
              <w:rPr>
                <w:sz w:val="18"/>
                <w:szCs w:val="18"/>
              </w:rPr>
              <w:t xml:space="preserve"> </w:t>
            </w:r>
            <w:r w:rsidRPr="002946A9">
              <w:rPr>
                <w:b/>
                <w:bCs/>
                <w:sz w:val="18"/>
                <w:szCs w:val="18"/>
              </w:rPr>
              <w:t>1,</w:t>
            </w:r>
            <w:r w:rsidR="00A606D8" w:rsidRPr="002946A9">
              <w:rPr>
                <w:b/>
                <w:bCs/>
                <w:sz w:val="18"/>
                <w:szCs w:val="18"/>
              </w:rPr>
              <w:t>7</w:t>
            </w:r>
            <w:r w:rsidR="00A606D8">
              <w:rPr>
                <w:b/>
                <w:bCs/>
                <w:sz w:val="18"/>
                <w:szCs w:val="18"/>
              </w:rPr>
              <w:t>50</w:t>
            </w:r>
            <w:r w:rsidRPr="002946A9">
              <w:rPr>
                <w:b/>
                <w:bCs/>
                <w:sz w:val="18"/>
                <w:szCs w:val="18"/>
              </w:rPr>
              <w:t>,</w:t>
            </w:r>
            <w:r w:rsidR="00A606D8">
              <w:rPr>
                <w:b/>
                <w:bCs/>
                <w:sz w:val="18"/>
                <w:szCs w:val="18"/>
              </w:rPr>
              <w:t>338</w:t>
            </w:r>
            <w:r w:rsidR="00A606D8" w:rsidRPr="002946A9">
              <w:rPr>
                <w:b/>
                <w:bCs/>
                <w:sz w:val="18"/>
                <w:szCs w:val="18"/>
              </w:rPr>
              <w:t xml:space="preserve"> </w:t>
            </w:r>
          </w:p>
        </w:tc>
      </w:tr>
    </w:tbl>
    <w:p w14:paraId="07B3DFD8" w14:textId="77777777" w:rsidR="00287F1C" w:rsidRPr="002946A9" w:rsidRDefault="00287F1C" w:rsidP="00DF29CB">
      <w:pPr>
        <w:spacing w:after="0"/>
        <w:ind w:left="360"/>
        <w:jc w:val="both"/>
        <w:rPr>
          <w:rFonts w:ascii="Trebuchet MS" w:hAnsi="Trebuchet MS"/>
          <w:szCs w:val="24"/>
        </w:rPr>
        <w:sectPr w:rsidR="00287F1C" w:rsidRPr="002946A9" w:rsidSect="00092028">
          <w:type w:val="continuous"/>
          <w:pgSz w:w="12240" w:h="15840"/>
          <w:pgMar w:top="1417" w:right="1701" w:bottom="1417" w:left="1701" w:header="708" w:footer="708" w:gutter="0"/>
          <w:cols w:num="2" w:space="708"/>
          <w:docGrid w:linePitch="360"/>
        </w:sectPr>
      </w:pPr>
    </w:p>
    <w:p w14:paraId="25B6FF56" w14:textId="40A6475B" w:rsidR="00C542E4" w:rsidRPr="002946A9" w:rsidRDefault="00A935C9" w:rsidP="00DF29CB">
      <w:pPr>
        <w:spacing w:after="0"/>
        <w:ind w:left="360"/>
        <w:jc w:val="both"/>
        <w:rPr>
          <w:rFonts w:ascii="Trebuchet MS" w:hAnsi="Trebuchet MS"/>
          <w:szCs w:val="24"/>
        </w:rPr>
      </w:pPr>
      <w:r w:rsidRPr="002946A9">
        <w:rPr>
          <w:rFonts w:ascii="Trebuchet MS" w:hAnsi="Trebuchet MS"/>
          <w:szCs w:val="24"/>
        </w:rPr>
        <w:t xml:space="preserve">Se observa que el municipio con mayor monto de inversión es Medellín, para un valor de inversión de </w:t>
      </w:r>
      <w:r w:rsidR="00D95368" w:rsidRPr="002946A9">
        <w:rPr>
          <w:rFonts w:ascii="Trebuchet MS" w:hAnsi="Trebuchet MS"/>
          <w:szCs w:val="24"/>
        </w:rPr>
        <w:t>34</w:t>
      </w:r>
      <w:r w:rsidR="00D95368">
        <w:rPr>
          <w:rFonts w:ascii="Trebuchet MS" w:hAnsi="Trebuchet MS"/>
          <w:szCs w:val="24"/>
        </w:rPr>
        <w:t>2</w:t>
      </w:r>
      <w:r w:rsidRPr="002946A9">
        <w:rPr>
          <w:rFonts w:ascii="Trebuchet MS" w:hAnsi="Trebuchet MS"/>
          <w:szCs w:val="24"/>
        </w:rPr>
        <w:t>,</w:t>
      </w:r>
      <w:r w:rsidR="00D95368">
        <w:rPr>
          <w:rFonts w:ascii="Trebuchet MS" w:hAnsi="Trebuchet MS"/>
          <w:szCs w:val="24"/>
        </w:rPr>
        <w:t>882</w:t>
      </w:r>
      <w:r w:rsidR="00D95368" w:rsidRPr="002946A9">
        <w:rPr>
          <w:rFonts w:ascii="Trebuchet MS" w:hAnsi="Trebuchet MS"/>
          <w:szCs w:val="24"/>
        </w:rPr>
        <w:t xml:space="preserve"> </w:t>
      </w:r>
      <w:r w:rsidRPr="002946A9">
        <w:rPr>
          <w:rFonts w:ascii="Trebuchet MS" w:hAnsi="Trebuchet MS"/>
          <w:szCs w:val="24"/>
        </w:rPr>
        <w:t>millones de pesos a invertir en el periodo 2020–2025, lo que equivale a un 19.</w:t>
      </w:r>
      <w:r w:rsidR="007F3836">
        <w:rPr>
          <w:rFonts w:ascii="Trebuchet MS" w:hAnsi="Trebuchet MS"/>
          <w:szCs w:val="24"/>
        </w:rPr>
        <w:t>589</w:t>
      </w:r>
      <w:r w:rsidRPr="002946A9">
        <w:rPr>
          <w:rFonts w:ascii="Trebuchet MS" w:hAnsi="Trebuchet MS"/>
          <w:szCs w:val="24"/>
        </w:rPr>
        <w:t>% del plan.</w:t>
      </w:r>
    </w:p>
    <w:p w14:paraId="10198D7B" w14:textId="21286055" w:rsidR="00D117E9" w:rsidRPr="002946A9" w:rsidRDefault="00D117E9" w:rsidP="00DF29CB">
      <w:pPr>
        <w:ind w:left="360"/>
        <w:jc w:val="both"/>
        <w:rPr>
          <w:rFonts w:ascii="Trebuchet MS" w:hAnsi="Trebuchet MS"/>
          <w:szCs w:val="24"/>
        </w:rPr>
      </w:pPr>
    </w:p>
    <w:p w14:paraId="73BC4F1A" w14:textId="6E0D1BC8" w:rsidR="0028005E" w:rsidRPr="002946A9" w:rsidRDefault="0028005E" w:rsidP="00DF29CB">
      <w:pPr>
        <w:numPr>
          <w:ilvl w:val="2"/>
          <w:numId w:val="2"/>
        </w:numPr>
        <w:ind w:left="1225" w:hanging="505"/>
        <w:jc w:val="both"/>
        <w:outlineLvl w:val="2"/>
        <w:rPr>
          <w:rFonts w:ascii="Trebuchet MS" w:hAnsi="Trebuchet MS"/>
          <w:b/>
          <w:bCs/>
          <w:szCs w:val="24"/>
        </w:rPr>
      </w:pPr>
      <w:bookmarkStart w:id="119" w:name="_Toc131109342"/>
      <w:r w:rsidRPr="002946A9">
        <w:rPr>
          <w:rFonts w:ascii="Trebuchet MS" w:hAnsi="Trebuchet MS"/>
          <w:b/>
          <w:bCs/>
          <w:szCs w:val="24"/>
        </w:rPr>
        <w:t xml:space="preserve">Inversiones por </w:t>
      </w:r>
      <w:r w:rsidR="000A09AA" w:rsidRPr="002946A9">
        <w:rPr>
          <w:rFonts w:ascii="Trebuchet MS" w:hAnsi="Trebuchet MS"/>
          <w:b/>
          <w:bCs/>
          <w:szCs w:val="24"/>
        </w:rPr>
        <w:t>departamento</w:t>
      </w:r>
      <w:bookmarkEnd w:id="119"/>
      <w:r w:rsidRPr="002946A9">
        <w:rPr>
          <w:rFonts w:ascii="Trebuchet MS" w:hAnsi="Trebuchet MS"/>
          <w:b/>
          <w:bCs/>
          <w:szCs w:val="24"/>
        </w:rPr>
        <w:t xml:space="preserve">  </w:t>
      </w:r>
    </w:p>
    <w:p w14:paraId="47BBEF21" w14:textId="63BB9651" w:rsidR="00037D60" w:rsidRPr="002946A9" w:rsidRDefault="005F6BB9" w:rsidP="00467E86">
      <w:pPr>
        <w:spacing w:after="0"/>
        <w:ind w:left="360"/>
        <w:jc w:val="both"/>
        <w:rPr>
          <w:rFonts w:ascii="Trebuchet MS" w:hAnsi="Trebuchet MS"/>
          <w:szCs w:val="24"/>
        </w:rPr>
      </w:pPr>
      <w:r w:rsidRPr="002946A9">
        <w:rPr>
          <w:rFonts w:ascii="Trebuchet MS" w:hAnsi="Trebuchet MS"/>
          <w:szCs w:val="24"/>
        </w:rPr>
        <w:t>Se consideran inversiones en tres departamentos</w:t>
      </w:r>
      <w:r w:rsidR="0098477C" w:rsidRPr="002946A9">
        <w:rPr>
          <w:rFonts w:ascii="Trebuchet MS" w:hAnsi="Trebuchet MS"/>
          <w:szCs w:val="24"/>
        </w:rPr>
        <w:t>, los cuales se muestran a continuación:</w:t>
      </w:r>
    </w:p>
    <w:p w14:paraId="3557A316" w14:textId="77777777" w:rsidR="00C01749" w:rsidRPr="002946A9" w:rsidRDefault="00C01749" w:rsidP="00DF29CB">
      <w:pPr>
        <w:spacing w:after="0"/>
        <w:ind w:left="360"/>
        <w:jc w:val="both"/>
        <w:rPr>
          <w:rFonts w:ascii="Trebuchet MS" w:hAnsi="Trebuchet MS"/>
          <w:szCs w:val="24"/>
        </w:rPr>
      </w:pPr>
    </w:p>
    <w:p w14:paraId="1A178952" w14:textId="4E71FDD5" w:rsidR="00540466" w:rsidRPr="002946A9" w:rsidRDefault="00540466" w:rsidP="00DF29CB">
      <w:pPr>
        <w:ind w:left="1416" w:hanging="1056"/>
        <w:jc w:val="both"/>
        <w:rPr>
          <w:rFonts w:ascii="Trebuchet MS" w:hAnsi="Trebuchet MS"/>
        </w:rPr>
      </w:pPr>
      <w:bookmarkStart w:id="120" w:name="_Ref66442588"/>
      <w:bookmarkStart w:id="121" w:name="_Toc131032773"/>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5</w:t>
      </w:r>
      <w:r w:rsidRPr="002946A9">
        <w:rPr>
          <w:rFonts w:ascii="Trebuchet MS" w:hAnsi="Trebuchet MS"/>
        </w:rPr>
        <w:fldChar w:fldCharType="end"/>
      </w:r>
      <w:bookmarkEnd w:id="120"/>
      <w:r w:rsidRPr="002946A9">
        <w:rPr>
          <w:rFonts w:ascii="Trebuchet MS" w:hAnsi="Trebuchet MS"/>
        </w:rPr>
        <w:t xml:space="preserve"> </w:t>
      </w:r>
      <w:r w:rsidRPr="002946A9">
        <w:rPr>
          <w:rFonts w:ascii="Trebuchet MS" w:hAnsi="Trebuchet MS"/>
        </w:rPr>
        <w:tab/>
        <w:t>Inversiones plan 20</w:t>
      </w:r>
      <w:r w:rsidR="00C01749" w:rsidRPr="002946A9">
        <w:rPr>
          <w:rFonts w:ascii="Trebuchet MS" w:hAnsi="Trebuchet MS"/>
        </w:rPr>
        <w:t>20</w:t>
      </w:r>
      <w:r w:rsidRPr="002946A9">
        <w:rPr>
          <w:rFonts w:ascii="Trebuchet MS" w:hAnsi="Trebuchet MS"/>
        </w:rPr>
        <w:t xml:space="preserve"> – 202</w:t>
      </w:r>
      <w:r w:rsidR="00C01749" w:rsidRPr="002946A9">
        <w:rPr>
          <w:rFonts w:ascii="Trebuchet MS" w:hAnsi="Trebuchet MS"/>
        </w:rPr>
        <w:t>5</w:t>
      </w:r>
      <w:r w:rsidRPr="002946A9">
        <w:rPr>
          <w:rFonts w:ascii="Trebuchet MS" w:hAnsi="Trebuchet MS"/>
        </w:rPr>
        <w:t xml:space="preserve"> por departamentos.</w:t>
      </w:r>
      <w:bookmarkEnd w:id="121"/>
    </w:p>
    <w:tbl>
      <w:tblPr>
        <w:tblStyle w:val="Tablaconcuadrcula5oscura-nfasis1"/>
        <w:tblW w:w="6393" w:type="dxa"/>
        <w:jc w:val="center"/>
        <w:tblLook w:val="04A0" w:firstRow="1" w:lastRow="0" w:firstColumn="1" w:lastColumn="0" w:noHBand="0" w:noVBand="1"/>
      </w:tblPr>
      <w:tblGrid>
        <w:gridCol w:w="1552"/>
        <w:gridCol w:w="4841"/>
      </w:tblGrid>
      <w:tr w:rsidR="00540466" w:rsidRPr="002946A9" w14:paraId="00220CFB" w14:textId="77777777" w:rsidTr="00C01749">
        <w:trPr>
          <w:cnfStyle w:val="100000000000" w:firstRow="1" w:lastRow="0" w:firstColumn="0" w:lastColumn="0" w:oddVBand="0" w:evenVBand="0" w:oddHBand="0"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2EC27A0" w14:textId="77777777" w:rsidR="00540466" w:rsidRPr="002946A9" w:rsidRDefault="00540466" w:rsidP="00F96058">
            <w:pPr>
              <w:rPr>
                <w:rFonts w:cs="Calibri"/>
                <w:bCs w:val="0"/>
                <w:color w:val="000000"/>
                <w:sz w:val="20"/>
                <w:szCs w:val="20"/>
              </w:rPr>
            </w:pPr>
            <w:r w:rsidRPr="002946A9">
              <w:rPr>
                <w:rFonts w:cs="Calibri"/>
                <w:bCs w:val="0"/>
                <w:color w:val="000000"/>
                <w:sz w:val="20"/>
                <w:szCs w:val="20"/>
              </w:rPr>
              <w:t>Departamento</w:t>
            </w:r>
          </w:p>
        </w:tc>
        <w:tc>
          <w:tcPr>
            <w:tcW w:w="4841" w:type="dxa"/>
            <w:noWrap/>
            <w:hideMark/>
          </w:tcPr>
          <w:p w14:paraId="48B919DD" w14:textId="7F3C7230" w:rsidR="00540466" w:rsidRPr="002946A9" w:rsidRDefault="00540466" w:rsidP="00F96058">
            <w:pPr>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rPr>
            </w:pPr>
            <w:r w:rsidRPr="002946A9">
              <w:rPr>
                <w:rFonts w:cs="Calibri"/>
                <w:bCs w:val="0"/>
                <w:color w:val="000000"/>
                <w:sz w:val="20"/>
                <w:szCs w:val="20"/>
              </w:rPr>
              <w:t>Inversión Total</w:t>
            </w:r>
            <w:r w:rsidR="00EB4DED" w:rsidRPr="002946A9">
              <w:rPr>
                <w:rFonts w:cs="Calibri"/>
                <w:bCs w:val="0"/>
                <w:color w:val="000000"/>
                <w:sz w:val="20"/>
                <w:szCs w:val="20"/>
              </w:rPr>
              <w:t>*</w:t>
            </w:r>
          </w:p>
        </w:tc>
      </w:tr>
      <w:tr w:rsidR="00C01749" w:rsidRPr="002946A9" w14:paraId="3BDFEB35" w14:textId="77777777" w:rsidTr="00C01749">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558968E" w14:textId="77777777" w:rsidR="00C01749" w:rsidRPr="002946A9" w:rsidRDefault="00C01749" w:rsidP="00C01749">
            <w:pPr>
              <w:rPr>
                <w:rFonts w:cs="Calibri"/>
                <w:b w:val="0"/>
                <w:bCs w:val="0"/>
                <w:i/>
                <w:color w:val="000000"/>
                <w:sz w:val="20"/>
                <w:szCs w:val="20"/>
              </w:rPr>
            </w:pPr>
            <w:r w:rsidRPr="002946A9">
              <w:rPr>
                <w:rFonts w:cs="Calibri"/>
                <w:b w:val="0"/>
                <w:bCs w:val="0"/>
                <w:i/>
                <w:color w:val="000000"/>
                <w:sz w:val="20"/>
                <w:szCs w:val="20"/>
              </w:rPr>
              <w:t>Antioquia</w:t>
            </w:r>
          </w:p>
        </w:tc>
        <w:tc>
          <w:tcPr>
            <w:tcW w:w="4841" w:type="dxa"/>
            <w:noWrap/>
            <w:vAlign w:val="top"/>
          </w:tcPr>
          <w:p w14:paraId="2294A739" w14:textId="7E7FBFFA" w:rsidR="00C01749" w:rsidRPr="002946A9" w:rsidRDefault="00C01749" w:rsidP="00C01749">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1,</w:t>
            </w:r>
            <w:r w:rsidR="00E95DAF" w:rsidRPr="002946A9">
              <w:rPr>
                <w:sz w:val="20"/>
                <w:szCs w:val="20"/>
              </w:rPr>
              <w:t>74</w:t>
            </w:r>
            <w:r w:rsidR="00E95DAF">
              <w:rPr>
                <w:sz w:val="20"/>
                <w:szCs w:val="20"/>
              </w:rPr>
              <w:t>7</w:t>
            </w:r>
            <w:r w:rsidRPr="002946A9">
              <w:rPr>
                <w:sz w:val="20"/>
                <w:szCs w:val="20"/>
              </w:rPr>
              <w:t>,</w:t>
            </w:r>
            <w:r w:rsidR="00E95DAF">
              <w:rPr>
                <w:sz w:val="20"/>
                <w:szCs w:val="20"/>
              </w:rPr>
              <w:t>779</w:t>
            </w:r>
            <w:r w:rsidR="00E95DAF" w:rsidRPr="002946A9">
              <w:rPr>
                <w:sz w:val="20"/>
                <w:szCs w:val="20"/>
              </w:rPr>
              <w:t xml:space="preserve"> </w:t>
            </w:r>
          </w:p>
        </w:tc>
      </w:tr>
      <w:tr w:rsidR="00C01749" w:rsidRPr="002946A9" w14:paraId="2E82F6FF" w14:textId="77777777" w:rsidTr="00C01749">
        <w:trPr>
          <w:cnfStyle w:val="000000010000" w:firstRow="0" w:lastRow="0" w:firstColumn="0" w:lastColumn="0" w:oddVBand="0" w:evenVBand="0" w:oddHBand="0" w:evenHBand="1"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84F1E42" w14:textId="77777777" w:rsidR="00C01749" w:rsidRPr="002946A9" w:rsidRDefault="00C01749" w:rsidP="00C01749">
            <w:pPr>
              <w:rPr>
                <w:rFonts w:cs="Calibri"/>
                <w:b w:val="0"/>
                <w:bCs w:val="0"/>
                <w:i/>
                <w:color w:val="000000"/>
                <w:sz w:val="20"/>
                <w:szCs w:val="20"/>
              </w:rPr>
            </w:pPr>
            <w:r w:rsidRPr="002946A9">
              <w:rPr>
                <w:rFonts w:cs="Calibri"/>
                <w:b w:val="0"/>
                <w:bCs w:val="0"/>
                <w:i/>
                <w:color w:val="000000"/>
                <w:sz w:val="20"/>
                <w:szCs w:val="20"/>
              </w:rPr>
              <w:t>Chocó</w:t>
            </w:r>
          </w:p>
        </w:tc>
        <w:tc>
          <w:tcPr>
            <w:tcW w:w="4841" w:type="dxa"/>
            <w:noWrap/>
            <w:vAlign w:val="top"/>
          </w:tcPr>
          <w:p w14:paraId="2E4880D3" w14:textId="788A5B12" w:rsidR="00C01749" w:rsidRPr="002946A9" w:rsidRDefault="00C01749" w:rsidP="00C01749">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2,270 </w:t>
            </w:r>
          </w:p>
        </w:tc>
      </w:tr>
      <w:tr w:rsidR="00C01749" w:rsidRPr="002946A9" w14:paraId="06C24216" w14:textId="77777777" w:rsidTr="00C01749">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14A4E07" w14:textId="77777777" w:rsidR="00C01749" w:rsidRPr="002946A9" w:rsidRDefault="00C01749" w:rsidP="00C01749">
            <w:pPr>
              <w:rPr>
                <w:rFonts w:cs="Calibri"/>
                <w:b w:val="0"/>
                <w:bCs w:val="0"/>
                <w:i/>
                <w:color w:val="000000"/>
                <w:sz w:val="20"/>
                <w:szCs w:val="20"/>
              </w:rPr>
            </w:pPr>
            <w:r w:rsidRPr="002946A9">
              <w:rPr>
                <w:rFonts w:cs="Calibri"/>
                <w:b w:val="0"/>
                <w:bCs w:val="0"/>
                <w:i/>
                <w:color w:val="000000"/>
                <w:sz w:val="20"/>
                <w:szCs w:val="20"/>
              </w:rPr>
              <w:t>Córdoba</w:t>
            </w:r>
          </w:p>
        </w:tc>
        <w:tc>
          <w:tcPr>
            <w:tcW w:w="4841" w:type="dxa"/>
            <w:noWrap/>
            <w:vAlign w:val="top"/>
          </w:tcPr>
          <w:p w14:paraId="4AA067FD" w14:textId="7313A807" w:rsidR="00C01749" w:rsidRPr="002946A9" w:rsidRDefault="00C01749" w:rsidP="00C01749">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288 </w:t>
            </w:r>
          </w:p>
        </w:tc>
      </w:tr>
      <w:tr w:rsidR="00C01749" w:rsidRPr="002946A9" w14:paraId="07A6F9AB" w14:textId="77777777" w:rsidTr="00C01749">
        <w:trPr>
          <w:cnfStyle w:val="000000010000" w:firstRow="0" w:lastRow="0" w:firstColumn="0" w:lastColumn="0" w:oddVBand="0" w:evenVBand="0" w:oddHBand="0" w:evenHBand="1"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56DEC0E" w14:textId="77777777" w:rsidR="00C01749" w:rsidRPr="002946A9" w:rsidRDefault="00C01749" w:rsidP="00C01749">
            <w:pPr>
              <w:jc w:val="both"/>
              <w:rPr>
                <w:rFonts w:cs="Calibri"/>
                <w:bCs w:val="0"/>
                <w:color w:val="000000"/>
                <w:sz w:val="20"/>
                <w:szCs w:val="20"/>
              </w:rPr>
            </w:pPr>
            <w:r w:rsidRPr="002946A9">
              <w:rPr>
                <w:rFonts w:cs="Calibri"/>
                <w:bCs w:val="0"/>
                <w:color w:val="000000"/>
                <w:sz w:val="20"/>
                <w:szCs w:val="20"/>
              </w:rPr>
              <w:t>Total general</w:t>
            </w:r>
          </w:p>
        </w:tc>
        <w:tc>
          <w:tcPr>
            <w:tcW w:w="4841" w:type="dxa"/>
            <w:shd w:val="clear" w:color="auto" w:fill="BFE2A8" w:themeFill="accent2" w:themeFillTint="66"/>
            <w:noWrap/>
            <w:vAlign w:val="top"/>
            <w:hideMark/>
          </w:tcPr>
          <w:p w14:paraId="4505B96A" w14:textId="5C81564D" w:rsidR="00C01749" w:rsidRPr="002946A9" w:rsidRDefault="00C01749" w:rsidP="00C01749">
            <w:pPr>
              <w:cnfStyle w:val="000000010000" w:firstRow="0" w:lastRow="0" w:firstColumn="0" w:lastColumn="0" w:oddVBand="0" w:evenVBand="0" w:oddHBand="0" w:evenHBand="1" w:firstRowFirstColumn="0" w:firstRowLastColumn="0" w:lastRowFirstColumn="0" w:lastRowLastColumn="0"/>
              <w:rPr>
                <w:rFonts w:cs="Calibri"/>
                <w:b/>
                <w:bCs/>
                <w:color w:val="000000"/>
                <w:sz w:val="20"/>
                <w:szCs w:val="20"/>
              </w:rPr>
            </w:pPr>
            <w:r w:rsidRPr="002946A9">
              <w:rPr>
                <w:sz w:val="20"/>
                <w:szCs w:val="20"/>
              </w:rPr>
              <w:t xml:space="preserve"> </w:t>
            </w:r>
            <w:r w:rsidRPr="002946A9">
              <w:rPr>
                <w:b/>
                <w:bCs/>
                <w:sz w:val="20"/>
                <w:szCs w:val="20"/>
              </w:rPr>
              <w:t>1,</w:t>
            </w:r>
            <w:r w:rsidR="00E95DAF" w:rsidRPr="002946A9">
              <w:rPr>
                <w:b/>
                <w:bCs/>
                <w:sz w:val="20"/>
                <w:szCs w:val="20"/>
              </w:rPr>
              <w:t>7</w:t>
            </w:r>
            <w:r w:rsidR="00E95DAF">
              <w:rPr>
                <w:b/>
                <w:bCs/>
                <w:sz w:val="20"/>
                <w:szCs w:val="20"/>
              </w:rPr>
              <w:t>50</w:t>
            </w:r>
            <w:r w:rsidRPr="002946A9">
              <w:rPr>
                <w:b/>
                <w:bCs/>
                <w:sz w:val="20"/>
                <w:szCs w:val="20"/>
              </w:rPr>
              <w:t>,</w:t>
            </w:r>
            <w:r w:rsidR="00E95DAF">
              <w:rPr>
                <w:b/>
                <w:bCs/>
                <w:sz w:val="20"/>
                <w:szCs w:val="20"/>
              </w:rPr>
              <w:t>338</w:t>
            </w:r>
            <w:r w:rsidR="00E95DAF" w:rsidRPr="002946A9">
              <w:rPr>
                <w:b/>
                <w:bCs/>
                <w:sz w:val="20"/>
                <w:szCs w:val="20"/>
              </w:rPr>
              <w:t xml:space="preserve"> </w:t>
            </w:r>
          </w:p>
        </w:tc>
      </w:tr>
      <w:tr w:rsidR="008273E3" w:rsidRPr="002946A9" w14:paraId="685E513E" w14:textId="77777777" w:rsidTr="00C01749">
        <w:trPr>
          <w:cnfStyle w:val="000000100000" w:firstRow="0" w:lastRow="0" w:firstColumn="0" w:lastColumn="0" w:oddVBand="0" w:evenVBand="0" w:oddHBand="1" w:evenHBand="0" w:firstRowFirstColumn="0" w:firstRowLastColumn="0" w:lastRowFirstColumn="0" w:lastRowLastColumn="0"/>
          <w:trHeight w:val="166"/>
          <w:jc w:val="center"/>
        </w:trPr>
        <w:tc>
          <w:tcPr>
            <w:cnfStyle w:val="001000000000" w:firstRow="0" w:lastRow="0" w:firstColumn="1" w:lastColumn="0" w:oddVBand="0" w:evenVBand="0" w:oddHBand="0" w:evenHBand="0" w:firstRowFirstColumn="0" w:firstRowLastColumn="0" w:lastRowFirstColumn="0" w:lastRowLastColumn="0"/>
            <w:tcW w:w="6393" w:type="dxa"/>
            <w:gridSpan w:val="2"/>
            <w:shd w:val="clear" w:color="auto" w:fill="DFF0D3" w:themeFill="accent2" w:themeFillTint="33"/>
            <w:noWrap/>
          </w:tcPr>
          <w:p w14:paraId="4807A554" w14:textId="703C22AF" w:rsidR="008273E3" w:rsidRPr="002946A9" w:rsidRDefault="00DE26FA" w:rsidP="00F96058">
            <w:pPr>
              <w:rPr>
                <w:rFonts w:cs="Calibri"/>
                <w:b w:val="0"/>
                <w:bCs w:val="0"/>
                <w:i/>
                <w:iCs/>
                <w:color w:val="000000"/>
                <w:sz w:val="18"/>
                <w:szCs w:val="18"/>
              </w:rPr>
            </w:pPr>
            <w:r w:rsidRPr="002946A9">
              <w:rPr>
                <w:rFonts w:cs="Calibri"/>
                <w:b w:val="0"/>
                <w:bCs w:val="0"/>
                <w:i/>
                <w:iCs/>
                <w:color w:val="000000"/>
                <w:sz w:val="18"/>
                <w:szCs w:val="18"/>
              </w:rPr>
              <w:t xml:space="preserve">* </w:t>
            </w:r>
            <w:r w:rsidR="003D3C1D" w:rsidRPr="002946A9">
              <w:rPr>
                <w:rFonts w:cs="Calibri"/>
                <w:b w:val="0"/>
                <w:bCs w:val="0"/>
                <w:i/>
                <w:iCs/>
                <w:color w:val="000000"/>
                <w:sz w:val="18"/>
                <w:szCs w:val="18"/>
              </w:rPr>
              <w:t>V</w:t>
            </w:r>
            <w:r w:rsidR="00070F47" w:rsidRPr="002946A9">
              <w:rPr>
                <w:rFonts w:cs="Calibri"/>
                <w:b w:val="0"/>
                <w:bCs w:val="0"/>
                <w:i/>
                <w:iCs/>
                <w:color w:val="000000"/>
                <w:sz w:val="18"/>
                <w:szCs w:val="18"/>
              </w:rPr>
              <w:t>alores en millones de pesos a diciembre del 2017</w:t>
            </w:r>
            <w:r w:rsidR="003C1F13" w:rsidRPr="002946A9">
              <w:rPr>
                <w:rFonts w:cs="Calibri"/>
                <w:b w:val="0"/>
                <w:bCs w:val="0"/>
                <w:i/>
                <w:iCs/>
                <w:color w:val="000000"/>
                <w:sz w:val="18"/>
                <w:szCs w:val="18"/>
              </w:rPr>
              <w:t>.</w:t>
            </w:r>
          </w:p>
        </w:tc>
      </w:tr>
    </w:tbl>
    <w:p w14:paraId="5AEBBFA3" w14:textId="77777777" w:rsidR="00B3038C" w:rsidRPr="002946A9" w:rsidRDefault="00B3038C" w:rsidP="00DF29CB">
      <w:pPr>
        <w:spacing w:after="0"/>
        <w:ind w:left="360"/>
        <w:jc w:val="both"/>
        <w:rPr>
          <w:rFonts w:ascii="Trebuchet MS" w:hAnsi="Trebuchet MS"/>
          <w:szCs w:val="24"/>
        </w:rPr>
      </w:pPr>
    </w:p>
    <w:p w14:paraId="10316B40" w14:textId="4C0E4974" w:rsidR="00540466" w:rsidRPr="002946A9" w:rsidRDefault="00D434CB" w:rsidP="00DF29CB">
      <w:pPr>
        <w:spacing w:after="0"/>
        <w:ind w:left="360"/>
        <w:jc w:val="both"/>
        <w:rPr>
          <w:rFonts w:ascii="Trebuchet MS" w:hAnsi="Trebuchet MS"/>
        </w:rPr>
      </w:pPr>
      <w:r w:rsidRPr="002946A9">
        <w:rPr>
          <w:rFonts w:ascii="Trebuchet MS" w:hAnsi="Trebuchet MS"/>
        </w:rPr>
        <w:t>El departamento de Antioquia es el que presenta mayor grado de inversión</w:t>
      </w:r>
      <w:r w:rsidR="000B00B3" w:rsidRPr="002946A9">
        <w:rPr>
          <w:rFonts w:ascii="Trebuchet MS" w:hAnsi="Trebuchet MS"/>
        </w:rPr>
        <w:t>, por valor de 1,</w:t>
      </w:r>
      <w:r w:rsidR="00AE2662" w:rsidRPr="002946A9">
        <w:rPr>
          <w:rFonts w:ascii="Trebuchet MS" w:hAnsi="Trebuchet MS"/>
        </w:rPr>
        <w:t>74</w:t>
      </w:r>
      <w:r w:rsidR="00AE2662">
        <w:rPr>
          <w:rFonts w:ascii="Trebuchet MS" w:hAnsi="Trebuchet MS"/>
        </w:rPr>
        <w:t>7</w:t>
      </w:r>
      <w:r w:rsidR="000B00B3" w:rsidRPr="002946A9">
        <w:rPr>
          <w:rFonts w:ascii="Trebuchet MS" w:hAnsi="Trebuchet MS"/>
        </w:rPr>
        <w:t>,</w:t>
      </w:r>
      <w:r w:rsidR="00AE2662">
        <w:rPr>
          <w:rFonts w:ascii="Trebuchet MS" w:hAnsi="Trebuchet MS"/>
        </w:rPr>
        <w:t>779</w:t>
      </w:r>
      <w:r w:rsidR="00AE2662" w:rsidRPr="002946A9">
        <w:rPr>
          <w:rFonts w:ascii="Trebuchet MS" w:hAnsi="Trebuchet MS"/>
        </w:rPr>
        <w:t xml:space="preserve"> </w:t>
      </w:r>
      <w:r w:rsidR="000B00B3" w:rsidRPr="002946A9">
        <w:rPr>
          <w:rFonts w:ascii="Trebuchet MS" w:hAnsi="Trebuchet MS"/>
        </w:rPr>
        <w:t>millones de pesos</w:t>
      </w:r>
      <w:r w:rsidR="00A27001" w:rsidRPr="002946A9">
        <w:rPr>
          <w:rFonts w:ascii="Trebuchet MS" w:hAnsi="Trebuchet MS"/>
        </w:rPr>
        <w:t xml:space="preserve">, correspondientes al </w:t>
      </w:r>
      <w:r w:rsidR="008C30D8" w:rsidRPr="002946A9">
        <w:rPr>
          <w:rFonts w:ascii="Trebuchet MS" w:hAnsi="Trebuchet MS"/>
        </w:rPr>
        <w:t>99.</w:t>
      </w:r>
      <w:r w:rsidR="00C01749" w:rsidRPr="002946A9">
        <w:rPr>
          <w:rFonts w:ascii="Trebuchet MS" w:hAnsi="Trebuchet MS"/>
        </w:rPr>
        <w:t>85</w:t>
      </w:r>
      <w:r w:rsidR="008C30D8" w:rsidRPr="002946A9">
        <w:rPr>
          <w:rFonts w:ascii="Trebuchet MS" w:hAnsi="Trebuchet MS"/>
        </w:rPr>
        <w:t>% del plan.</w:t>
      </w:r>
    </w:p>
    <w:p w14:paraId="772767F6" w14:textId="77777777" w:rsidR="00C45551" w:rsidRPr="002946A9" w:rsidRDefault="00C45551" w:rsidP="00DF29CB">
      <w:pPr>
        <w:ind w:left="1224"/>
        <w:jc w:val="both"/>
        <w:rPr>
          <w:rFonts w:ascii="Trebuchet MS" w:hAnsi="Trebuchet MS"/>
          <w:b/>
          <w:bCs/>
          <w:szCs w:val="24"/>
        </w:rPr>
      </w:pPr>
    </w:p>
    <w:p w14:paraId="5D075E64" w14:textId="11DA17F6" w:rsidR="004A5AF3" w:rsidRPr="002946A9" w:rsidRDefault="004A5AF3" w:rsidP="00DF29CB">
      <w:pPr>
        <w:numPr>
          <w:ilvl w:val="2"/>
          <w:numId w:val="2"/>
        </w:numPr>
        <w:ind w:left="1225" w:hanging="505"/>
        <w:jc w:val="both"/>
        <w:outlineLvl w:val="2"/>
        <w:rPr>
          <w:rFonts w:ascii="Trebuchet MS" w:hAnsi="Trebuchet MS"/>
          <w:b/>
          <w:bCs/>
          <w:szCs w:val="24"/>
        </w:rPr>
      </w:pPr>
      <w:bookmarkStart w:id="122" w:name="_Toc131109343"/>
      <w:r w:rsidRPr="002946A9">
        <w:rPr>
          <w:rFonts w:ascii="Trebuchet MS" w:hAnsi="Trebuchet MS"/>
          <w:b/>
          <w:bCs/>
          <w:szCs w:val="24"/>
        </w:rPr>
        <w:t xml:space="preserve">Inversiones por </w:t>
      </w:r>
      <w:r w:rsidR="000A09AA" w:rsidRPr="002946A9">
        <w:rPr>
          <w:rFonts w:ascii="Trebuchet MS" w:hAnsi="Trebuchet MS"/>
          <w:b/>
          <w:bCs/>
          <w:szCs w:val="24"/>
        </w:rPr>
        <w:t>tipo de inversión</w:t>
      </w:r>
      <w:bookmarkEnd w:id="122"/>
      <w:r w:rsidRPr="002946A9">
        <w:rPr>
          <w:rFonts w:ascii="Trebuchet MS" w:hAnsi="Trebuchet MS"/>
          <w:b/>
          <w:bCs/>
          <w:szCs w:val="24"/>
        </w:rPr>
        <w:t xml:space="preserve">  </w:t>
      </w:r>
    </w:p>
    <w:p w14:paraId="278DB5B1" w14:textId="5E88864E" w:rsidR="009F09B2" w:rsidRDefault="00FC0061" w:rsidP="00DF29CB">
      <w:pPr>
        <w:ind w:left="360"/>
        <w:jc w:val="both"/>
        <w:rPr>
          <w:rFonts w:ascii="Trebuchet MS" w:hAnsi="Trebuchet MS"/>
          <w:szCs w:val="24"/>
        </w:rPr>
      </w:pPr>
      <w:r w:rsidRPr="002946A9">
        <w:rPr>
          <w:rFonts w:ascii="Trebuchet MS" w:hAnsi="Trebuchet MS"/>
          <w:szCs w:val="24"/>
        </w:rPr>
        <w:t xml:space="preserve">Las inversiones </w:t>
      </w:r>
      <w:r w:rsidR="003F7BFB" w:rsidRPr="002946A9">
        <w:rPr>
          <w:rFonts w:ascii="Trebuchet MS" w:hAnsi="Trebuchet MS"/>
          <w:szCs w:val="24"/>
        </w:rPr>
        <w:t>por tipos de inversión se presentan a continuación:</w:t>
      </w:r>
    </w:p>
    <w:p w14:paraId="583AAAF3" w14:textId="77777777" w:rsidR="00307E2B" w:rsidRPr="002946A9" w:rsidRDefault="00307E2B" w:rsidP="00DF29CB">
      <w:pPr>
        <w:ind w:left="360"/>
        <w:jc w:val="both"/>
        <w:rPr>
          <w:rFonts w:ascii="Trebuchet MS" w:hAnsi="Trebuchet MS"/>
          <w:szCs w:val="24"/>
        </w:rPr>
      </w:pPr>
    </w:p>
    <w:p w14:paraId="295B1F9E" w14:textId="77777777" w:rsidR="00467E86" w:rsidRPr="002946A9" w:rsidRDefault="00467E86" w:rsidP="00467E86">
      <w:pPr>
        <w:spacing w:after="0"/>
        <w:ind w:left="1416" w:hanging="1056"/>
        <w:jc w:val="both"/>
        <w:rPr>
          <w:rFonts w:ascii="Trebuchet MS" w:hAnsi="Trebuchet MS"/>
        </w:rPr>
      </w:pPr>
      <w:bookmarkStart w:id="123" w:name="_Ref66442617"/>
    </w:p>
    <w:p w14:paraId="2B3D689E" w14:textId="207D6F92" w:rsidR="00CB1E63" w:rsidRPr="002946A9" w:rsidRDefault="00CB1E63" w:rsidP="00DF29CB">
      <w:pPr>
        <w:ind w:left="1416" w:hanging="1056"/>
        <w:jc w:val="both"/>
        <w:rPr>
          <w:rFonts w:ascii="Trebuchet MS" w:hAnsi="Trebuchet MS"/>
        </w:rPr>
      </w:pPr>
      <w:bookmarkStart w:id="124" w:name="_Toc131032774"/>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6</w:t>
      </w:r>
      <w:r w:rsidRPr="002946A9">
        <w:rPr>
          <w:rFonts w:ascii="Trebuchet MS" w:hAnsi="Trebuchet MS"/>
        </w:rPr>
        <w:fldChar w:fldCharType="end"/>
      </w:r>
      <w:bookmarkEnd w:id="123"/>
      <w:r w:rsidRPr="002946A9">
        <w:rPr>
          <w:rFonts w:ascii="Trebuchet MS" w:hAnsi="Trebuchet MS"/>
        </w:rPr>
        <w:t xml:space="preserve"> </w:t>
      </w:r>
      <w:r w:rsidRPr="002946A9">
        <w:rPr>
          <w:rFonts w:ascii="Trebuchet MS" w:hAnsi="Trebuchet MS"/>
        </w:rPr>
        <w:tab/>
        <w:t>Inversiones plan 20</w:t>
      </w:r>
      <w:r w:rsidR="008568D0" w:rsidRPr="002946A9">
        <w:rPr>
          <w:rFonts w:ascii="Trebuchet MS" w:hAnsi="Trebuchet MS"/>
        </w:rPr>
        <w:t>20</w:t>
      </w:r>
      <w:r w:rsidRPr="002946A9">
        <w:rPr>
          <w:rFonts w:ascii="Trebuchet MS" w:hAnsi="Trebuchet MS"/>
        </w:rPr>
        <w:t xml:space="preserve"> – 202</w:t>
      </w:r>
      <w:r w:rsidR="008568D0" w:rsidRPr="002946A9">
        <w:rPr>
          <w:rFonts w:ascii="Trebuchet MS" w:hAnsi="Trebuchet MS"/>
        </w:rPr>
        <w:t>5</w:t>
      </w:r>
      <w:r w:rsidRPr="002946A9">
        <w:rPr>
          <w:rFonts w:ascii="Trebuchet MS" w:hAnsi="Trebuchet MS"/>
        </w:rPr>
        <w:t xml:space="preserve"> por tipo de inversión.</w:t>
      </w:r>
      <w:bookmarkEnd w:id="124"/>
    </w:p>
    <w:tbl>
      <w:tblPr>
        <w:tblStyle w:val="Tablaconcuadrcula5oscura-nfasis1"/>
        <w:tblW w:w="6516" w:type="dxa"/>
        <w:jc w:val="center"/>
        <w:tblLook w:val="04A0" w:firstRow="1" w:lastRow="0" w:firstColumn="1" w:lastColumn="0" w:noHBand="0" w:noVBand="1"/>
      </w:tblPr>
      <w:tblGrid>
        <w:gridCol w:w="1610"/>
        <w:gridCol w:w="4906"/>
      </w:tblGrid>
      <w:tr w:rsidR="009F09B2" w:rsidRPr="002946A9" w14:paraId="5F219687" w14:textId="77777777" w:rsidTr="00B053B4">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8FD7F05" w14:textId="77777777" w:rsidR="009F09B2" w:rsidRPr="002946A9" w:rsidRDefault="009F09B2" w:rsidP="00F96058">
            <w:pPr>
              <w:rPr>
                <w:rFonts w:cs="Calibri"/>
                <w:bCs w:val="0"/>
                <w:color w:val="000000"/>
                <w:sz w:val="20"/>
                <w:szCs w:val="20"/>
              </w:rPr>
            </w:pPr>
            <w:r w:rsidRPr="002946A9">
              <w:rPr>
                <w:rFonts w:cs="Calibri"/>
                <w:bCs w:val="0"/>
                <w:color w:val="000000"/>
                <w:sz w:val="20"/>
                <w:szCs w:val="20"/>
              </w:rPr>
              <w:t>Tipo proyecto*</w:t>
            </w:r>
          </w:p>
        </w:tc>
        <w:tc>
          <w:tcPr>
            <w:tcW w:w="4897" w:type="dxa"/>
            <w:noWrap/>
            <w:hideMark/>
          </w:tcPr>
          <w:p w14:paraId="2FFEDAEE" w14:textId="5E149591" w:rsidR="009F09B2" w:rsidRPr="002946A9" w:rsidRDefault="009F09B2" w:rsidP="00F96058">
            <w:pPr>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rPr>
            </w:pPr>
            <w:r w:rsidRPr="002946A9">
              <w:rPr>
                <w:rFonts w:cs="Calibri"/>
                <w:bCs w:val="0"/>
                <w:color w:val="000000"/>
                <w:sz w:val="20"/>
                <w:szCs w:val="20"/>
              </w:rPr>
              <w:t>Total inversiones</w:t>
            </w:r>
            <w:r w:rsidR="00E43779" w:rsidRPr="002946A9">
              <w:rPr>
                <w:rFonts w:cs="Calibri"/>
                <w:bCs w:val="0"/>
                <w:color w:val="000000"/>
                <w:sz w:val="20"/>
                <w:szCs w:val="20"/>
              </w:rPr>
              <w:t>**</w:t>
            </w:r>
          </w:p>
        </w:tc>
      </w:tr>
      <w:tr w:rsidR="008568D0" w:rsidRPr="002946A9" w14:paraId="6F541D21" w14:textId="77777777" w:rsidTr="00B053B4">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698B07B" w14:textId="77777777" w:rsidR="008568D0" w:rsidRPr="002946A9" w:rsidRDefault="008568D0" w:rsidP="008568D0">
            <w:pPr>
              <w:rPr>
                <w:rFonts w:cs="Calibri"/>
                <w:b w:val="0"/>
                <w:i/>
                <w:color w:val="000000"/>
                <w:sz w:val="20"/>
                <w:szCs w:val="20"/>
              </w:rPr>
            </w:pPr>
            <w:r w:rsidRPr="002946A9">
              <w:rPr>
                <w:rFonts w:cs="Calibri"/>
                <w:b w:val="0"/>
                <w:i/>
                <w:color w:val="000000"/>
                <w:sz w:val="20"/>
                <w:szCs w:val="20"/>
              </w:rPr>
              <w:t>Tipo I</w:t>
            </w:r>
          </w:p>
        </w:tc>
        <w:tc>
          <w:tcPr>
            <w:tcW w:w="4897" w:type="dxa"/>
            <w:noWrap/>
            <w:vAlign w:val="top"/>
          </w:tcPr>
          <w:p w14:paraId="4AB726B0" w14:textId="124A2837" w:rsidR="008568D0" w:rsidRPr="002946A9" w:rsidRDefault="008568D0" w:rsidP="008568D0">
            <w:pPr>
              <w:cnfStyle w:val="000000100000" w:firstRow="0" w:lastRow="0" w:firstColumn="0" w:lastColumn="0" w:oddVBand="0" w:evenVBand="0" w:oddHBand="1" w:evenHBand="0" w:firstRowFirstColumn="0" w:firstRowLastColumn="0" w:lastRowFirstColumn="0" w:lastRowLastColumn="0"/>
              <w:rPr>
                <w:rFonts w:cs="Calibri"/>
                <w:bCs/>
                <w:color w:val="000000"/>
                <w:sz w:val="20"/>
                <w:szCs w:val="20"/>
              </w:rPr>
            </w:pPr>
            <w:r w:rsidRPr="002946A9">
              <w:rPr>
                <w:sz w:val="20"/>
                <w:szCs w:val="20"/>
              </w:rPr>
              <w:t xml:space="preserve"> 352,901 </w:t>
            </w:r>
          </w:p>
        </w:tc>
      </w:tr>
      <w:tr w:rsidR="008568D0" w:rsidRPr="002946A9" w14:paraId="11E20426" w14:textId="77777777" w:rsidTr="00B053B4">
        <w:trPr>
          <w:cnfStyle w:val="000000010000" w:firstRow="0" w:lastRow="0" w:firstColumn="0" w:lastColumn="0" w:oddVBand="0" w:evenVBand="0" w:oddHBand="0" w:evenHBand="1"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8EE6A1C" w14:textId="77777777" w:rsidR="008568D0" w:rsidRPr="002946A9" w:rsidRDefault="008568D0" w:rsidP="008568D0">
            <w:pPr>
              <w:rPr>
                <w:rFonts w:cs="Calibri"/>
                <w:b w:val="0"/>
                <w:i/>
                <w:color w:val="000000"/>
                <w:sz w:val="20"/>
                <w:szCs w:val="20"/>
              </w:rPr>
            </w:pPr>
            <w:r w:rsidRPr="002946A9">
              <w:rPr>
                <w:rFonts w:cs="Calibri"/>
                <w:b w:val="0"/>
                <w:i/>
                <w:color w:val="000000"/>
                <w:sz w:val="20"/>
                <w:szCs w:val="20"/>
              </w:rPr>
              <w:t>Tipo II</w:t>
            </w:r>
          </w:p>
        </w:tc>
        <w:tc>
          <w:tcPr>
            <w:tcW w:w="4897" w:type="dxa"/>
            <w:noWrap/>
            <w:vAlign w:val="top"/>
          </w:tcPr>
          <w:p w14:paraId="3D697609" w14:textId="04468C64" w:rsidR="008568D0" w:rsidRPr="002946A9" w:rsidRDefault="008568D0" w:rsidP="008568D0">
            <w:pPr>
              <w:cnfStyle w:val="000000010000" w:firstRow="0" w:lastRow="0" w:firstColumn="0" w:lastColumn="0" w:oddVBand="0" w:evenVBand="0" w:oddHBand="0" w:evenHBand="1" w:firstRowFirstColumn="0" w:firstRowLastColumn="0" w:lastRowFirstColumn="0" w:lastRowLastColumn="0"/>
              <w:rPr>
                <w:rFonts w:cs="Calibri"/>
                <w:bCs/>
                <w:color w:val="000000"/>
                <w:sz w:val="20"/>
                <w:szCs w:val="20"/>
              </w:rPr>
            </w:pPr>
            <w:r w:rsidRPr="002946A9">
              <w:rPr>
                <w:sz w:val="20"/>
                <w:szCs w:val="20"/>
              </w:rPr>
              <w:t xml:space="preserve"> 659,803 </w:t>
            </w:r>
          </w:p>
        </w:tc>
      </w:tr>
      <w:tr w:rsidR="008568D0" w:rsidRPr="002946A9" w14:paraId="7C773E11" w14:textId="77777777" w:rsidTr="00B053B4">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6C5E738" w14:textId="77777777" w:rsidR="008568D0" w:rsidRPr="002946A9" w:rsidRDefault="008568D0" w:rsidP="008568D0">
            <w:pPr>
              <w:rPr>
                <w:rFonts w:cs="Calibri"/>
                <w:b w:val="0"/>
                <w:i/>
                <w:color w:val="000000"/>
                <w:sz w:val="20"/>
                <w:szCs w:val="20"/>
              </w:rPr>
            </w:pPr>
            <w:r w:rsidRPr="002946A9">
              <w:rPr>
                <w:rFonts w:cs="Calibri"/>
                <w:b w:val="0"/>
                <w:i/>
                <w:color w:val="000000"/>
                <w:sz w:val="20"/>
                <w:szCs w:val="20"/>
              </w:rPr>
              <w:t>Tipo III</w:t>
            </w:r>
          </w:p>
        </w:tc>
        <w:tc>
          <w:tcPr>
            <w:tcW w:w="4897" w:type="dxa"/>
            <w:noWrap/>
            <w:vAlign w:val="top"/>
          </w:tcPr>
          <w:p w14:paraId="114418C7" w14:textId="757B496D" w:rsidR="008568D0" w:rsidRPr="002946A9" w:rsidRDefault="008568D0" w:rsidP="008568D0">
            <w:pPr>
              <w:cnfStyle w:val="000000100000" w:firstRow="0" w:lastRow="0" w:firstColumn="0" w:lastColumn="0" w:oddVBand="0" w:evenVBand="0" w:oddHBand="1" w:evenHBand="0" w:firstRowFirstColumn="0" w:firstRowLastColumn="0" w:lastRowFirstColumn="0" w:lastRowLastColumn="0"/>
              <w:rPr>
                <w:rFonts w:cs="Calibri"/>
                <w:bCs/>
                <w:color w:val="000000"/>
                <w:sz w:val="20"/>
                <w:szCs w:val="20"/>
              </w:rPr>
            </w:pPr>
            <w:r w:rsidRPr="002946A9">
              <w:rPr>
                <w:sz w:val="20"/>
                <w:szCs w:val="20"/>
              </w:rPr>
              <w:t xml:space="preserve"> 577,057 </w:t>
            </w:r>
          </w:p>
        </w:tc>
      </w:tr>
      <w:tr w:rsidR="008568D0" w:rsidRPr="002946A9" w14:paraId="1F595901" w14:textId="77777777" w:rsidTr="00B053B4">
        <w:trPr>
          <w:cnfStyle w:val="000000010000" w:firstRow="0" w:lastRow="0" w:firstColumn="0" w:lastColumn="0" w:oddVBand="0" w:evenVBand="0" w:oddHBand="0" w:evenHBand="1"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594FFBA" w14:textId="77777777" w:rsidR="008568D0" w:rsidRPr="002946A9" w:rsidRDefault="008568D0" w:rsidP="008568D0">
            <w:pPr>
              <w:rPr>
                <w:rFonts w:cs="Calibri"/>
                <w:b w:val="0"/>
                <w:i/>
                <w:color w:val="000000"/>
                <w:sz w:val="20"/>
                <w:szCs w:val="20"/>
              </w:rPr>
            </w:pPr>
            <w:r w:rsidRPr="002946A9">
              <w:rPr>
                <w:rFonts w:cs="Calibri"/>
                <w:b w:val="0"/>
                <w:i/>
                <w:color w:val="000000"/>
                <w:sz w:val="20"/>
                <w:szCs w:val="20"/>
              </w:rPr>
              <w:t>Tipo IV</w:t>
            </w:r>
          </w:p>
        </w:tc>
        <w:tc>
          <w:tcPr>
            <w:tcW w:w="4897" w:type="dxa"/>
            <w:noWrap/>
            <w:vAlign w:val="top"/>
          </w:tcPr>
          <w:p w14:paraId="40232543" w14:textId="5F74258F" w:rsidR="008568D0" w:rsidRPr="002946A9" w:rsidRDefault="008568D0" w:rsidP="008568D0">
            <w:pPr>
              <w:cnfStyle w:val="000000010000" w:firstRow="0" w:lastRow="0" w:firstColumn="0" w:lastColumn="0" w:oddVBand="0" w:evenVBand="0" w:oddHBand="0" w:evenHBand="1" w:firstRowFirstColumn="0" w:firstRowLastColumn="0" w:lastRowFirstColumn="0" w:lastRowLastColumn="0"/>
              <w:rPr>
                <w:rFonts w:cs="Calibri"/>
                <w:bCs/>
                <w:color w:val="000000"/>
                <w:sz w:val="20"/>
                <w:szCs w:val="20"/>
              </w:rPr>
            </w:pPr>
            <w:r w:rsidRPr="002946A9">
              <w:rPr>
                <w:sz w:val="20"/>
                <w:szCs w:val="20"/>
              </w:rPr>
              <w:t xml:space="preserve"> </w:t>
            </w:r>
            <w:r w:rsidR="00CD1741" w:rsidRPr="002946A9">
              <w:rPr>
                <w:sz w:val="20"/>
                <w:szCs w:val="20"/>
              </w:rPr>
              <w:t>1</w:t>
            </w:r>
            <w:r w:rsidR="00CD1741">
              <w:rPr>
                <w:sz w:val="20"/>
                <w:szCs w:val="20"/>
              </w:rPr>
              <w:t>60</w:t>
            </w:r>
            <w:r w:rsidRPr="002946A9">
              <w:rPr>
                <w:sz w:val="20"/>
                <w:szCs w:val="20"/>
              </w:rPr>
              <w:t>,</w:t>
            </w:r>
            <w:r w:rsidR="00CD1741">
              <w:rPr>
                <w:sz w:val="20"/>
                <w:szCs w:val="20"/>
              </w:rPr>
              <w:t>577</w:t>
            </w:r>
            <w:r w:rsidR="00CD1741" w:rsidRPr="002946A9">
              <w:rPr>
                <w:sz w:val="20"/>
                <w:szCs w:val="20"/>
              </w:rPr>
              <w:t xml:space="preserve"> </w:t>
            </w:r>
          </w:p>
        </w:tc>
      </w:tr>
      <w:tr w:rsidR="008568D0" w:rsidRPr="002946A9" w14:paraId="4295CFD7" w14:textId="77777777" w:rsidTr="00B053B4">
        <w:trPr>
          <w:cnfStyle w:val="000000100000" w:firstRow="0" w:lastRow="0" w:firstColumn="0" w:lastColumn="0" w:oddVBand="0" w:evenVBand="0" w:oddHBand="1"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1B830CA" w14:textId="77777777" w:rsidR="008568D0" w:rsidRPr="002946A9" w:rsidRDefault="008568D0" w:rsidP="008568D0">
            <w:pPr>
              <w:jc w:val="both"/>
              <w:rPr>
                <w:rFonts w:cs="Calibri"/>
                <w:bCs w:val="0"/>
                <w:color w:val="000000"/>
                <w:sz w:val="20"/>
                <w:szCs w:val="20"/>
              </w:rPr>
            </w:pPr>
            <w:r w:rsidRPr="002946A9">
              <w:rPr>
                <w:rFonts w:cs="Calibri"/>
                <w:bCs w:val="0"/>
                <w:color w:val="000000"/>
                <w:sz w:val="20"/>
                <w:szCs w:val="20"/>
              </w:rPr>
              <w:t>Total general</w:t>
            </w:r>
          </w:p>
        </w:tc>
        <w:tc>
          <w:tcPr>
            <w:tcW w:w="4897" w:type="dxa"/>
            <w:shd w:val="clear" w:color="auto" w:fill="BFE2A8" w:themeFill="accent2" w:themeFillTint="66"/>
            <w:noWrap/>
            <w:vAlign w:val="top"/>
            <w:hideMark/>
          </w:tcPr>
          <w:p w14:paraId="52347C6A" w14:textId="401E57C5" w:rsidR="008568D0" w:rsidRPr="002946A9" w:rsidRDefault="008568D0" w:rsidP="008568D0">
            <w:pPr>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rPr>
            </w:pPr>
            <w:r w:rsidRPr="002946A9">
              <w:rPr>
                <w:sz w:val="20"/>
                <w:szCs w:val="20"/>
              </w:rPr>
              <w:t xml:space="preserve"> </w:t>
            </w:r>
            <w:r w:rsidRPr="002946A9">
              <w:rPr>
                <w:b/>
                <w:bCs/>
                <w:sz w:val="20"/>
                <w:szCs w:val="20"/>
              </w:rPr>
              <w:t>1,</w:t>
            </w:r>
            <w:r w:rsidR="00CD1741" w:rsidRPr="002946A9">
              <w:rPr>
                <w:b/>
                <w:bCs/>
                <w:sz w:val="20"/>
                <w:szCs w:val="20"/>
              </w:rPr>
              <w:t>7</w:t>
            </w:r>
            <w:r w:rsidR="00CD1741">
              <w:rPr>
                <w:b/>
                <w:bCs/>
                <w:sz w:val="20"/>
                <w:szCs w:val="20"/>
              </w:rPr>
              <w:t>50</w:t>
            </w:r>
            <w:r w:rsidRPr="002946A9">
              <w:rPr>
                <w:b/>
                <w:bCs/>
                <w:sz w:val="20"/>
                <w:szCs w:val="20"/>
              </w:rPr>
              <w:t>,</w:t>
            </w:r>
            <w:r w:rsidR="00CD1741">
              <w:rPr>
                <w:b/>
                <w:bCs/>
                <w:sz w:val="20"/>
                <w:szCs w:val="20"/>
              </w:rPr>
              <w:t>338</w:t>
            </w:r>
            <w:r w:rsidR="00CD1741" w:rsidRPr="002946A9">
              <w:rPr>
                <w:b/>
                <w:bCs/>
                <w:sz w:val="20"/>
                <w:szCs w:val="20"/>
              </w:rPr>
              <w:t xml:space="preserve"> </w:t>
            </w:r>
          </w:p>
        </w:tc>
      </w:tr>
      <w:tr w:rsidR="009F09B2" w:rsidRPr="002946A9" w14:paraId="7D40ECD1" w14:textId="77777777" w:rsidTr="00B053B4">
        <w:trPr>
          <w:cnfStyle w:val="000000010000" w:firstRow="0" w:lastRow="0" w:firstColumn="0" w:lastColumn="0" w:oddVBand="0" w:evenVBand="0" w:oddHBand="0" w:evenHBand="1"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6516" w:type="dxa"/>
            <w:gridSpan w:val="2"/>
            <w:shd w:val="clear" w:color="auto" w:fill="DFF0D3" w:themeFill="accent2" w:themeFillTint="33"/>
            <w:noWrap/>
          </w:tcPr>
          <w:p w14:paraId="53793EA2" w14:textId="2FA324A9" w:rsidR="009F09B2" w:rsidRPr="002946A9" w:rsidRDefault="009F09B2" w:rsidP="00DF29CB">
            <w:pPr>
              <w:jc w:val="both"/>
              <w:rPr>
                <w:rFonts w:cs="Calibri"/>
                <w:i/>
                <w:color w:val="000000"/>
                <w:sz w:val="18"/>
                <w:szCs w:val="18"/>
              </w:rPr>
            </w:pPr>
            <w:r w:rsidRPr="002946A9">
              <w:rPr>
                <w:rFonts w:cs="Calibri"/>
                <w:b w:val="0"/>
                <w:bCs w:val="0"/>
                <w:i/>
                <w:color w:val="000000"/>
                <w:sz w:val="18"/>
                <w:szCs w:val="18"/>
              </w:rPr>
              <w:t xml:space="preserve">* </w:t>
            </w:r>
            <w:r w:rsidR="000D10E8" w:rsidRPr="002946A9">
              <w:rPr>
                <w:rFonts w:cs="Calibri"/>
                <w:b w:val="0"/>
                <w:bCs w:val="0"/>
                <w:i/>
                <w:color w:val="000000"/>
                <w:sz w:val="18"/>
                <w:szCs w:val="18"/>
              </w:rPr>
              <w:t>L</w:t>
            </w:r>
            <w:r w:rsidRPr="002946A9">
              <w:rPr>
                <w:rFonts w:cs="Calibri"/>
                <w:b w:val="0"/>
                <w:bCs w:val="0"/>
                <w:i/>
                <w:color w:val="000000"/>
                <w:sz w:val="18"/>
                <w:szCs w:val="18"/>
              </w:rPr>
              <w:t>os tipos de proyectos de inversión se definen en el capítulo 6 de la resolución CREG 015 del 2018</w:t>
            </w:r>
            <w:r w:rsidR="008B594D" w:rsidRPr="002946A9">
              <w:rPr>
                <w:rFonts w:cs="Calibri"/>
                <w:b w:val="0"/>
                <w:bCs w:val="0"/>
                <w:i/>
                <w:color w:val="000000"/>
                <w:sz w:val="18"/>
                <w:szCs w:val="18"/>
              </w:rPr>
              <w:t>.</w:t>
            </w:r>
          </w:p>
          <w:p w14:paraId="08534313" w14:textId="08BC01F1" w:rsidR="00E43779" w:rsidRPr="002946A9" w:rsidRDefault="00E43779" w:rsidP="00DF29CB">
            <w:pPr>
              <w:jc w:val="both"/>
              <w:rPr>
                <w:rFonts w:cs="Calibri"/>
                <w:b w:val="0"/>
                <w:bCs w:val="0"/>
                <w:i/>
                <w:color w:val="000000"/>
                <w:sz w:val="20"/>
                <w:szCs w:val="20"/>
              </w:rPr>
            </w:pPr>
            <w:r w:rsidRPr="002946A9">
              <w:rPr>
                <w:rFonts w:cs="Calibri"/>
                <w:b w:val="0"/>
                <w:bCs w:val="0"/>
                <w:i/>
                <w:color w:val="000000"/>
                <w:sz w:val="18"/>
                <w:szCs w:val="18"/>
              </w:rPr>
              <w:t>**</w:t>
            </w:r>
            <w:r w:rsidR="00D50DB2" w:rsidRPr="002946A9">
              <w:rPr>
                <w:rFonts w:cs="Calibri"/>
                <w:b w:val="0"/>
                <w:bCs w:val="0"/>
                <w:i/>
                <w:color w:val="000000"/>
                <w:sz w:val="18"/>
                <w:szCs w:val="18"/>
              </w:rPr>
              <w:t xml:space="preserve"> </w:t>
            </w:r>
            <w:r w:rsidR="000D10E8" w:rsidRPr="002946A9">
              <w:rPr>
                <w:rFonts w:cs="Calibri"/>
                <w:b w:val="0"/>
                <w:bCs w:val="0"/>
                <w:i/>
                <w:color w:val="000000"/>
                <w:sz w:val="18"/>
                <w:szCs w:val="18"/>
              </w:rPr>
              <w:t>V</w:t>
            </w:r>
            <w:r w:rsidR="00D50DB2" w:rsidRPr="002946A9">
              <w:rPr>
                <w:rFonts w:cs="Calibri"/>
                <w:b w:val="0"/>
                <w:bCs w:val="0"/>
                <w:i/>
                <w:color w:val="000000"/>
                <w:sz w:val="18"/>
                <w:szCs w:val="18"/>
              </w:rPr>
              <w:t>alores en millones de pesos a diciembre del 2017</w:t>
            </w:r>
            <w:r w:rsidR="008B594D" w:rsidRPr="002946A9">
              <w:rPr>
                <w:rFonts w:cs="Calibri"/>
                <w:b w:val="0"/>
                <w:bCs w:val="0"/>
                <w:i/>
                <w:color w:val="000000"/>
                <w:sz w:val="18"/>
                <w:szCs w:val="18"/>
              </w:rPr>
              <w:t>.</w:t>
            </w:r>
          </w:p>
        </w:tc>
      </w:tr>
    </w:tbl>
    <w:p w14:paraId="049900E3" w14:textId="77777777" w:rsidR="009F09B2" w:rsidRPr="002946A9" w:rsidRDefault="009F09B2" w:rsidP="00DF29CB">
      <w:pPr>
        <w:spacing w:after="0"/>
        <w:ind w:left="360"/>
        <w:jc w:val="both"/>
        <w:rPr>
          <w:rFonts w:ascii="Trebuchet MS" w:hAnsi="Trebuchet MS"/>
          <w:szCs w:val="24"/>
        </w:rPr>
      </w:pPr>
    </w:p>
    <w:p w14:paraId="7EBD054E" w14:textId="41824096" w:rsidR="004A5AF3" w:rsidRPr="002946A9" w:rsidRDefault="003F7BFB" w:rsidP="00DF29CB">
      <w:pPr>
        <w:spacing w:after="0"/>
        <w:ind w:left="360"/>
        <w:jc w:val="both"/>
        <w:rPr>
          <w:rFonts w:ascii="Trebuchet MS" w:hAnsi="Trebuchet MS"/>
        </w:rPr>
      </w:pPr>
      <w:r w:rsidRPr="002946A9">
        <w:rPr>
          <w:rFonts w:ascii="Trebuchet MS" w:hAnsi="Trebuchet MS"/>
        </w:rPr>
        <w:t xml:space="preserve">Se observa que </w:t>
      </w:r>
      <w:r w:rsidR="0036587A" w:rsidRPr="002946A9">
        <w:rPr>
          <w:rFonts w:ascii="Trebuchet MS" w:hAnsi="Trebuchet MS"/>
        </w:rPr>
        <w:t xml:space="preserve">gran parte </w:t>
      </w:r>
      <w:r w:rsidR="00B22C19" w:rsidRPr="002946A9">
        <w:rPr>
          <w:rFonts w:ascii="Trebuchet MS" w:hAnsi="Trebuchet MS"/>
        </w:rPr>
        <w:t xml:space="preserve">de la inversión está dada por los proyectos tipo II, es decir, </w:t>
      </w:r>
      <w:r w:rsidR="000D618E" w:rsidRPr="002946A9">
        <w:rPr>
          <w:rFonts w:ascii="Trebuchet MS" w:hAnsi="Trebuchet MS"/>
        </w:rPr>
        <w:t>expansión de la infraestructura para aumentar la capacidad del sistema,</w:t>
      </w:r>
      <w:r w:rsidR="002C5EC0" w:rsidRPr="002946A9">
        <w:rPr>
          <w:rFonts w:ascii="Trebuchet MS" w:hAnsi="Trebuchet MS"/>
        </w:rPr>
        <w:t xml:space="preserve"> por un valor de </w:t>
      </w:r>
      <w:r w:rsidR="000D618E" w:rsidRPr="002946A9">
        <w:rPr>
          <w:rFonts w:ascii="Trebuchet MS" w:hAnsi="Trebuchet MS"/>
        </w:rPr>
        <w:t>659,803</w:t>
      </w:r>
      <w:r w:rsidR="006E3EE4" w:rsidRPr="002946A9">
        <w:rPr>
          <w:rFonts w:ascii="Trebuchet MS" w:hAnsi="Trebuchet MS"/>
        </w:rPr>
        <w:t xml:space="preserve"> millones de pesos, lo que corresponde al </w:t>
      </w:r>
      <w:r w:rsidR="000D618E" w:rsidRPr="002946A9">
        <w:rPr>
          <w:rFonts w:ascii="Trebuchet MS" w:hAnsi="Trebuchet MS"/>
        </w:rPr>
        <w:t>37</w:t>
      </w:r>
      <w:r w:rsidR="00F61592" w:rsidRPr="002946A9">
        <w:rPr>
          <w:rFonts w:ascii="Trebuchet MS" w:hAnsi="Trebuchet MS"/>
        </w:rPr>
        <w:t>.</w:t>
      </w:r>
      <w:r w:rsidR="00A2032F" w:rsidRPr="002946A9">
        <w:rPr>
          <w:rFonts w:ascii="Trebuchet MS" w:hAnsi="Trebuchet MS"/>
        </w:rPr>
        <w:t>7</w:t>
      </w:r>
      <w:r w:rsidR="00A2032F">
        <w:rPr>
          <w:rFonts w:ascii="Trebuchet MS" w:hAnsi="Trebuchet MS"/>
        </w:rPr>
        <w:t>0</w:t>
      </w:r>
      <w:r w:rsidR="00F61592" w:rsidRPr="002946A9">
        <w:rPr>
          <w:rFonts w:ascii="Trebuchet MS" w:hAnsi="Trebuchet MS"/>
        </w:rPr>
        <w:t>%</w:t>
      </w:r>
      <w:r w:rsidR="00B85F3C" w:rsidRPr="002946A9">
        <w:rPr>
          <w:rFonts w:ascii="Trebuchet MS" w:hAnsi="Trebuchet MS"/>
        </w:rPr>
        <w:t xml:space="preserve"> del plan</w:t>
      </w:r>
      <w:r w:rsidR="00B22C19" w:rsidRPr="002946A9">
        <w:rPr>
          <w:rFonts w:ascii="Trebuchet MS" w:hAnsi="Trebuchet MS"/>
        </w:rPr>
        <w:t>.</w:t>
      </w:r>
      <w:r w:rsidR="00E43F15" w:rsidRPr="002946A9">
        <w:rPr>
          <w:rFonts w:ascii="Trebuchet MS" w:hAnsi="Trebuchet MS"/>
        </w:rPr>
        <w:t xml:space="preserve"> Sin embargo, si se consideran en conjunto los tipos de inversión I y III, los </w:t>
      </w:r>
      <w:r w:rsidR="0036587A" w:rsidRPr="002946A9">
        <w:rPr>
          <w:rFonts w:ascii="Trebuchet MS" w:hAnsi="Trebuchet MS"/>
        </w:rPr>
        <w:t>cuales</w:t>
      </w:r>
      <w:r w:rsidR="00E43F15" w:rsidRPr="002946A9">
        <w:rPr>
          <w:rFonts w:ascii="Trebuchet MS" w:hAnsi="Trebuchet MS"/>
        </w:rPr>
        <w:t xml:space="preserve"> corresponden a</w:t>
      </w:r>
      <w:r w:rsidR="0036587A" w:rsidRPr="002946A9">
        <w:rPr>
          <w:rFonts w:ascii="Trebuchet MS" w:hAnsi="Trebuchet MS"/>
        </w:rPr>
        <w:t xml:space="preserve"> tipos de </w:t>
      </w:r>
      <w:r w:rsidR="00E43F15" w:rsidRPr="002946A9">
        <w:rPr>
          <w:rFonts w:ascii="Trebuchet MS" w:hAnsi="Trebuchet MS"/>
        </w:rPr>
        <w:t xml:space="preserve">reposición de activos, se encuentra que en total suman 929,958 millones de pesos, por lo que realmente la mayor inversión corresponde a reposiciones de la infraestructura, lo </w:t>
      </w:r>
      <w:r w:rsidR="0036587A" w:rsidRPr="002946A9">
        <w:rPr>
          <w:rFonts w:ascii="Trebuchet MS" w:hAnsi="Trebuchet MS"/>
        </w:rPr>
        <w:t xml:space="preserve">cual </w:t>
      </w:r>
      <w:r w:rsidR="00E43F15" w:rsidRPr="002946A9">
        <w:rPr>
          <w:rFonts w:ascii="Trebuchet MS" w:hAnsi="Trebuchet MS"/>
        </w:rPr>
        <w:t>representa un 53.</w:t>
      </w:r>
      <w:r w:rsidR="00F054A4">
        <w:rPr>
          <w:rFonts w:ascii="Trebuchet MS" w:hAnsi="Trebuchet MS"/>
        </w:rPr>
        <w:t>13</w:t>
      </w:r>
      <w:r w:rsidR="00E43F15" w:rsidRPr="002946A9">
        <w:rPr>
          <w:rFonts w:ascii="Trebuchet MS" w:hAnsi="Trebuchet MS"/>
        </w:rPr>
        <w:t>% del plan.</w:t>
      </w:r>
    </w:p>
    <w:p w14:paraId="76759360" w14:textId="77777777" w:rsidR="000A09AA" w:rsidRPr="002946A9" w:rsidRDefault="000A09AA" w:rsidP="00DF29CB">
      <w:pPr>
        <w:ind w:left="1224"/>
        <w:jc w:val="both"/>
        <w:rPr>
          <w:rFonts w:ascii="Trebuchet MS" w:hAnsi="Trebuchet MS"/>
          <w:b/>
          <w:bCs/>
          <w:szCs w:val="24"/>
        </w:rPr>
      </w:pPr>
    </w:p>
    <w:p w14:paraId="17A3C55C" w14:textId="2271A62C" w:rsidR="000A09AA" w:rsidRPr="002946A9" w:rsidRDefault="000A09AA" w:rsidP="00DF29CB">
      <w:pPr>
        <w:numPr>
          <w:ilvl w:val="2"/>
          <w:numId w:val="2"/>
        </w:numPr>
        <w:ind w:left="1225" w:hanging="505"/>
        <w:jc w:val="both"/>
        <w:outlineLvl w:val="2"/>
        <w:rPr>
          <w:rFonts w:ascii="Trebuchet MS" w:hAnsi="Trebuchet MS"/>
          <w:b/>
          <w:bCs/>
          <w:szCs w:val="24"/>
        </w:rPr>
      </w:pPr>
      <w:bookmarkStart w:id="125" w:name="_Toc131109344"/>
      <w:r w:rsidRPr="002946A9">
        <w:rPr>
          <w:rFonts w:ascii="Trebuchet MS" w:hAnsi="Trebuchet MS"/>
          <w:b/>
          <w:bCs/>
          <w:szCs w:val="24"/>
        </w:rPr>
        <w:t>Inversiones por nivel de tensión</w:t>
      </w:r>
      <w:bookmarkEnd w:id="125"/>
      <w:r w:rsidRPr="002946A9">
        <w:rPr>
          <w:rFonts w:ascii="Trebuchet MS" w:hAnsi="Trebuchet MS"/>
          <w:b/>
          <w:bCs/>
          <w:szCs w:val="24"/>
        </w:rPr>
        <w:t xml:space="preserve">  </w:t>
      </w:r>
    </w:p>
    <w:p w14:paraId="04079ED5" w14:textId="725FCE93" w:rsidR="00A241FD" w:rsidRPr="002946A9" w:rsidRDefault="00D75152" w:rsidP="009935AE">
      <w:pPr>
        <w:ind w:left="360"/>
        <w:jc w:val="both"/>
        <w:rPr>
          <w:rFonts w:ascii="Trebuchet MS" w:hAnsi="Trebuchet MS"/>
          <w:szCs w:val="24"/>
        </w:rPr>
      </w:pPr>
      <w:r w:rsidRPr="002946A9">
        <w:rPr>
          <w:rFonts w:ascii="Trebuchet MS" w:hAnsi="Trebuchet MS"/>
          <w:szCs w:val="24"/>
        </w:rPr>
        <w:t xml:space="preserve">Para cada uno de los niveles de tensión, se </w:t>
      </w:r>
      <w:r w:rsidR="00A241FD" w:rsidRPr="002946A9">
        <w:rPr>
          <w:rFonts w:ascii="Trebuchet MS" w:hAnsi="Trebuchet MS"/>
          <w:szCs w:val="24"/>
        </w:rPr>
        <w:t>contemplan los siguientes montos de inversión:</w:t>
      </w:r>
    </w:p>
    <w:p w14:paraId="616E7EF5" w14:textId="22B7269D" w:rsidR="008B594D" w:rsidRPr="002946A9" w:rsidRDefault="008B594D" w:rsidP="00DF29CB">
      <w:pPr>
        <w:ind w:left="1416" w:hanging="1056"/>
        <w:jc w:val="both"/>
        <w:rPr>
          <w:rFonts w:ascii="Trebuchet MS" w:hAnsi="Trebuchet MS"/>
        </w:rPr>
      </w:pPr>
      <w:bookmarkStart w:id="126" w:name="_Ref66442633"/>
      <w:bookmarkStart w:id="127" w:name="_Toc131032775"/>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7</w:t>
      </w:r>
      <w:r w:rsidRPr="002946A9">
        <w:rPr>
          <w:rFonts w:ascii="Trebuchet MS" w:hAnsi="Trebuchet MS"/>
        </w:rPr>
        <w:fldChar w:fldCharType="end"/>
      </w:r>
      <w:bookmarkEnd w:id="126"/>
      <w:r w:rsidRPr="002946A9">
        <w:rPr>
          <w:rFonts w:ascii="Trebuchet MS" w:hAnsi="Trebuchet MS"/>
        </w:rPr>
        <w:t xml:space="preserve"> </w:t>
      </w:r>
      <w:r w:rsidRPr="002946A9">
        <w:rPr>
          <w:rFonts w:ascii="Trebuchet MS" w:hAnsi="Trebuchet MS"/>
        </w:rPr>
        <w:tab/>
        <w:t>Inversiones plan 20</w:t>
      </w:r>
      <w:r w:rsidR="0046581B" w:rsidRPr="002946A9">
        <w:rPr>
          <w:rFonts w:ascii="Trebuchet MS" w:hAnsi="Trebuchet MS"/>
        </w:rPr>
        <w:t>20</w:t>
      </w:r>
      <w:r w:rsidRPr="002946A9">
        <w:rPr>
          <w:rFonts w:ascii="Trebuchet MS" w:hAnsi="Trebuchet MS"/>
        </w:rPr>
        <w:t xml:space="preserve"> – 202</w:t>
      </w:r>
      <w:r w:rsidR="0046581B" w:rsidRPr="002946A9">
        <w:rPr>
          <w:rFonts w:ascii="Trebuchet MS" w:hAnsi="Trebuchet MS"/>
        </w:rPr>
        <w:t>5</w:t>
      </w:r>
      <w:r w:rsidRPr="002946A9">
        <w:rPr>
          <w:rFonts w:ascii="Trebuchet MS" w:hAnsi="Trebuchet MS"/>
        </w:rPr>
        <w:t xml:space="preserve"> por nivel de tensión.</w:t>
      </w:r>
      <w:bookmarkEnd w:id="127"/>
    </w:p>
    <w:tbl>
      <w:tblPr>
        <w:tblStyle w:val="Tablaconcuadrcula5oscura-nfasis1"/>
        <w:tblW w:w="6748" w:type="dxa"/>
        <w:jc w:val="center"/>
        <w:tblLook w:val="04A0" w:firstRow="1" w:lastRow="0" w:firstColumn="1" w:lastColumn="0" w:noHBand="0" w:noVBand="1"/>
      </w:tblPr>
      <w:tblGrid>
        <w:gridCol w:w="1737"/>
        <w:gridCol w:w="5011"/>
      </w:tblGrid>
      <w:tr w:rsidR="008B594D" w:rsidRPr="002946A9" w14:paraId="6E311B35" w14:textId="77777777" w:rsidTr="0046581B">
        <w:trPr>
          <w:cnfStyle w:val="100000000000" w:firstRow="1" w:lastRow="0" w:firstColumn="0" w:lastColumn="0" w:oddVBand="0" w:evenVBand="0" w:oddHBand="0" w:evenHBand="0" w:firstRowFirstColumn="0" w:firstRowLastColumn="0" w:lastRowFirstColumn="0" w:lastRowLastColumn="0"/>
          <w:trHeight w:val="95"/>
          <w:tblHeader/>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1CF0808" w14:textId="77777777" w:rsidR="008B594D" w:rsidRPr="002946A9" w:rsidRDefault="008B594D" w:rsidP="00A071CB">
            <w:pPr>
              <w:rPr>
                <w:rFonts w:cs="Calibri"/>
                <w:bCs w:val="0"/>
                <w:color w:val="000000"/>
                <w:sz w:val="20"/>
                <w:szCs w:val="20"/>
              </w:rPr>
            </w:pPr>
            <w:r w:rsidRPr="002946A9">
              <w:rPr>
                <w:rFonts w:cs="Calibri"/>
                <w:bCs w:val="0"/>
                <w:color w:val="000000"/>
                <w:sz w:val="20"/>
                <w:szCs w:val="20"/>
              </w:rPr>
              <w:t>Nivel de tensión</w:t>
            </w:r>
          </w:p>
        </w:tc>
        <w:tc>
          <w:tcPr>
            <w:tcW w:w="4991" w:type="dxa"/>
            <w:noWrap/>
            <w:hideMark/>
          </w:tcPr>
          <w:p w14:paraId="6E73DEA4" w14:textId="67D47064" w:rsidR="008B594D" w:rsidRPr="002946A9" w:rsidRDefault="008B594D" w:rsidP="00A071CB">
            <w:pPr>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rPr>
            </w:pPr>
            <w:r w:rsidRPr="002946A9">
              <w:rPr>
                <w:rFonts w:cs="Calibri"/>
                <w:bCs w:val="0"/>
                <w:color w:val="000000"/>
                <w:sz w:val="20"/>
                <w:szCs w:val="20"/>
              </w:rPr>
              <w:t>Total*</w:t>
            </w:r>
          </w:p>
        </w:tc>
      </w:tr>
      <w:tr w:rsidR="0046581B" w:rsidRPr="002946A9" w14:paraId="1EC9139E" w14:textId="77777777" w:rsidTr="0046581B">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CEDB42A" w14:textId="77777777" w:rsidR="0046581B" w:rsidRPr="002946A9" w:rsidRDefault="0046581B" w:rsidP="0046581B">
            <w:pPr>
              <w:jc w:val="center"/>
              <w:rPr>
                <w:rFonts w:cs="Calibri"/>
                <w:b w:val="0"/>
                <w:iCs/>
                <w:color w:val="000000"/>
                <w:sz w:val="20"/>
                <w:szCs w:val="20"/>
              </w:rPr>
            </w:pPr>
            <w:r w:rsidRPr="002946A9">
              <w:rPr>
                <w:rFonts w:cs="Calibri"/>
                <w:b w:val="0"/>
                <w:iCs/>
                <w:color w:val="000000"/>
                <w:sz w:val="20"/>
                <w:szCs w:val="20"/>
              </w:rPr>
              <w:t>1</w:t>
            </w:r>
          </w:p>
        </w:tc>
        <w:tc>
          <w:tcPr>
            <w:tcW w:w="4991" w:type="dxa"/>
            <w:noWrap/>
            <w:vAlign w:val="top"/>
            <w:hideMark/>
          </w:tcPr>
          <w:p w14:paraId="7625AF75" w14:textId="72101573" w:rsidR="0046581B" w:rsidRPr="002946A9" w:rsidRDefault="00C81653" w:rsidP="0046581B">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394,868</w:t>
            </w:r>
          </w:p>
        </w:tc>
      </w:tr>
      <w:tr w:rsidR="0046581B" w:rsidRPr="002946A9" w14:paraId="6A03C220" w14:textId="77777777" w:rsidTr="0046581B">
        <w:trPr>
          <w:cnfStyle w:val="000000010000" w:firstRow="0" w:lastRow="0" w:firstColumn="0" w:lastColumn="0" w:oddVBand="0" w:evenVBand="0" w:oddHBand="0" w:evenHBand="1"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3024E78" w14:textId="77777777" w:rsidR="0046581B" w:rsidRPr="002946A9" w:rsidRDefault="0046581B" w:rsidP="0046581B">
            <w:pPr>
              <w:jc w:val="center"/>
              <w:rPr>
                <w:rFonts w:cs="Calibri"/>
                <w:b w:val="0"/>
                <w:iCs/>
                <w:color w:val="000000"/>
                <w:sz w:val="20"/>
                <w:szCs w:val="20"/>
              </w:rPr>
            </w:pPr>
            <w:r w:rsidRPr="002946A9">
              <w:rPr>
                <w:rFonts w:cs="Calibri"/>
                <w:b w:val="0"/>
                <w:iCs/>
                <w:color w:val="000000"/>
                <w:sz w:val="20"/>
                <w:szCs w:val="20"/>
              </w:rPr>
              <w:t>2</w:t>
            </w:r>
          </w:p>
        </w:tc>
        <w:tc>
          <w:tcPr>
            <w:tcW w:w="4991" w:type="dxa"/>
            <w:noWrap/>
            <w:vAlign w:val="top"/>
            <w:hideMark/>
          </w:tcPr>
          <w:p w14:paraId="2A8922AB" w14:textId="001A4F8A" w:rsidR="0046581B" w:rsidRPr="002946A9" w:rsidRDefault="008C40E4" w:rsidP="0046581B">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88</w:t>
            </w:r>
            <w:r>
              <w:rPr>
                <w:sz w:val="20"/>
                <w:szCs w:val="20"/>
              </w:rPr>
              <w:t>3</w:t>
            </w:r>
            <w:r w:rsidR="00C81653" w:rsidRPr="002946A9">
              <w:rPr>
                <w:sz w:val="20"/>
                <w:szCs w:val="20"/>
              </w:rPr>
              <w:t>,</w:t>
            </w:r>
            <w:r>
              <w:rPr>
                <w:sz w:val="20"/>
                <w:szCs w:val="20"/>
              </w:rPr>
              <w:t>125</w:t>
            </w:r>
          </w:p>
        </w:tc>
      </w:tr>
      <w:tr w:rsidR="0046581B" w:rsidRPr="002946A9" w14:paraId="10A7FF26" w14:textId="77777777" w:rsidTr="0046581B">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D3B34D2" w14:textId="77777777" w:rsidR="0046581B" w:rsidRPr="002946A9" w:rsidRDefault="0046581B" w:rsidP="0046581B">
            <w:pPr>
              <w:jc w:val="center"/>
              <w:rPr>
                <w:rFonts w:cs="Calibri"/>
                <w:b w:val="0"/>
                <w:iCs/>
                <w:color w:val="000000"/>
                <w:sz w:val="20"/>
                <w:szCs w:val="20"/>
              </w:rPr>
            </w:pPr>
            <w:r w:rsidRPr="002946A9">
              <w:rPr>
                <w:rFonts w:cs="Calibri"/>
                <w:b w:val="0"/>
                <w:iCs/>
                <w:color w:val="000000"/>
                <w:sz w:val="20"/>
                <w:szCs w:val="20"/>
              </w:rPr>
              <w:t>3</w:t>
            </w:r>
          </w:p>
        </w:tc>
        <w:tc>
          <w:tcPr>
            <w:tcW w:w="4991" w:type="dxa"/>
            <w:noWrap/>
            <w:vAlign w:val="top"/>
            <w:hideMark/>
          </w:tcPr>
          <w:p w14:paraId="5366250B" w14:textId="5F4A012C" w:rsidR="0046581B" w:rsidRPr="002946A9" w:rsidRDefault="008C40E4" w:rsidP="0046581B">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29</w:t>
            </w:r>
            <w:r>
              <w:rPr>
                <w:sz w:val="20"/>
                <w:szCs w:val="20"/>
              </w:rPr>
              <w:t>6</w:t>
            </w:r>
            <w:r w:rsidR="00C81653" w:rsidRPr="002946A9">
              <w:rPr>
                <w:sz w:val="20"/>
                <w:szCs w:val="20"/>
              </w:rPr>
              <w:t>,</w:t>
            </w:r>
            <w:r>
              <w:rPr>
                <w:sz w:val="20"/>
                <w:szCs w:val="20"/>
              </w:rPr>
              <w:t>141</w:t>
            </w:r>
            <w:r w:rsidRPr="002946A9">
              <w:rPr>
                <w:sz w:val="20"/>
                <w:szCs w:val="20"/>
              </w:rPr>
              <w:t xml:space="preserve"> </w:t>
            </w:r>
          </w:p>
        </w:tc>
      </w:tr>
      <w:tr w:rsidR="0046581B" w:rsidRPr="002946A9" w14:paraId="5BEDF682" w14:textId="77777777" w:rsidTr="0046581B">
        <w:trPr>
          <w:cnfStyle w:val="000000010000" w:firstRow="0" w:lastRow="0" w:firstColumn="0" w:lastColumn="0" w:oddVBand="0" w:evenVBand="0" w:oddHBand="0" w:evenHBand="1"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7F41AB7" w14:textId="77777777" w:rsidR="0046581B" w:rsidRPr="002946A9" w:rsidRDefault="0046581B" w:rsidP="0046581B">
            <w:pPr>
              <w:jc w:val="center"/>
              <w:rPr>
                <w:rFonts w:cs="Calibri"/>
                <w:b w:val="0"/>
                <w:iCs/>
                <w:color w:val="000000"/>
                <w:sz w:val="20"/>
                <w:szCs w:val="20"/>
              </w:rPr>
            </w:pPr>
            <w:r w:rsidRPr="002946A9">
              <w:rPr>
                <w:rFonts w:cs="Calibri"/>
                <w:b w:val="0"/>
                <w:iCs/>
                <w:color w:val="000000"/>
                <w:sz w:val="20"/>
                <w:szCs w:val="20"/>
              </w:rPr>
              <w:t>4</w:t>
            </w:r>
          </w:p>
        </w:tc>
        <w:tc>
          <w:tcPr>
            <w:tcW w:w="4991" w:type="dxa"/>
            <w:noWrap/>
            <w:vAlign w:val="top"/>
            <w:hideMark/>
          </w:tcPr>
          <w:p w14:paraId="0AB1A404" w14:textId="7FF9B1CF" w:rsidR="0046581B" w:rsidRPr="002946A9" w:rsidRDefault="0046581B" w:rsidP="0046581B">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w:t>
            </w:r>
            <w:r w:rsidR="008C40E4" w:rsidRPr="002946A9">
              <w:rPr>
                <w:sz w:val="20"/>
                <w:szCs w:val="20"/>
              </w:rPr>
              <w:t>17</w:t>
            </w:r>
            <w:r w:rsidR="008C40E4">
              <w:rPr>
                <w:sz w:val="20"/>
                <w:szCs w:val="20"/>
              </w:rPr>
              <w:t>6</w:t>
            </w:r>
            <w:r w:rsidR="00C81653" w:rsidRPr="002946A9">
              <w:rPr>
                <w:sz w:val="20"/>
                <w:szCs w:val="20"/>
              </w:rPr>
              <w:t>,</w:t>
            </w:r>
            <w:r w:rsidR="008C40E4">
              <w:rPr>
                <w:sz w:val="20"/>
                <w:szCs w:val="20"/>
              </w:rPr>
              <w:t>204</w:t>
            </w:r>
          </w:p>
        </w:tc>
      </w:tr>
      <w:tr w:rsidR="0046581B" w:rsidRPr="002946A9" w14:paraId="3B90CAA5" w14:textId="77777777" w:rsidTr="0046581B">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316B6E3" w14:textId="77777777" w:rsidR="0046581B" w:rsidRPr="002946A9" w:rsidRDefault="0046581B" w:rsidP="0046581B">
            <w:pPr>
              <w:jc w:val="both"/>
              <w:rPr>
                <w:rFonts w:cs="Calibri"/>
                <w:bCs w:val="0"/>
                <w:color w:val="000000"/>
                <w:sz w:val="20"/>
                <w:szCs w:val="20"/>
              </w:rPr>
            </w:pPr>
            <w:r w:rsidRPr="002946A9">
              <w:rPr>
                <w:rFonts w:cs="Calibri"/>
                <w:bCs w:val="0"/>
                <w:color w:val="000000"/>
                <w:sz w:val="20"/>
                <w:szCs w:val="20"/>
              </w:rPr>
              <w:t>Total general</w:t>
            </w:r>
          </w:p>
        </w:tc>
        <w:tc>
          <w:tcPr>
            <w:tcW w:w="4991" w:type="dxa"/>
            <w:shd w:val="clear" w:color="auto" w:fill="BFE2A8" w:themeFill="accent2" w:themeFillTint="66"/>
            <w:noWrap/>
            <w:vAlign w:val="top"/>
            <w:hideMark/>
          </w:tcPr>
          <w:p w14:paraId="2972FE41" w14:textId="7FF84431" w:rsidR="0046581B" w:rsidRPr="002946A9" w:rsidRDefault="0046581B" w:rsidP="0046581B">
            <w:pPr>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rPr>
            </w:pPr>
            <w:r w:rsidRPr="002946A9">
              <w:rPr>
                <w:sz w:val="20"/>
                <w:szCs w:val="20"/>
              </w:rPr>
              <w:t xml:space="preserve"> </w:t>
            </w:r>
            <w:r w:rsidRPr="002946A9">
              <w:rPr>
                <w:b/>
                <w:bCs/>
                <w:sz w:val="20"/>
                <w:szCs w:val="20"/>
              </w:rPr>
              <w:t>1,</w:t>
            </w:r>
            <w:r w:rsidR="008C40E4">
              <w:rPr>
                <w:b/>
                <w:bCs/>
                <w:sz w:val="20"/>
                <w:szCs w:val="20"/>
              </w:rPr>
              <w:t>750,338</w:t>
            </w:r>
            <w:r w:rsidRPr="002946A9">
              <w:rPr>
                <w:b/>
                <w:bCs/>
                <w:sz w:val="20"/>
                <w:szCs w:val="20"/>
              </w:rPr>
              <w:t xml:space="preserve"> </w:t>
            </w:r>
          </w:p>
        </w:tc>
      </w:tr>
      <w:tr w:rsidR="008B594D" w:rsidRPr="002946A9" w14:paraId="563DDDA3" w14:textId="77777777" w:rsidTr="00C93F20">
        <w:trPr>
          <w:cnfStyle w:val="000000010000" w:firstRow="0" w:lastRow="0" w:firstColumn="0" w:lastColumn="0" w:oddVBand="0" w:evenVBand="0" w:oddHBand="0" w:evenHBand="1"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6748" w:type="dxa"/>
            <w:gridSpan w:val="2"/>
            <w:shd w:val="clear" w:color="auto" w:fill="DFF0D3" w:themeFill="accent2" w:themeFillTint="33"/>
            <w:noWrap/>
          </w:tcPr>
          <w:p w14:paraId="4BDF72A4" w14:textId="7AAD950E" w:rsidR="008B594D" w:rsidRPr="002946A9" w:rsidRDefault="008B594D" w:rsidP="00DF29CB">
            <w:pPr>
              <w:jc w:val="both"/>
              <w:rPr>
                <w:rFonts w:cs="Calibri"/>
                <w:b w:val="0"/>
                <w:bCs w:val="0"/>
                <w:color w:val="000000"/>
                <w:sz w:val="18"/>
                <w:szCs w:val="18"/>
              </w:rPr>
            </w:pPr>
            <w:r w:rsidRPr="002946A9">
              <w:rPr>
                <w:rFonts w:cs="Calibri"/>
                <w:b w:val="0"/>
                <w:bCs w:val="0"/>
                <w:i/>
                <w:color w:val="000000"/>
                <w:sz w:val="18"/>
                <w:szCs w:val="18"/>
              </w:rPr>
              <w:t>* Valores en millones de pesos a diciembre del 2017</w:t>
            </w:r>
            <w:r w:rsidR="003C1F13" w:rsidRPr="002946A9">
              <w:rPr>
                <w:rFonts w:cs="Calibri"/>
                <w:b w:val="0"/>
                <w:bCs w:val="0"/>
                <w:i/>
                <w:color w:val="000000"/>
                <w:sz w:val="18"/>
                <w:szCs w:val="18"/>
              </w:rPr>
              <w:t>.</w:t>
            </w:r>
          </w:p>
        </w:tc>
      </w:tr>
    </w:tbl>
    <w:p w14:paraId="6FE4FA87" w14:textId="77777777" w:rsidR="004F0E29" w:rsidRPr="002946A9" w:rsidRDefault="004F0E29" w:rsidP="00DF29CB">
      <w:pPr>
        <w:spacing w:after="0"/>
        <w:ind w:left="360"/>
        <w:jc w:val="both"/>
        <w:rPr>
          <w:rFonts w:ascii="Trebuchet MS" w:hAnsi="Trebuchet MS"/>
          <w:szCs w:val="24"/>
        </w:rPr>
      </w:pPr>
    </w:p>
    <w:p w14:paraId="00D71B17" w14:textId="397DC93C" w:rsidR="000A09AA" w:rsidRPr="002946A9" w:rsidRDefault="00A241FD" w:rsidP="00DF29CB">
      <w:pPr>
        <w:ind w:left="360"/>
        <w:jc w:val="both"/>
        <w:rPr>
          <w:rFonts w:ascii="Trebuchet MS" w:hAnsi="Trebuchet MS"/>
          <w:szCs w:val="24"/>
        </w:rPr>
      </w:pPr>
      <w:r w:rsidRPr="002946A9">
        <w:rPr>
          <w:rFonts w:ascii="Trebuchet MS" w:hAnsi="Trebuchet MS"/>
          <w:szCs w:val="24"/>
        </w:rPr>
        <w:t xml:space="preserve">Se observa que el nivel de tensión </w:t>
      </w:r>
      <w:r w:rsidR="007930D5" w:rsidRPr="002946A9">
        <w:rPr>
          <w:rFonts w:ascii="Trebuchet MS" w:hAnsi="Trebuchet MS"/>
          <w:szCs w:val="24"/>
        </w:rPr>
        <w:t>2</w:t>
      </w:r>
      <w:r w:rsidRPr="002946A9">
        <w:rPr>
          <w:rFonts w:ascii="Trebuchet MS" w:hAnsi="Trebuchet MS"/>
          <w:szCs w:val="24"/>
        </w:rPr>
        <w:t xml:space="preserve"> es el qu</w:t>
      </w:r>
      <w:r w:rsidR="002F23AA" w:rsidRPr="002946A9">
        <w:rPr>
          <w:rFonts w:ascii="Trebuchet MS" w:hAnsi="Trebuchet MS"/>
          <w:szCs w:val="24"/>
        </w:rPr>
        <w:t>e presenta mayor grado de inversión</w:t>
      </w:r>
      <w:r w:rsidR="007B05DE" w:rsidRPr="002946A9">
        <w:rPr>
          <w:rFonts w:ascii="Trebuchet MS" w:hAnsi="Trebuchet MS"/>
          <w:szCs w:val="24"/>
        </w:rPr>
        <w:t xml:space="preserve">, por valor de </w:t>
      </w:r>
      <w:r w:rsidR="008C40E4" w:rsidRPr="002946A9">
        <w:rPr>
          <w:rFonts w:ascii="Trebuchet MS" w:hAnsi="Trebuchet MS"/>
          <w:szCs w:val="24"/>
        </w:rPr>
        <w:t>88</w:t>
      </w:r>
      <w:r w:rsidR="008C40E4">
        <w:rPr>
          <w:rFonts w:ascii="Trebuchet MS" w:hAnsi="Trebuchet MS"/>
          <w:szCs w:val="24"/>
        </w:rPr>
        <w:t>3</w:t>
      </w:r>
      <w:r w:rsidR="0046581B" w:rsidRPr="002946A9">
        <w:rPr>
          <w:rFonts w:ascii="Trebuchet MS" w:hAnsi="Trebuchet MS"/>
          <w:szCs w:val="24"/>
        </w:rPr>
        <w:t>,</w:t>
      </w:r>
      <w:r w:rsidR="008C40E4">
        <w:rPr>
          <w:rFonts w:ascii="Trebuchet MS" w:hAnsi="Trebuchet MS"/>
          <w:szCs w:val="24"/>
        </w:rPr>
        <w:t>125</w:t>
      </w:r>
      <w:r w:rsidR="008C40E4" w:rsidRPr="002946A9">
        <w:rPr>
          <w:rFonts w:ascii="Trebuchet MS" w:hAnsi="Trebuchet MS"/>
          <w:szCs w:val="24"/>
        </w:rPr>
        <w:t xml:space="preserve"> </w:t>
      </w:r>
      <w:r w:rsidR="007B05DE" w:rsidRPr="002946A9">
        <w:rPr>
          <w:rFonts w:ascii="Trebuchet MS" w:hAnsi="Trebuchet MS"/>
          <w:szCs w:val="24"/>
        </w:rPr>
        <w:t xml:space="preserve">millones de pesos, </w:t>
      </w:r>
      <w:r w:rsidR="00B85F3C" w:rsidRPr="002946A9">
        <w:rPr>
          <w:rFonts w:ascii="Trebuchet MS" w:hAnsi="Trebuchet MS"/>
          <w:szCs w:val="24"/>
        </w:rPr>
        <w:t>correspondientes al</w:t>
      </w:r>
      <w:r w:rsidR="00840E36" w:rsidRPr="002946A9">
        <w:rPr>
          <w:rFonts w:ascii="Trebuchet MS" w:hAnsi="Trebuchet MS"/>
          <w:szCs w:val="24"/>
        </w:rPr>
        <w:t xml:space="preserve"> 5</w:t>
      </w:r>
      <w:r w:rsidR="00C71561" w:rsidRPr="002946A9">
        <w:rPr>
          <w:rFonts w:ascii="Trebuchet MS" w:hAnsi="Trebuchet MS"/>
          <w:szCs w:val="24"/>
        </w:rPr>
        <w:t>0</w:t>
      </w:r>
      <w:r w:rsidR="00840E36" w:rsidRPr="002946A9">
        <w:rPr>
          <w:rFonts w:ascii="Trebuchet MS" w:hAnsi="Trebuchet MS"/>
          <w:szCs w:val="24"/>
        </w:rPr>
        <w:t>.</w:t>
      </w:r>
      <w:r w:rsidR="008C40E4" w:rsidRPr="002946A9">
        <w:rPr>
          <w:rFonts w:ascii="Trebuchet MS" w:hAnsi="Trebuchet MS"/>
          <w:szCs w:val="24"/>
        </w:rPr>
        <w:t>4</w:t>
      </w:r>
      <w:r w:rsidR="008C40E4">
        <w:rPr>
          <w:rFonts w:ascii="Trebuchet MS" w:hAnsi="Trebuchet MS"/>
          <w:szCs w:val="24"/>
        </w:rPr>
        <w:t>5</w:t>
      </w:r>
      <w:r w:rsidR="00840E36" w:rsidRPr="002946A9">
        <w:rPr>
          <w:rFonts w:ascii="Trebuchet MS" w:hAnsi="Trebuchet MS"/>
          <w:szCs w:val="24"/>
        </w:rPr>
        <w:t>% del plan.</w:t>
      </w:r>
    </w:p>
    <w:p w14:paraId="5E45603E" w14:textId="77777777" w:rsidR="000A09AA" w:rsidRPr="002946A9" w:rsidRDefault="000A09AA" w:rsidP="00DF29CB">
      <w:pPr>
        <w:spacing w:after="0"/>
        <w:ind w:left="1224"/>
        <w:jc w:val="both"/>
        <w:rPr>
          <w:rFonts w:ascii="Trebuchet MS" w:hAnsi="Trebuchet MS"/>
          <w:b/>
          <w:bCs/>
          <w:szCs w:val="24"/>
        </w:rPr>
      </w:pPr>
    </w:p>
    <w:p w14:paraId="268A0EB4" w14:textId="13A5B08B" w:rsidR="000A09AA" w:rsidRPr="002946A9" w:rsidRDefault="000A09AA" w:rsidP="00DF29CB">
      <w:pPr>
        <w:numPr>
          <w:ilvl w:val="2"/>
          <w:numId w:val="2"/>
        </w:numPr>
        <w:ind w:left="1225" w:hanging="505"/>
        <w:jc w:val="both"/>
        <w:outlineLvl w:val="2"/>
        <w:rPr>
          <w:rFonts w:ascii="Trebuchet MS" w:hAnsi="Trebuchet MS"/>
          <w:b/>
          <w:bCs/>
          <w:szCs w:val="24"/>
        </w:rPr>
      </w:pPr>
      <w:bookmarkStart w:id="128" w:name="_Toc131109345"/>
      <w:r w:rsidRPr="002946A9">
        <w:rPr>
          <w:rFonts w:ascii="Trebuchet MS" w:hAnsi="Trebuchet MS"/>
          <w:b/>
          <w:bCs/>
          <w:szCs w:val="24"/>
        </w:rPr>
        <w:t>Inversiones por categoría de activos</w:t>
      </w:r>
      <w:bookmarkEnd w:id="128"/>
      <w:r w:rsidRPr="002946A9">
        <w:rPr>
          <w:rFonts w:ascii="Trebuchet MS" w:hAnsi="Trebuchet MS"/>
          <w:b/>
          <w:bCs/>
          <w:szCs w:val="24"/>
        </w:rPr>
        <w:t xml:space="preserve">  </w:t>
      </w:r>
    </w:p>
    <w:p w14:paraId="7F3A69D9" w14:textId="439F73F3" w:rsidR="00F6124C" w:rsidRPr="002946A9" w:rsidRDefault="00351500" w:rsidP="00DF29CB">
      <w:pPr>
        <w:ind w:left="360"/>
        <w:jc w:val="both"/>
        <w:rPr>
          <w:rFonts w:ascii="Trebuchet MS" w:hAnsi="Trebuchet MS"/>
          <w:szCs w:val="24"/>
        </w:rPr>
      </w:pPr>
      <w:r w:rsidRPr="002946A9">
        <w:rPr>
          <w:rFonts w:ascii="Trebuchet MS" w:hAnsi="Trebuchet MS"/>
          <w:szCs w:val="24"/>
        </w:rPr>
        <w:t>Los montos de inversión por categoría de activos se presentan en la siguiente tabla:</w:t>
      </w:r>
    </w:p>
    <w:p w14:paraId="16CFE217" w14:textId="39AB3A03" w:rsidR="00C56BAC" w:rsidRDefault="00C56BAC" w:rsidP="00DF29CB">
      <w:pPr>
        <w:spacing w:after="0"/>
        <w:ind w:left="360"/>
        <w:jc w:val="both"/>
        <w:rPr>
          <w:rFonts w:ascii="Trebuchet MS" w:hAnsi="Trebuchet MS"/>
          <w:szCs w:val="24"/>
        </w:rPr>
      </w:pPr>
    </w:p>
    <w:p w14:paraId="3B357551" w14:textId="77777777" w:rsidR="00307E2B" w:rsidRDefault="00307E2B" w:rsidP="00DF29CB">
      <w:pPr>
        <w:spacing w:after="0"/>
        <w:ind w:left="360"/>
        <w:jc w:val="both"/>
        <w:rPr>
          <w:rFonts w:ascii="Trebuchet MS" w:hAnsi="Trebuchet MS"/>
          <w:szCs w:val="24"/>
        </w:rPr>
      </w:pPr>
    </w:p>
    <w:p w14:paraId="73AA05EE" w14:textId="77777777" w:rsidR="00307E2B" w:rsidRDefault="00307E2B" w:rsidP="00DF29CB">
      <w:pPr>
        <w:spacing w:after="0"/>
        <w:ind w:left="360"/>
        <w:jc w:val="both"/>
        <w:rPr>
          <w:rFonts w:ascii="Trebuchet MS" w:hAnsi="Trebuchet MS"/>
          <w:szCs w:val="24"/>
        </w:rPr>
      </w:pPr>
    </w:p>
    <w:p w14:paraId="65B9ECFA" w14:textId="77777777" w:rsidR="00307E2B" w:rsidRDefault="00307E2B" w:rsidP="00DF29CB">
      <w:pPr>
        <w:spacing w:after="0"/>
        <w:ind w:left="360"/>
        <w:jc w:val="both"/>
        <w:rPr>
          <w:rFonts w:ascii="Trebuchet MS" w:hAnsi="Trebuchet MS"/>
          <w:szCs w:val="24"/>
        </w:rPr>
      </w:pPr>
    </w:p>
    <w:p w14:paraId="0A820304" w14:textId="77777777" w:rsidR="00307E2B" w:rsidRDefault="00307E2B" w:rsidP="00DF29CB">
      <w:pPr>
        <w:spacing w:after="0"/>
        <w:ind w:left="360"/>
        <w:jc w:val="both"/>
        <w:rPr>
          <w:rFonts w:ascii="Trebuchet MS" w:hAnsi="Trebuchet MS"/>
          <w:szCs w:val="24"/>
        </w:rPr>
      </w:pPr>
    </w:p>
    <w:p w14:paraId="61888BD2" w14:textId="77777777" w:rsidR="00307E2B" w:rsidRPr="002946A9" w:rsidRDefault="00307E2B" w:rsidP="00DF29CB">
      <w:pPr>
        <w:spacing w:after="0"/>
        <w:ind w:left="360"/>
        <w:jc w:val="both"/>
        <w:rPr>
          <w:rFonts w:ascii="Trebuchet MS" w:hAnsi="Trebuchet MS"/>
          <w:szCs w:val="24"/>
        </w:rPr>
      </w:pPr>
    </w:p>
    <w:p w14:paraId="5CE66ED9" w14:textId="76C8AB5F" w:rsidR="00E1010E" w:rsidRPr="002946A9" w:rsidRDefault="00E1010E" w:rsidP="00DF29CB">
      <w:pPr>
        <w:ind w:left="1416" w:hanging="1056"/>
        <w:jc w:val="both"/>
        <w:rPr>
          <w:rFonts w:ascii="Trebuchet MS" w:hAnsi="Trebuchet MS"/>
        </w:rPr>
      </w:pPr>
      <w:bookmarkStart w:id="129" w:name="_Ref66442655"/>
      <w:bookmarkStart w:id="130" w:name="_Ref66954786"/>
      <w:bookmarkStart w:id="131" w:name="_Toc131032776"/>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8</w:t>
      </w:r>
      <w:r w:rsidRPr="002946A9">
        <w:rPr>
          <w:rFonts w:ascii="Trebuchet MS" w:hAnsi="Trebuchet MS"/>
        </w:rPr>
        <w:fldChar w:fldCharType="end"/>
      </w:r>
      <w:bookmarkEnd w:id="129"/>
      <w:bookmarkEnd w:id="130"/>
      <w:r w:rsidRPr="002946A9">
        <w:rPr>
          <w:rFonts w:ascii="Trebuchet MS" w:hAnsi="Trebuchet MS"/>
        </w:rPr>
        <w:t xml:space="preserve"> </w:t>
      </w:r>
      <w:r w:rsidR="009E51DA" w:rsidRPr="002946A9">
        <w:rPr>
          <w:rFonts w:ascii="Trebuchet MS" w:hAnsi="Trebuchet MS"/>
        </w:rPr>
        <w:t xml:space="preserve"> </w:t>
      </w:r>
      <w:r w:rsidRPr="002946A9">
        <w:rPr>
          <w:rFonts w:ascii="Trebuchet MS" w:hAnsi="Trebuchet MS"/>
        </w:rPr>
        <w:t>Inversiones plan 20</w:t>
      </w:r>
      <w:r w:rsidR="00357EC6" w:rsidRPr="002946A9">
        <w:rPr>
          <w:rFonts w:ascii="Trebuchet MS" w:hAnsi="Trebuchet MS"/>
        </w:rPr>
        <w:t>20</w:t>
      </w:r>
      <w:r w:rsidRPr="002946A9">
        <w:rPr>
          <w:rFonts w:ascii="Trebuchet MS" w:hAnsi="Trebuchet MS"/>
        </w:rPr>
        <w:t xml:space="preserve"> – 202</w:t>
      </w:r>
      <w:r w:rsidR="00357EC6" w:rsidRPr="002946A9">
        <w:rPr>
          <w:rFonts w:ascii="Trebuchet MS" w:hAnsi="Trebuchet MS"/>
        </w:rPr>
        <w:t>5</w:t>
      </w:r>
      <w:r w:rsidRPr="002946A9">
        <w:rPr>
          <w:rFonts w:ascii="Trebuchet MS" w:hAnsi="Trebuchet MS"/>
        </w:rPr>
        <w:t xml:space="preserve"> por categoría de activos.</w:t>
      </w:r>
      <w:bookmarkEnd w:id="131"/>
    </w:p>
    <w:tbl>
      <w:tblPr>
        <w:tblStyle w:val="Tablaconcuadrcula5oscura-nfasis1"/>
        <w:tblW w:w="6488" w:type="dxa"/>
        <w:jc w:val="center"/>
        <w:tblLook w:val="04A0" w:firstRow="1" w:lastRow="0" w:firstColumn="1" w:lastColumn="0" w:noHBand="0" w:noVBand="1"/>
      </w:tblPr>
      <w:tblGrid>
        <w:gridCol w:w="1478"/>
        <w:gridCol w:w="3624"/>
        <w:gridCol w:w="1386"/>
      </w:tblGrid>
      <w:tr w:rsidR="008A4F2D" w:rsidRPr="002946A9" w14:paraId="299CE494" w14:textId="77777777" w:rsidTr="00D04837">
        <w:trPr>
          <w:cnfStyle w:val="100000000000" w:firstRow="1" w:lastRow="0" w:firstColumn="0" w:lastColumn="0" w:oddVBand="0" w:evenVBand="0" w:oddHBand="0" w:evenHBand="0" w:firstRowFirstColumn="0" w:firstRowLastColumn="0" w:lastRowFirstColumn="0" w:lastRowLastColumn="0"/>
          <w:trHeight w:val="233"/>
          <w:tblHeader/>
          <w:jc w:val="center"/>
        </w:trPr>
        <w:tc>
          <w:tcPr>
            <w:cnfStyle w:val="001000000000" w:firstRow="0" w:lastRow="0" w:firstColumn="1" w:lastColumn="0" w:oddVBand="0" w:evenVBand="0" w:oddHBand="0" w:evenHBand="0" w:firstRowFirstColumn="0" w:firstRowLastColumn="0" w:lastRowFirstColumn="0" w:lastRowLastColumn="0"/>
            <w:tcW w:w="1478" w:type="dxa"/>
            <w:noWrap/>
            <w:hideMark/>
          </w:tcPr>
          <w:p w14:paraId="75DCEF9D" w14:textId="77777777" w:rsidR="008A4F2D" w:rsidRPr="002946A9" w:rsidRDefault="008A4F2D" w:rsidP="00D04837">
            <w:pPr>
              <w:rPr>
                <w:rFonts w:cs="Calibri"/>
                <w:bCs w:val="0"/>
                <w:color w:val="000000"/>
                <w:sz w:val="20"/>
                <w:szCs w:val="20"/>
              </w:rPr>
            </w:pPr>
            <w:r w:rsidRPr="002946A9">
              <w:rPr>
                <w:rFonts w:cs="Calibri"/>
                <w:bCs w:val="0"/>
                <w:color w:val="000000"/>
                <w:sz w:val="20"/>
                <w:szCs w:val="20"/>
              </w:rPr>
              <w:t>Categoría</w:t>
            </w:r>
          </w:p>
        </w:tc>
        <w:tc>
          <w:tcPr>
            <w:tcW w:w="3624" w:type="dxa"/>
            <w:noWrap/>
            <w:hideMark/>
          </w:tcPr>
          <w:p w14:paraId="37E15C56" w14:textId="77777777" w:rsidR="008A4F2D" w:rsidRPr="002946A9" w:rsidRDefault="008A4F2D" w:rsidP="00D04837">
            <w:pPr>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rPr>
            </w:pPr>
            <w:r w:rsidRPr="002946A9">
              <w:rPr>
                <w:rFonts w:cs="Calibri"/>
                <w:bCs w:val="0"/>
                <w:color w:val="000000"/>
                <w:sz w:val="20"/>
                <w:szCs w:val="20"/>
              </w:rPr>
              <w:t>Descripción categoría</w:t>
            </w:r>
          </w:p>
        </w:tc>
        <w:tc>
          <w:tcPr>
            <w:tcW w:w="1386" w:type="dxa"/>
            <w:noWrap/>
            <w:hideMark/>
          </w:tcPr>
          <w:p w14:paraId="5BA02449" w14:textId="64E4F630" w:rsidR="008A4F2D" w:rsidRPr="002946A9" w:rsidRDefault="008A4F2D" w:rsidP="00D04837">
            <w:pPr>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rPr>
            </w:pPr>
            <w:r w:rsidRPr="002946A9">
              <w:rPr>
                <w:rFonts w:cs="Calibri"/>
                <w:bCs w:val="0"/>
                <w:color w:val="000000"/>
                <w:sz w:val="20"/>
                <w:szCs w:val="20"/>
              </w:rPr>
              <w:t>Total</w:t>
            </w:r>
            <w:r w:rsidR="00CC475E" w:rsidRPr="002946A9">
              <w:rPr>
                <w:rFonts w:cs="Calibri"/>
                <w:bCs w:val="0"/>
                <w:color w:val="000000"/>
                <w:sz w:val="20"/>
                <w:szCs w:val="20"/>
              </w:rPr>
              <w:t>*</w:t>
            </w:r>
          </w:p>
        </w:tc>
      </w:tr>
      <w:tr w:rsidR="00357EC6" w:rsidRPr="002946A9" w14:paraId="7682C66F" w14:textId="77777777" w:rsidTr="009A1D84">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78" w:type="dxa"/>
            <w:noWrap/>
            <w:hideMark/>
          </w:tcPr>
          <w:p w14:paraId="02F9D65D" w14:textId="77777777" w:rsidR="00357EC6" w:rsidRPr="002946A9" w:rsidRDefault="00357EC6" w:rsidP="00357EC6">
            <w:pPr>
              <w:jc w:val="center"/>
              <w:rPr>
                <w:rFonts w:cs="Calibri"/>
                <w:b w:val="0"/>
                <w:bCs w:val="0"/>
                <w:i/>
                <w:color w:val="000000"/>
                <w:sz w:val="20"/>
                <w:szCs w:val="20"/>
              </w:rPr>
            </w:pPr>
            <w:r w:rsidRPr="002946A9">
              <w:rPr>
                <w:rFonts w:cs="Calibri"/>
                <w:b w:val="0"/>
                <w:bCs w:val="0"/>
                <w:i/>
                <w:color w:val="000000"/>
                <w:sz w:val="20"/>
                <w:szCs w:val="20"/>
              </w:rPr>
              <w:t>1</w:t>
            </w:r>
          </w:p>
        </w:tc>
        <w:tc>
          <w:tcPr>
            <w:tcW w:w="3624" w:type="dxa"/>
            <w:noWrap/>
            <w:hideMark/>
          </w:tcPr>
          <w:p w14:paraId="45A16409" w14:textId="77777777" w:rsidR="00357EC6" w:rsidRPr="002946A9" w:rsidRDefault="00357EC6" w:rsidP="00357EC6">
            <w:pPr>
              <w:jc w:val="left"/>
              <w:cnfStyle w:val="000000100000" w:firstRow="0" w:lastRow="0" w:firstColumn="0" w:lastColumn="0" w:oddVBand="0" w:evenVBand="0" w:oddHBand="1" w:evenHBand="0" w:firstRowFirstColumn="0" w:firstRowLastColumn="0" w:lastRowFirstColumn="0" w:lastRowLastColumn="0"/>
              <w:rPr>
                <w:rFonts w:cs="Calibri"/>
                <w:i/>
                <w:color w:val="000000"/>
                <w:sz w:val="20"/>
                <w:szCs w:val="20"/>
              </w:rPr>
            </w:pPr>
            <w:r w:rsidRPr="002946A9">
              <w:rPr>
                <w:rFonts w:cs="Calibri"/>
                <w:i/>
                <w:color w:val="000000"/>
                <w:sz w:val="20"/>
                <w:szCs w:val="20"/>
              </w:rPr>
              <w:t>Transformadores de potencia</w:t>
            </w:r>
          </w:p>
        </w:tc>
        <w:tc>
          <w:tcPr>
            <w:tcW w:w="1386" w:type="dxa"/>
            <w:noWrap/>
            <w:vAlign w:val="top"/>
          </w:tcPr>
          <w:p w14:paraId="5B87743A" w14:textId="7F096377" w:rsidR="00357EC6" w:rsidRPr="002946A9" w:rsidRDefault="00357EC6" w:rsidP="00357EC6">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95,608 </w:t>
            </w:r>
          </w:p>
        </w:tc>
      </w:tr>
      <w:tr w:rsidR="00357EC6" w:rsidRPr="002946A9" w14:paraId="61A044CF" w14:textId="77777777" w:rsidTr="009A1D84">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78" w:type="dxa"/>
            <w:noWrap/>
          </w:tcPr>
          <w:p w14:paraId="40335F8D" w14:textId="5C7CB6C7" w:rsidR="00357EC6" w:rsidRPr="002946A9" w:rsidRDefault="00357EC6" w:rsidP="00357EC6">
            <w:pPr>
              <w:jc w:val="center"/>
              <w:rPr>
                <w:rFonts w:cs="Calibri"/>
                <w:b w:val="0"/>
                <w:bCs w:val="0"/>
                <w:i/>
                <w:color w:val="000000"/>
                <w:sz w:val="20"/>
                <w:szCs w:val="20"/>
              </w:rPr>
            </w:pPr>
            <w:r w:rsidRPr="002946A9">
              <w:rPr>
                <w:rFonts w:cs="Calibri"/>
                <w:b w:val="0"/>
                <w:bCs w:val="0"/>
                <w:i/>
                <w:color w:val="000000"/>
                <w:sz w:val="20"/>
                <w:szCs w:val="20"/>
              </w:rPr>
              <w:t>2</w:t>
            </w:r>
          </w:p>
        </w:tc>
        <w:tc>
          <w:tcPr>
            <w:tcW w:w="3624" w:type="dxa"/>
            <w:noWrap/>
          </w:tcPr>
          <w:p w14:paraId="0DE57FDD" w14:textId="63192EE9" w:rsidR="00357EC6" w:rsidRPr="002946A9" w:rsidRDefault="00357EC6" w:rsidP="00357EC6">
            <w:pPr>
              <w:jc w:val="left"/>
              <w:cnfStyle w:val="000000010000" w:firstRow="0" w:lastRow="0" w:firstColumn="0" w:lastColumn="0" w:oddVBand="0" w:evenVBand="0" w:oddHBand="0" w:evenHBand="1" w:firstRowFirstColumn="0" w:firstRowLastColumn="0" w:lastRowFirstColumn="0" w:lastRowLastColumn="0"/>
              <w:rPr>
                <w:rFonts w:cs="Calibri"/>
                <w:i/>
                <w:color w:val="000000"/>
                <w:sz w:val="20"/>
                <w:szCs w:val="20"/>
              </w:rPr>
            </w:pPr>
            <w:r w:rsidRPr="002946A9">
              <w:rPr>
                <w:rFonts w:cs="Calibri"/>
                <w:i/>
                <w:color w:val="000000"/>
                <w:sz w:val="20"/>
                <w:szCs w:val="20"/>
              </w:rPr>
              <w:t>Compensaciones</w:t>
            </w:r>
          </w:p>
        </w:tc>
        <w:tc>
          <w:tcPr>
            <w:tcW w:w="1386" w:type="dxa"/>
            <w:noWrap/>
            <w:vAlign w:val="top"/>
          </w:tcPr>
          <w:p w14:paraId="3866FA62" w14:textId="112E2C6D" w:rsidR="00357EC6" w:rsidRPr="002946A9" w:rsidRDefault="00357EC6" w:rsidP="00357EC6">
            <w:pPr>
              <w:cnfStyle w:val="000000010000" w:firstRow="0" w:lastRow="0" w:firstColumn="0" w:lastColumn="0" w:oddVBand="0" w:evenVBand="0" w:oddHBand="0" w:evenHBand="1" w:firstRowFirstColumn="0" w:firstRowLastColumn="0" w:lastRowFirstColumn="0" w:lastRowLastColumn="0"/>
              <w:rPr>
                <w:sz w:val="20"/>
                <w:szCs w:val="20"/>
              </w:rPr>
            </w:pPr>
            <w:r w:rsidRPr="002946A9">
              <w:rPr>
                <w:sz w:val="20"/>
                <w:szCs w:val="20"/>
              </w:rPr>
              <w:t xml:space="preserve"> -   </w:t>
            </w:r>
          </w:p>
        </w:tc>
      </w:tr>
      <w:tr w:rsidR="00357EC6" w:rsidRPr="002946A9" w14:paraId="404D03C9" w14:textId="77777777" w:rsidTr="009A1D84">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78" w:type="dxa"/>
            <w:noWrap/>
            <w:hideMark/>
          </w:tcPr>
          <w:p w14:paraId="120389B6" w14:textId="77777777" w:rsidR="00357EC6" w:rsidRPr="002946A9" w:rsidRDefault="00357EC6" w:rsidP="00357EC6">
            <w:pPr>
              <w:jc w:val="center"/>
              <w:rPr>
                <w:rFonts w:cs="Calibri"/>
                <w:b w:val="0"/>
                <w:bCs w:val="0"/>
                <w:i/>
                <w:color w:val="000000"/>
                <w:sz w:val="20"/>
                <w:szCs w:val="20"/>
              </w:rPr>
            </w:pPr>
            <w:r w:rsidRPr="002946A9">
              <w:rPr>
                <w:rFonts w:cs="Calibri"/>
                <w:b w:val="0"/>
                <w:bCs w:val="0"/>
                <w:i/>
                <w:color w:val="000000"/>
                <w:sz w:val="20"/>
                <w:szCs w:val="20"/>
              </w:rPr>
              <w:t>3</w:t>
            </w:r>
          </w:p>
        </w:tc>
        <w:tc>
          <w:tcPr>
            <w:tcW w:w="3624" w:type="dxa"/>
            <w:noWrap/>
            <w:hideMark/>
          </w:tcPr>
          <w:p w14:paraId="2CC6C87C" w14:textId="77777777" w:rsidR="00357EC6" w:rsidRPr="002946A9" w:rsidRDefault="00357EC6" w:rsidP="00357EC6">
            <w:pPr>
              <w:jc w:val="left"/>
              <w:cnfStyle w:val="000000100000" w:firstRow="0" w:lastRow="0" w:firstColumn="0" w:lastColumn="0" w:oddVBand="0" w:evenVBand="0" w:oddHBand="1" w:evenHBand="0" w:firstRowFirstColumn="0" w:firstRowLastColumn="0" w:lastRowFirstColumn="0" w:lastRowLastColumn="0"/>
              <w:rPr>
                <w:rFonts w:cs="Calibri"/>
                <w:i/>
                <w:color w:val="000000"/>
                <w:sz w:val="20"/>
                <w:szCs w:val="20"/>
              </w:rPr>
            </w:pPr>
            <w:r w:rsidRPr="002946A9">
              <w:rPr>
                <w:rFonts w:cs="Calibri"/>
                <w:i/>
                <w:color w:val="000000"/>
                <w:sz w:val="20"/>
                <w:szCs w:val="20"/>
              </w:rPr>
              <w:t>Bahías y celdas</w:t>
            </w:r>
          </w:p>
        </w:tc>
        <w:tc>
          <w:tcPr>
            <w:tcW w:w="1386" w:type="dxa"/>
            <w:noWrap/>
            <w:vAlign w:val="top"/>
          </w:tcPr>
          <w:p w14:paraId="61060DD1" w14:textId="2F65F0C5" w:rsidR="00357EC6" w:rsidRPr="002946A9" w:rsidRDefault="00357EC6" w:rsidP="00357EC6">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92,043 </w:t>
            </w:r>
          </w:p>
        </w:tc>
      </w:tr>
      <w:tr w:rsidR="00357EC6" w:rsidRPr="002946A9" w14:paraId="21C239A1" w14:textId="77777777" w:rsidTr="009A1D84">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78" w:type="dxa"/>
            <w:noWrap/>
            <w:hideMark/>
          </w:tcPr>
          <w:p w14:paraId="65970F55" w14:textId="77777777" w:rsidR="00357EC6" w:rsidRPr="002946A9" w:rsidRDefault="00357EC6" w:rsidP="00357EC6">
            <w:pPr>
              <w:jc w:val="center"/>
              <w:rPr>
                <w:rFonts w:cs="Calibri"/>
                <w:b w:val="0"/>
                <w:bCs w:val="0"/>
                <w:i/>
                <w:color w:val="000000"/>
                <w:sz w:val="20"/>
                <w:szCs w:val="20"/>
              </w:rPr>
            </w:pPr>
            <w:r w:rsidRPr="002946A9">
              <w:rPr>
                <w:rFonts w:cs="Calibri"/>
                <w:b w:val="0"/>
                <w:bCs w:val="0"/>
                <w:i/>
                <w:color w:val="000000"/>
                <w:sz w:val="20"/>
                <w:szCs w:val="20"/>
              </w:rPr>
              <w:t>4</w:t>
            </w:r>
          </w:p>
        </w:tc>
        <w:tc>
          <w:tcPr>
            <w:tcW w:w="3624" w:type="dxa"/>
            <w:noWrap/>
            <w:hideMark/>
          </w:tcPr>
          <w:p w14:paraId="6F341D7F" w14:textId="77777777" w:rsidR="00357EC6" w:rsidRPr="002946A9" w:rsidRDefault="00357EC6" w:rsidP="00357EC6">
            <w:pPr>
              <w:jc w:val="left"/>
              <w:cnfStyle w:val="000000010000" w:firstRow="0" w:lastRow="0" w:firstColumn="0" w:lastColumn="0" w:oddVBand="0" w:evenVBand="0" w:oddHBand="0" w:evenHBand="1" w:firstRowFirstColumn="0" w:firstRowLastColumn="0" w:lastRowFirstColumn="0" w:lastRowLastColumn="0"/>
              <w:rPr>
                <w:rFonts w:cs="Calibri"/>
                <w:i/>
                <w:color w:val="000000"/>
                <w:sz w:val="20"/>
                <w:szCs w:val="20"/>
              </w:rPr>
            </w:pPr>
            <w:r w:rsidRPr="002946A9">
              <w:rPr>
                <w:rFonts w:cs="Calibri"/>
                <w:i/>
                <w:color w:val="000000"/>
                <w:sz w:val="20"/>
                <w:szCs w:val="20"/>
              </w:rPr>
              <w:t>Equipos de control y comunicaciones</w:t>
            </w:r>
          </w:p>
        </w:tc>
        <w:tc>
          <w:tcPr>
            <w:tcW w:w="1386" w:type="dxa"/>
            <w:noWrap/>
            <w:vAlign w:val="top"/>
          </w:tcPr>
          <w:p w14:paraId="3D5C8760" w14:textId="498FE016" w:rsidR="00357EC6" w:rsidRPr="002946A9" w:rsidRDefault="00357EC6" w:rsidP="00357EC6">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87,832 </w:t>
            </w:r>
          </w:p>
        </w:tc>
      </w:tr>
      <w:tr w:rsidR="00357EC6" w:rsidRPr="002946A9" w14:paraId="770D52BA" w14:textId="77777777" w:rsidTr="009A1D84">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78" w:type="dxa"/>
            <w:noWrap/>
            <w:hideMark/>
          </w:tcPr>
          <w:p w14:paraId="3329A177" w14:textId="77777777" w:rsidR="00357EC6" w:rsidRPr="002946A9" w:rsidRDefault="00357EC6" w:rsidP="00357EC6">
            <w:pPr>
              <w:jc w:val="center"/>
              <w:rPr>
                <w:rFonts w:cs="Calibri"/>
                <w:b w:val="0"/>
                <w:bCs w:val="0"/>
                <w:i/>
                <w:color w:val="000000"/>
                <w:sz w:val="20"/>
                <w:szCs w:val="20"/>
              </w:rPr>
            </w:pPr>
            <w:r w:rsidRPr="002946A9">
              <w:rPr>
                <w:rFonts w:cs="Calibri"/>
                <w:b w:val="0"/>
                <w:bCs w:val="0"/>
                <w:i/>
                <w:color w:val="000000"/>
                <w:sz w:val="20"/>
                <w:szCs w:val="20"/>
              </w:rPr>
              <w:t>5</w:t>
            </w:r>
          </w:p>
        </w:tc>
        <w:tc>
          <w:tcPr>
            <w:tcW w:w="3624" w:type="dxa"/>
            <w:noWrap/>
            <w:hideMark/>
          </w:tcPr>
          <w:p w14:paraId="5F24331C" w14:textId="77777777" w:rsidR="00357EC6" w:rsidRPr="002946A9" w:rsidRDefault="00357EC6" w:rsidP="00357EC6">
            <w:pPr>
              <w:jc w:val="left"/>
              <w:cnfStyle w:val="000000100000" w:firstRow="0" w:lastRow="0" w:firstColumn="0" w:lastColumn="0" w:oddVBand="0" w:evenVBand="0" w:oddHBand="1" w:evenHBand="0" w:firstRowFirstColumn="0" w:firstRowLastColumn="0" w:lastRowFirstColumn="0" w:lastRowLastColumn="0"/>
              <w:rPr>
                <w:rFonts w:cs="Calibri"/>
                <w:i/>
                <w:color w:val="000000"/>
                <w:sz w:val="20"/>
                <w:szCs w:val="20"/>
              </w:rPr>
            </w:pPr>
            <w:r w:rsidRPr="002946A9">
              <w:rPr>
                <w:rFonts w:cs="Calibri"/>
                <w:i/>
                <w:color w:val="000000"/>
                <w:sz w:val="20"/>
                <w:szCs w:val="20"/>
              </w:rPr>
              <w:t>Equipos de subestación</w:t>
            </w:r>
          </w:p>
        </w:tc>
        <w:tc>
          <w:tcPr>
            <w:tcW w:w="1386" w:type="dxa"/>
            <w:noWrap/>
            <w:vAlign w:val="top"/>
          </w:tcPr>
          <w:p w14:paraId="0AC9B40F" w14:textId="714EFD7F" w:rsidR="00357EC6" w:rsidRPr="002946A9" w:rsidRDefault="00357EC6" w:rsidP="00357EC6">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6,671 </w:t>
            </w:r>
          </w:p>
        </w:tc>
      </w:tr>
      <w:tr w:rsidR="00357EC6" w:rsidRPr="002946A9" w14:paraId="25AF584E" w14:textId="77777777" w:rsidTr="009A1D84">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78" w:type="dxa"/>
            <w:noWrap/>
            <w:hideMark/>
          </w:tcPr>
          <w:p w14:paraId="552B9B03" w14:textId="77777777" w:rsidR="00357EC6" w:rsidRPr="002946A9" w:rsidRDefault="00357EC6" w:rsidP="00357EC6">
            <w:pPr>
              <w:jc w:val="center"/>
              <w:rPr>
                <w:rFonts w:cs="Calibri"/>
                <w:b w:val="0"/>
                <w:bCs w:val="0"/>
                <w:i/>
                <w:color w:val="000000"/>
                <w:sz w:val="20"/>
                <w:szCs w:val="20"/>
              </w:rPr>
            </w:pPr>
            <w:r w:rsidRPr="002946A9">
              <w:rPr>
                <w:rFonts w:cs="Calibri"/>
                <w:b w:val="0"/>
                <w:bCs w:val="0"/>
                <w:i/>
                <w:color w:val="000000"/>
                <w:sz w:val="20"/>
                <w:szCs w:val="20"/>
              </w:rPr>
              <w:t>6</w:t>
            </w:r>
          </w:p>
        </w:tc>
        <w:tc>
          <w:tcPr>
            <w:tcW w:w="3624" w:type="dxa"/>
            <w:noWrap/>
            <w:hideMark/>
          </w:tcPr>
          <w:p w14:paraId="04E69C3C" w14:textId="77777777" w:rsidR="00357EC6" w:rsidRPr="002946A9" w:rsidRDefault="00357EC6" w:rsidP="00357EC6">
            <w:pPr>
              <w:jc w:val="left"/>
              <w:cnfStyle w:val="000000010000" w:firstRow="0" w:lastRow="0" w:firstColumn="0" w:lastColumn="0" w:oddVBand="0" w:evenVBand="0" w:oddHBand="0" w:evenHBand="1" w:firstRowFirstColumn="0" w:firstRowLastColumn="0" w:lastRowFirstColumn="0" w:lastRowLastColumn="0"/>
              <w:rPr>
                <w:rFonts w:cs="Calibri"/>
                <w:i/>
                <w:color w:val="000000"/>
                <w:sz w:val="20"/>
                <w:szCs w:val="20"/>
              </w:rPr>
            </w:pPr>
            <w:r w:rsidRPr="002946A9">
              <w:rPr>
                <w:rFonts w:cs="Calibri"/>
                <w:i/>
                <w:color w:val="000000"/>
                <w:sz w:val="20"/>
                <w:szCs w:val="20"/>
              </w:rPr>
              <w:t>Otros activos subestación</w:t>
            </w:r>
          </w:p>
        </w:tc>
        <w:tc>
          <w:tcPr>
            <w:tcW w:w="1386" w:type="dxa"/>
            <w:noWrap/>
            <w:vAlign w:val="top"/>
          </w:tcPr>
          <w:p w14:paraId="1E044A9E" w14:textId="3D595ACA" w:rsidR="00357EC6" w:rsidRPr="002946A9" w:rsidRDefault="00357EC6" w:rsidP="00357EC6">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22,699 </w:t>
            </w:r>
          </w:p>
        </w:tc>
      </w:tr>
      <w:tr w:rsidR="00357EC6" w:rsidRPr="002946A9" w14:paraId="1C02A31C" w14:textId="77777777" w:rsidTr="009A1D84">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78" w:type="dxa"/>
            <w:noWrap/>
            <w:hideMark/>
          </w:tcPr>
          <w:p w14:paraId="52DB780F" w14:textId="77777777" w:rsidR="00357EC6" w:rsidRPr="002946A9" w:rsidRDefault="00357EC6" w:rsidP="00357EC6">
            <w:pPr>
              <w:jc w:val="center"/>
              <w:rPr>
                <w:rFonts w:cs="Calibri"/>
                <w:b w:val="0"/>
                <w:bCs w:val="0"/>
                <w:i/>
                <w:color w:val="000000"/>
                <w:sz w:val="20"/>
                <w:szCs w:val="20"/>
              </w:rPr>
            </w:pPr>
            <w:r w:rsidRPr="002946A9">
              <w:rPr>
                <w:rFonts w:cs="Calibri"/>
                <w:b w:val="0"/>
                <w:bCs w:val="0"/>
                <w:i/>
                <w:color w:val="000000"/>
                <w:sz w:val="20"/>
                <w:szCs w:val="20"/>
              </w:rPr>
              <w:t>7</w:t>
            </w:r>
          </w:p>
        </w:tc>
        <w:tc>
          <w:tcPr>
            <w:tcW w:w="3624" w:type="dxa"/>
            <w:noWrap/>
            <w:hideMark/>
          </w:tcPr>
          <w:p w14:paraId="4899BB7A" w14:textId="77777777" w:rsidR="00357EC6" w:rsidRPr="002946A9" w:rsidRDefault="00357EC6" w:rsidP="00357EC6">
            <w:pPr>
              <w:jc w:val="left"/>
              <w:cnfStyle w:val="000000100000" w:firstRow="0" w:lastRow="0" w:firstColumn="0" w:lastColumn="0" w:oddVBand="0" w:evenVBand="0" w:oddHBand="1" w:evenHBand="0" w:firstRowFirstColumn="0" w:firstRowLastColumn="0" w:lastRowFirstColumn="0" w:lastRowLastColumn="0"/>
              <w:rPr>
                <w:rFonts w:cs="Calibri"/>
                <w:i/>
                <w:color w:val="000000"/>
                <w:sz w:val="20"/>
                <w:szCs w:val="20"/>
              </w:rPr>
            </w:pPr>
            <w:r w:rsidRPr="002946A9">
              <w:rPr>
                <w:rFonts w:cs="Calibri"/>
                <w:i/>
                <w:color w:val="000000"/>
                <w:sz w:val="20"/>
                <w:szCs w:val="20"/>
              </w:rPr>
              <w:t>Líneas aéreas</w:t>
            </w:r>
          </w:p>
        </w:tc>
        <w:tc>
          <w:tcPr>
            <w:tcW w:w="1386" w:type="dxa"/>
            <w:noWrap/>
            <w:vAlign w:val="top"/>
          </w:tcPr>
          <w:p w14:paraId="4CBA23F7" w14:textId="295504FC" w:rsidR="00357EC6" w:rsidRPr="002946A9" w:rsidRDefault="00357EC6" w:rsidP="00357EC6">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740,163 </w:t>
            </w:r>
          </w:p>
        </w:tc>
      </w:tr>
      <w:tr w:rsidR="00357EC6" w:rsidRPr="002946A9" w14:paraId="19598DA1" w14:textId="77777777" w:rsidTr="009A1D84">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78" w:type="dxa"/>
            <w:noWrap/>
            <w:hideMark/>
          </w:tcPr>
          <w:p w14:paraId="2C381DA0" w14:textId="77777777" w:rsidR="00357EC6" w:rsidRPr="002946A9" w:rsidRDefault="00357EC6" w:rsidP="00357EC6">
            <w:pPr>
              <w:jc w:val="center"/>
              <w:rPr>
                <w:rFonts w:cs="Calibri"/>
                <w:b w:val="0"/>
                <w:bCs w:val="0"/>
                <w:i/>
                <w:color w:val="000000"/>
                <w:sz w:val="20"/>
                <w:szCs w:val="20"/>
              </w:rPr>
            </w:pPr>
            <w:r w:rsidRPr="002946A9">
              <w:rPr>
                <w:rFonts w:cs="Calibri"/>
                <w:b w:val="0"/>
                <w:bCs w:val="0"/>
                <w:i/>
                <w:color w:val="000000"/>
                <w:sz w:val="20"/>
                <w:szCs w:val="20"/>
              </w:rPr>
              <w:t>8</w:t>
            </w:r>
          </w:p>
        </w:tc>
        <w:tc>
          <w:tcPr>
            <w:tcW w:w="3624" w:type="dxa"/>
            <w:noWrap/>
            <w:hideMark/>
          </w:tcPr>
          <w:p w14:paraId="7FD53C4B" w14:textId="77777777" w:rsidR="00357EC6" w:rsidRPr="002946A9" w:rsidRDefault="00357EC6" w:rsidP="00357EC6">
            <w:pPr>
              <w:jc w:val="left"/>
              <w:cnfStyle w:val="000000010000" w:firstRow="0" w:lastRow="0" w:firstColumn="0" w:lastColumn="0" w:oddVBand="0" w:evenVBand="0" w:oddHBand="0" w:evenHBand="1" w:firstRowFirstColumn="0" w:firstRowLastColumn="0" w:lastRowFirstColumn="0" w:lastRowLastColumn="0"/>
              <w:rPr>
                <w:rFonts w:cs="Calibri"/>
                <w:i/>
                <w:color w:val="000000"/>
                <w:sz w:val="20"/>
                <w:szCs w:val="20"/>
              </w:rPr>
            </w:pPr>
            <w:r w:rsidRPr="002946A9">
              <w:rPr>
                <w:rFonts w:cs="Calibri"/>
                <w:i/>
                <w:color w:val="000000"/>
                <w:sz w:val="20"/>
                <w:szCs w:val="20"/>
              </w:rPr>
              <w:t>Líneas subterráneas</w:t>
            </w:r>
          </w:p>
        </w:tc>
        <w:tc>
          <w:tcPr>
            <w:tcW w:w="1386" w:type="dxa"/>
            <w:noWrap/>
            <w:vAlign w:val="top"/>
          </w:tcPr>
          <w:p w14:paraId="3276F9CA" w14:textId="2FAF809C" w:rsidR="00357EC6" w:rsidRPr="002946A9" w:rsidRDefault="00357EC6" w:rsidP="00357EC6">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110,408 </w:t>
            </w:r>
          </w:p>
        </w:tc>
      </w:tr>
      <w:tr w:rsidR="00357EC6" w:rsidRPr="002946A9" w14:paraId="116F37C4" w14:textId="77777777" w:rsidTr="009A1D84">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78" w:type="dxa"/>
            <w:noWrap/>
            <w:hideMark/>
          </w:tcPr>
          <w:p w14:paraId="1B9B2BC3" w14:textId="77777777" w:rsidR="00357EC6" w:rsidRPr="002946A9" w:rsidRDefault="00357EC6" w:rsidP="00357EC6">
            <w:pPr>
              <w:jc w:val="center"/>
              <w:rPr>
                <w:rFonts w:cs="Calibri"/>
                <w:b w:val="0"/>
                <w:bCs w:val="0"/>
                <w:i/>
                <w:color w:val="000000"/>
                <w:sz w:val="20"/>
                <w:szCs w:val="20"/>
              </w:rPr>
            </w:pPr>
            <w:r w:rsidRPr="002946A9">
              <w:rPr>
                <w:rFonts w:cs="Calibri"/>
                <w:b w:val="0"/>
                <w:bCs w:val="0"/>
                <w:i/>
                <w:color w:val="000000"/>
                <w:sz w:val="20"/>
                <w:szCs w:val="20"/>
              </w:rPr>
              <w:t>9</w:t>
            </w:r>
          </w:p>
        </w:tc>
        <w:tc>
          <w:tcPr>
            <w:tcW w:w="3624" w:type="dxa"/>
            <w:noWrap/>
            <w:hideMark/>
          </w:tcPr>
          <w:p w14:paraId="2AEA9C40" w14:textId="77777777" w:rsidR="00357EC6" w:rsidRPr="002946A9" w:rsidRDefault="00357EC6" w:rsidP="00357EC6">
            <w:pPr>
              <w:jc w:val="left"/>
              <w:cnfStyle w:val="000000100000" w:firstRow="0" w:lastRow="0" w:firstColumn="0" w:lastColumn="0" w:oddVBand="0" w:evenVBand="0" w:oddHBand="1" w:evenHBand="0" w:firstRowFirstColumn="0" w:firstRowLastColumn="0" w:lastRowFirstColumn="0" w:lastRowLastColumn="0"/>
              <w:rPr>
                <w:rFonts w:cs="Calibri"/>
                <w:i/>
                <w:color w:val="000000"/>
                <w:sz w:val="20"/>
                <w:szCs w:val="20"/>
              </w:rPr>
            </w:pPr>
            <w:r w:rsidRPr="002946A9">
              <w:rPr>
                <w:rFonts w:cs="Calibri"/>
                <w:i/>
                <w:color w:val="000000"/>
                <w:sz w:val="20"/>
                <w:szCs w:val="20"/>
              </w:rPr>
              <w:t>Equipos de línea</w:t>
            </w:r>
          </w:p>
        </w:tc>
        <w:tc>
          <w:tcPr>
            <w:tcW w:w="1386" w:type="dxa"/>
            <w:noWrap/>
            <w:vAlign w:val="top"/>
          </w:tcPr>
          <w:p w14:paraId="057916E0" w14:textId="57626598" w:rsidR="00357EC6" w:rsidRPr="002946A9" w:rsidRDefault="00357EC6" w:rsidP="00357EC6">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91,624 </w:t>
            </w:r>
          </w:p>
        </w:tc>
      </w:tr>
      <w:tr w:rsidR="00357EC6" w:rsidRPr="002946A9" w14:paraId="0355F5F0" w14:textId="77777777" w:rsidTr="009A1D84">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78" w:type="dxa"/>
            <w:noWrap/>
            <w:hideMark/>
          </w:tcPr>
          <w:p w14:paraId="72BB0A01" w14:textId="77777777" w:rsidR="00357EC6" w:rsidRPr="002946A9" w:rsidRDefault="00357EC6" w:rsidP="00357EC6">
            <w:pPr>
              <w:jc w:val="center"/>
              <w:rPr>
                <w:rFonts w:cs="Calibri"/>
                <w:b w:val="0"/>
                <w:bCs w:val="0"/>
                <w:i/>
                <w:color w:val="000000"/>
                <w:sz w:val="20"/>
                <w:szCs w:val="20"/>
              </w:rPr>
            </w:pPr>
            <w:r w:rsidRPr="002946A9">
              <w:rPr>
                <w:rFonts w:cs="Calibri"/>
                <w:b w:val="0"/>
                <w:bCs w:val="0"/>
                <w:i/>
                <w:color w:val="000000"/>
                <w:sz w:val="20"/>
                <w:szCs w:val="20"/>
              </w:rPr>
              <w:t>10</w:t>
            </w:r>
          </w:p>
        </w:tc>
        <w:tc>
          <w:tcPr>
            <w:tcW w:w="3624" w:type="dxa"/>
            <w:noWrap/>
            <w:hideMark/>
          </w:tcPr>
          <w:p w14:paraId="0C7BC439" w14:textId="77777777" w:rsidR="00357EC6" w:rsidRPr="002946A9" w:rsidRDefault="00357EC6" w:rsidP="00357EC6">
            <w:pPr>
              <w:jc w:val="left"/>
              <w:cnfStyle w:val="000000010000" w:firstRow="0" w:lastRow="0" w:firstColumn="0" w:lastColumn="0" w:oddVBand="0" w:evenVBand="0" w:oddHBand="0" w:evenHBand="1" w:firstRowFirstColumn="0" w:firstRowLastColumn="0" w:lastRowFirstColumn="0" w:lastRowLastColumn="0"/>
              <w:rPr>
                <w:rFonts w:cs="Calibri"/>
                <w:i/>
                <w:color w:val="000000"/>
                <w:sz w:val="20"/>
                <w:szCs w:val="20"/>
              </w:rPr>
            </w:pPr>
            <w:r w:rsidRPr="002946A9">
              <w:rPr>
                <w:rFonts w:cs="Calibri"/>
                <w:i/>
                <w:color w:val="000000"/>
                <w:sz w:val="20"/>
                <w:szCs w:val="20"/>
              </w:rPr>
              <w:t>Centro de control</w:t>
            </w:r>
          </w:p>
        </w:tc>
        <w:tc>
          <w:tcPr>
            <w:tcW w:w="1386" w:type="dxa"/>
            <w:noWrap/>
            <w:vAlign w:val="top"/>
          </w:tcPr>
          <w:p w14:paraId="03237BED" w14:textId="3244BC5F" w:rsidR="00357EC6" w:rsidRPr="002946A9" w:rsidRDefault="00357EC6" w:rsidP="00357EC6">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w:t>
            </w:r>
            <w:r w:rsidR="00C7177B">
              <w:rPr>
                <w:sz w:val="20"/>
                <w:szCs w:val="20"/>
              </w:rPr>
              <w:t>108,423</w:t>
            </w:r>
            <w:r w:rsidRPr="002946A9">
              <w:rPr>
                <w:sz w:val="20"/>
                <w:szCs w:val="20"/>
              </w:rPr>
              <w:t xml:space="preserve"> </w:t>
            </w:r>
          </w:p>
        </w:tc>
      </w:tr>
      <w:tr w:rsidR="00357EC6" w:rsidRPr="002946A9" w14:paraId="5373EC29" w14:textId="77777777" w:rsidTr="009A1D84">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78" w:type="dxa"/>
            <w:noWrap/>
            <w:hideMark/>
          </w:tcPr>
          <w:p w14:paraId="13C8AC91" w14:textId="77777777" w:rsidR="00357EC6" w:rsidRPr="002946A9" w:rsidRDefault="00357EC6" w:rsidP="00357EC6">
            <w:pPr>
              <w:jc w:val="center"/>
              <w:rPr>
                <w:rFonts w:cs="Calibri"/>
                <w:b w:val="0"/>
                <w:bCs w:val="0"/>
                <w:i/>
                <w:color w:val="000000"/>
                <w:sz w:val="20"/>
                <w:szCs w:val="20"/>
              </w:rPr>
            </w:pPr>
            <w:r w:rsidRPr="002946A9">
              <w:rPr>
                <w:rFonts w:cs="Calibri"/>
                <w:b w:val="0"/>
                <w:bCs w:val="0"/>
                <w:i/>
                <w:color w:val="000000"/>
                <w:sz w:val="20"/>
                <w:szCs w:val="20"/>
              </w:rPr>
              <w:t>11</w:t>
            </w:r>
          </w:p>
        </w:tc>
        <w:tc>
          <w:tcPr>
            <w:tcW w:w="3624" w:type="dxa"/>
            <w:noWrap/>
            <w:hideMark/>
          </w:tcPr>
          <w:p w14:paraId="1490FFE1" w14:textId="77777777" w:rsidR="00357EC6" w:rsidRPr="002946A9" w:rsidRDefault="00357EC6" w:rsidP="00357EC6">
            <w:pPr>
              <w:jc w:val="left"/>
              <w:cnfStyle w:val="000000100000" w:firstRow="0" w:lastRow="0" w:firstColumn="0" w:lastColumn="0" w:oddVBand="0" w:evenVBand="0" w:oddHBand="1" w:evenHBand="0" w:firstRowFirstColumn="0" w:firstRowLastColumn="0" w:lastRowFirstColumn="0" w:lastRowLastColumn="0"/>
              <w:rPr>
                <w:rFonts w:cs="Calibri"/>
                <w:i/>
                <w:color w:val="000000"/>
                <w:sz w:val="20"/>
                <w:szCs w:val="20"/>
              </w:rPr>
            </w:pPr>
            <w:r w:rsidRPr="002946A9">
              <w:rPr>
                <w:rFonts w:cs="Calibri"/>
                <w:i/>
                <w:color w:val="000000"/>
                <w:sz w:val="20"/>
                <w:szCs w:val="20"/>
              </w:rPr>
              <w:t>Transformadores de distribución</w:t>
            </w:r>
          </w:p>
        </w:tc>
        <w:tc>
          <w:tcPr>
            <w:tcW w:w="1386" w:type="dxa"/>
            <w:noWrap/>
            <w:vAlign w:val="top"/>
          </w:tcPr>
          <w:p w14:paraId="19B5185A" w14:textId="2D343D6A" w:rsidR="00357EC6" w:rsidRPr="002946A9" w:rsidRDefault="00357EC6" w:rsidP="00357EC6">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185,714 </w:t>
            </w:r>
          </w:p>
        </w:tc>
      </w:tr>
      <w:tr w:rsidR="00357EC6" w:rsidRPr="002946A9" w14:paraId="2541C09F" w14:textId="77777777" w:rsidTr="009A1D84">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78" w:type="dxa"/>
            <w:noWrap/>
            <w:hideMark/>
          </w:tcPr>
          <w:p w14:paraId="2137C2C6" w14:textId="77777777" w:rsidR="00357EC6" w:rsidRPr="002946A9" w:rsidRDefault="00357EC6" w:rsidP="00357EC6">
            <w:pPr>
              <w:jc w:val="center"/>
              <w:rPr>
                <w:rFonts w:cs="Calibri"/>
                <w:b w:val="0"/>
                <w:bCs w:val="0"/>
                <w:i/>
                <w:color w:val="000000"/>
                <w:sz w:val="20"/>
                <w:szCs w:val="20"/>
              </w:rPr>
            </w:pPr>
            <w:r w:rsidRPr="002946A9">
              <w:rPr>
                <w:rFonts w:cs="Calibri"/>
                <w:b w:val="0"/>
                <w:bCs w:val="0"/>
                <w:i/>
                <w:color w:val="000000"/>
                <w:sz w:val="20"/>
                <w:szCs w:val="20"/>
              </w:rPr>
              <w:t>12</w:t>
            </w:r>
          </w:p>
        </w:tc>
        <w:tc>
          <w:tcPr>
            <w:tcW w:w="3624" w:type="dxa"/>
            <w:noWrap/>
            <w:hideMark/>
          </w:tcPr>
          <w:p w14:paraId="7337DA14" w14:textId="77777777" w:rsidR="00357EC6" w:rsidRPr="002946A9" w:rsidRDefault="00357EC6" w:rsidP="00357EC6">
            <w:pPr>
              <w:jc w:val="left"/>
              <w:cnfStyle w:val="000000010000" w:firstRow="0" w:lastRow="0" w:firstColumn="0" w:lastColumn="0" w:oddVBand="0" w:evenVBand="0" w:oddHBand="0" w:evenHBand="1" w:firstRowFirstColumn="0" w:firstRowLastColumn="0" w:lastRowFirstColumn="0" w:lastRowLastColumn="0"/>
              <w:rPr>
                <w:rFonts w:cs="Calibri"/>
                <w:i/>
                <w:color w:val="000000"/>
                <w:sz w:val="20"/>
                <w:szCs w:val="20"/>
              </w:rPr>
            </w:pPr>
            <w:r w:rsidRPr="002946A9">
              <w:rPr>
                <w:rFonts w:cs="Calibri"/>
                <w:i/>
                <w:color w:val="000000"/>
                <w:sz w:val="20"/>
                <w:szCs w:val="20"/>
              </w:rPr>
              <w:t>Redes de distribución</w:t>
            </w:r>
          </w:p>
        </w:tc>
        <w:tc>
          <w:tcPr>
            <w:tcW w:w="1386" w:type="dxa"/>
            <w:noWrap/>
            <w:vAlign w:val="top"/>
          </w:tcPr>
          <w:p w14:paraId="40B61B4A" w14:textId="4920A8C8" w:rsidR="00357EC6" w:rsidRPr="002946A9" w:rsidRDefault="00357EC6" w:rsidP="00357EC6">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209,154 </w:t>
            </w:r>
          </w:p>
        </w:tc>
      </w:tr>
      <w:tr w:rsidR="00357EC6" w:rsidRPr="002946A9" w14:paraId="7A4F5C28" w14:textId="77777777" w:rsidTr="009A1D84">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478" w:type="dxa"/>
            <w:noWrap/>
            <w:hideMark/>
          </w:tcPr>
          <w:p w14:paraId="66876C53" w14:textId="77777777" w:rsidR="00357EC6" w:rsidRPr="002946A9" w:rsidRDefault="00357EC6" w:rsidP="00357EC6">
            <w:pPr>
              <w:jc w:val="both"/>
              <w:rPr>
                <w:rFonts w:cs="Calibri"/>
                <w:bCs w:val="0"/>
                <w:color w:val="000000"/>
                <w:sz w:val="20"/>
                <w:szCs w:val="20"/>
              </w:rPr>
            </w:pPr>
            <w:r w:rsidRPr="002946A9">
              <w:rPr>
                <w:rFonts w:cs="Calibri"/>
                <w:bCs w:val="0"/>
                <w:color w:val="000000"/>
                <w:sz w:val="20"/>
                <w:szCs w:val="20"/>
              </w:rPr>
              <w:t>Total general</w:t>
            </w:r>
          </w:p>
        </w:tc>
        <w:tc>
          <w:tcPr>
            <w:tcW w:w="3624" w:type="dxa"/>
            <w:shd w:val="clear" w:color="auto" w:fill="BFE2A8" w:themeFill="accent2" w:themeFillTint="66"/>
            <w:noWrap/>
            <w:hideMark/>
          </w:tcPr>
          <w:p w14:paraId="7453A0D0" w14:textId="74161B97" w:rsidR="00357EC6" w:rsidRPr="002946A9" w:rsidRDefault="00357EC6" w:rsidP="00357EC6">
            <w:pPr>
              <w:jc w:val="both"/>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rPr>
            </w:pPr>
          </w:p>
        </w:tc>
        <w:tc>
          <w:tcPr>
            <w:tcW w:w="1386" w:type="dxa"/>
            <w:shd w:val="clear" w:color="auto" w:fill="BFE2A8" w:themeFill="accent2" w:themeFillTint="66"/>
            <w:noWrap/>
            <w:vAlign w:val="top"/>
            <w:hideMark/>
          </w:tcPr>
          <w:p w14:paraId="474D44A6" w14:textId="34FA7C97" w:rsidR="00357EC6" w:rsidRPr="002946A9" w:rsidRDefault="00357EC6" w:rsidP="00357EC6">
            <w:pPr>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rPr>
            </w:pPr>
            <w:r w:rsidRPr="002946A9">
              <w:rPr>
                <w:b/>
                <w:bCs/>
                <w:sz w:val="20"/>
                <w:szCs w:val="20"/>
              </w:rPr>
              <w:t xml:space="preserve"> 1,</w:t>
            </w:r>
            <w:r w:rsidR="00C7177B">
              <w:rPr>
                <w:b/>
                <w:bCs/>
                <w:sz w:val="20"/>
                <w:szCs w:val="20"/>
              </w:rPr>
              <w:t>750,338</w:t>
            </w:r>
            <w:r w:rsidRPr="002946A9">
              <w:rPr>
                <w:b/>
                <w:bCs/>
                <w:sz w:val="20"/>
                <w:szCs w:val="20"/>
              </w:rPr>
              <w:t xml:space="preserve"> </w:t>
            </w:r>
          </w:p>
        </w:tc>
      </w:tr>
      <w:tr w:rsidR="00CC475E" w:rsidRPr="002946A9" w14:paraId="069DA95C" w14:textId="77777777" w:rsidTr="007F2179">
        <w:trPr>
          <w:cnfStyle w:val="000000010000" w:firstRow="0" w:lastRow="0" w:firstColumn="0" w:lastColumn="0" w:oddVBand="0" w:evenVBand="0" w:oddHBand="0" w:evenHBand="1"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6488" w:type="dxa"/>
            <w:gridSpan w:val="3"/>
            <w:shd w:val="clear" w:color="auto" w:fill="DFF0D3" w:themeFill="accent2" w:themeFillTint="33"/>
            <w:noWrap/>
          </w:tcPr>
          <w:p w14:paraId="0EAFBACB" w14:textId="2EEAA44B" w:rsidR="00CC475E" w:rsidRPr="002946A9" w:rsidRDefault="00EF7054" w:rsidP="00DF29CB">
            <w:pPr>
              <w:jc w:val="both"/>
              <w:rPr>
                <w:rFonts w:cs="Calibri"/>
                <w:b w:val="0"/>
                <w:bCs w:val="0"/>
                <w:color w:val="000000"/>
                <w:sz w:val="18"/>
                <w:szCs w:val="18"/>
              </w:rPr>
            </w:pPr>
            <w:r w:rsidRPr="002946A9">
              <w:rPr>
                <w:rFonts w:cs="Calibri"/>
                <w:b w:val="0"/>
                <w:bCs w:val="0"/>
                <w:i/>
                <w:color w:val="000000"/>
                <w:sz w:val="18"/>
                <w:szCs w:val="18"/>
              </w:rPr>
              <w:t>* Valores en millones de pesos a diciembre del 2017</w:t>
            </w:r>
            <w:r w:rsidR="003C1F13" w:rsidRPr="002946A9">
              <w:rPr>
                <w:rFonts w:cs="Calibri"/>
                <w:b w:val="0"/>
                <w:bCs w:val="0"/>
                <w:i/>
                <w:color w:val="000000"/>
                <w:sz w:val="18"/>
                <w:szCs w:val="18"/>
              </w:rPr>
              <w:t>.</w:t>
            </w:r>
          </w:p>
        </w:tc>
      </w:tr>
    </w:tbl>
    <w:p w14:paraId="4B75F63A" w14:textId="77777777" w:rsidR="008A4F2D" w:rsidRPr="002946A9" w:rsidRDefault="008A4F2D" w:rsidP="00DF29CB">
      <w:pPr>
        <w:spacing w:after="0"/>
        <w:ind w:left="360"/>
        <w:jc w:val="both"/>
        <w:rPr>
          <w:rFonts w:ascii="Trebuchet MS" w:hAnsi="Trebuchet MS"/>
          <w:szCs w:val="24"/>
        </w:rPr>
      </w:pPr>
    </w:p>
    <w:p w14:paraId="1962E39D" w14:textId="233D856D" w:rsidR="000A09AA" w:rsidRPr="002946A9" w:rsidRDefault="00351500" w:rsidP="00DF29CB">
      <w:pPr>
        <w:spacing w:after="0"/>
        <w:ind w:left="360"/>
        <w:jc w:val="both"/>
        <w:rPr>
          <w:rFonts w:ascii="Trebuchet MS" w:hAnsi="Trebuchet MS"/>
          <w:szCs w:val="24"/>
        </w:rPr>
      </w:pPr>
      <w:r w:rsidRPr="002946A9">
        <w:rPr>
          <w:rFonts w:ascii="Trebuchet MS" w:hAnsi="Trebuchet MS"/>
          <w:szCs w:val="24"/>
        </w:rPr>
        <w:t xml:space="preserve">Se observa que </w:t>
      </w:r>
      <w:r w:rsidR="003A7D9D" w:rsidRPr="002946A9">
        <w:rPr>
          <w:rFonts w:ascii="Trebuchet MS" w:hAnsi="Trebuchet MS"/>
          <w:szCs w:val="24"/>
        </w:rPr>
        <w:t>la mayor inversión se plantea para líneas aéreas</w:t>
      </w:r>
      <w:r w:rsidR="00DC429F" w:rsidRPr="002946A9">
        <w:rPr>
          <w:rFonts w:ascii="Trebuchet MS" w:hAnsi="Trebuchet MS"/>
          <w:szCs w:val="24"/>
        </w:rPr>
        <w:t xml:space="preserve"> (categoría 7)</w:t>
      </w:r>
      <w:r w:rsidR="002E7640" w:rsidRPr="002946A9">
        <w:rPr>
          <w:rFonts w:ascii="Trebuchet MS" w:hAnsi="Trebuchet MS"/>
          <w:szCs w:val="24"/>
        </w:rPr>
        <w:t xml:space="preserve">, por valor de </w:t>
      </w:r>
      <w:r w:rsidR="00357EC6" w:rsidRPr="002946A9">
        <w:rPr>
          <w:rFonts w:ascii="Trebuchet MS" w:hAnsi="Trebuchet MS"/>
          <w:szCs w:val="24"/>
        </w:rPr>
        <w:t>740,163</w:t>
      </w:r>
      <w:r w:rsidR="0024134D" w:rsidRPr="002946A9">
        <w:rPr>
          <w:rFonts w:ascii="Trebuchet MS" w:hAnsi="Trebuchet MS"/>
          <w:szCs w:val="24"/>
        </w:rPr>
        <w:t xml:space="preserve"> millones de pesos, lo que corresponde al </w:t>
      </w:r>
      <w:r w:rsidR="005D0175" w:rsidRPr="002946A9">
        <w:rPr>
          <w:rFonts w:ascii="Trebuchet MS" w:hAnsi="Trebuchet MS"/>
          <w:szCs w:val="24"/>
        </w:rPr>
        <w:t>4</w:t>
      </w:r>
      <w:r w:rsidR="00357EC6" w:rsidRPr="002946A9">
        <w:rPr>
          <w:rFonts w:ascii="Trebuchet MS" w:hAnsi="Trebuchet MS"/>
          <w:szCs w:val="24"/>
        </w:rPr>
        <w:t>2</w:t>
      </w:r>
      <w:r w:rsidR="005D0175" w:rsidRPr="002946A9">
        <w:rPr>
          <w:rFonts w:ascii="Trebuchet MS" w:hAnsi="Trebuchet MS"/>
          <w:szCs w:val="24"/>
        </w:rPr>
        <w:t>.</w:t>
      </w:r>
      <w:r w:rsidR="004101D5">
        <w:rPr>
          <w:rFonts w:ascii="Trebuchet MS" w:hAnsi="Trebuchet MS"/>
          <w:szCs w:val="24"/>
        </w:rPr>
        <w:t>29</w:t>
      </w:r>
      <w:r w:rsidR="005D0175" w:rsidRPr="002946A9">
        <w:rPr>
          <w:rFonts w:ascii="Trebuchet MS" w:hAnsi="Trebuchet MS"/>
          <w:szCs w:val="24"/>
        </w:rPr>
        <w:t>% del plan.</w:t>
      </w:r>
      <w:r w:rsidR="000939F4" w:rsidRPr="002946A9">
        <w:rPr>
          <w:rFonts w:ascii="Trebuchet MS" w:hAnsi="Trebuchet MS"/>
          <w:szCs w:val="24"/>
        </w:rPr>
        <w:t xml:space="preserve"> Para la categoría 2, en </w:t>
      </w:r>
      <w:r w:rsidR="007806AB" w:rsidRPr="002946A9">
        <w:rPr>
          <w:rFonts w:ascii="Trebuchet MS" w:hAnsi="Trebuchet MS"/>
          <w:szCs w:val="24"/>
        </w:rPr>
        <w:t>la inversión se planea a demanda, mediante la solicitud de unidades constructivas especiales, por lo que no se considera un valor planeado.</w:t>
      </w:r>
    </w:p>
    <w:p w14:paraId="60E75565" w14:textId="56728F33" w:rsidR="00AB6D6C" w:rsidRPr="002946A9" w:rsidRDefault="00AB6D6C" w:rsidP="00DF29CB">
      <w:pPr>
        <w:ind w:left="360"/>
        <w:jc w:val="both"/>
        <w:rPr>
          <w:rFonts w:ascii="Trebuchet MS" w:hAnsi="Trebuchet MS"/>
          <w:szCs w:val="24"/>
        </w:rPr>
      </w:pPr>
    </w:p>
    <w:p w14:paraId="57ED70B6" w14:textId="552579D1" w:rsidR="000A09AA" w:rsidRPr="002946A9" w:rsidRDefault="00556F9B" w:rsidP="00DF29CB">
      <w:pPr>
        <w:numPr>
          <w:ilvl w:val="2"/>
          <w:numId w:val="2"/>
        </w:numPr>
        <w:ind w:left="1225" w:hanging="505"/>
        <w:jc w:val="both"/>
        <w:outlineLvl w:val="2"/>
        <w:rPr>
          <w:rFonts w:ascii="Trebuchet MS" w:hAnsi="Trebuchet MS"/>
          <w:b/>
          <w:bCs/>
          <w:szCs w:val="24"/>
        </w:rPr>
      </w:pPr>
      <w:bookmarkStart w:id="132" w:name="_Toc131109346"/>
      <w:r w:rsidRPr="002946A9">
        <w:rPr>
          <w:rFonts w:ascii="Trebuchet MS" w:hAnsi="Trebuchet MS"/>
          <w:b/>
          <w:bCs/>
          <w:szCs w:val="24"/>
        </w:rPr>
        <w:t>I</w:t>
      </w:r>
      <w:r w:rsidR="008E7582" w:rsidRPr="002946A9">
        <w:rPr>
          <w:rFonts w:ascii="Trebuchet MS" w:hAnsi="Trebuchet MS"/>
          <w:b/>
          <w:bCs/>
          <w:szCs w:val="24"/>
        </w:rPr>
        <w:t>nversiones</w:t>
      </w:r>
      <w:r w:rsidRPr="002946A9">
        <w:rPr>
          <w:rFonts w:ascii="Trebuchet MS" w:hAnsi="Trebuchet MS"/>
          <w:b/>
          <w:bCs/>
          <w:szCs w:val="24"/>
        </w:rPr>
        <w:t xml:space="preserve"> por expansión, reposición, calidad y pérdidas</w:t>
      </w:r>
      <w:bookmarkEnd w:id="132"/>
      <w:r w:rsidR="000A09AA" w:rsidRPr="002946A9">
        <w:rPr>
          <w:rFonts w:ascii="Trebuchet MS" w:hAnsi="Trebuchet MS"/>
          <w:b/>
          <w:bCs/>
          <w:szCs w:val="24"/>
        </w:rPr>
        <w:t xml:space="preserve">  </w:t>
      </w:r>
    </w:p>
    <w:p w14:paraId="7E0439F6" w14:textId="16A49118" w:rsidR="00331F3B" w:rsidRPr="002946A9" w:rsidRDefault="008462F0" w:rsidP="00DF29CB">
      <w:pPr>
        <w:ind w:left="360"/>
        <w:jc w:val="both"/>
        <w:rPr>
          <w:rFonts w:ascii="Trebuchet MS" w:hAnsi="Trebuchet MS"/>
          <w:szCs w:val="24"/>
        </w:rPr>
      </w:pPr>
      <w:r w:rsidRPr="002946A9">
        <w:rPr>
          <w:rFonts w:ascii="Trebuchet MS" w:hAnsi="Trebuchet MS"/>
          <w:szCs w:val="24"/>
        </w:rPr>
        <w:t xml:space="preserve">Las inversiones en </w:t>
      </w:r>
      <w:r w:rsidR="0038251A" w:rsidRPr="002946A9">
        <w:rPr>
          <w:rFonts w:ascii="Trebuchet MS" w:hAnsi="Trebuchet MS"/>
          <w:szCs w:val="24"/>
        </w:rPr>
        <w:t xml:space="preserve">expansión, reposición, calidad, reducción y mantenimiento de pérdidas se </w:t>
      </w:r>
      <w:r w:rsidR="009404CE" w:rsidRPr="002946A9">
        <w:rPr>
          <w:rFonts w:ascii="Trebuchet MS" w:hAnsi="Trebuchet MS"/>
          <w:szCs w:val="24"/>
        </w:rPr>
        <w:t>presentan</w:t>
      </w:r>
      <w:r w:rsidR="0038251A" w:rsidRPr="002946A9">
        <w:rPr>
          <w:rFonts w:ascii="Trebuchet MS" w:hAnsi="Trebuchet MS"/>
          <w:szCs w:val="24"/>
        </w:rPr>
        <w:t xml:space="preserve"> a continuación:</w:t>
      </w:r>
    </w:p>
    <w:p w14:paraId="511ABD2B" w14:textId="77777777" w:rsidR="005B4962" w:rsidRPr="002946A9" w:rsidRDefault="005B4962" w:rsidP="00DF29CB">
      <w:pPr>
        <w:spacing w:after="0"/>
        <w:ind w:left="1416" w:hanging="1056"/>
        <w:jc w:val="both"/>
        <w:rPr>
          <w:rFonts w:ascii="Trebuchet MS" w:hAnsi="Trebuchet MS"/>
        </w:rPr>
      </w:pPr>
      <w:bookmarkStart w:id="133" w:name="_Ref66442679"/>
    </w:p>
    <w:p w14:paraId="3642D777" w14:textId="6D53E84F" w:rsidR="007166AB" w:rsidRPr="002946A9" w:rsidRDefault="007166AB" w:rsidP="00DF29CB">
      <w:pPr>
        <w:ind w:left="1416" w:hanging="1056"/>
        <w:jc w:val="both"/>
        <w:rPr>
          <w:rFonts w:ascii="Trebuchet MS" w:hAnsi="Trebuchet MS"/>
        </w:rPr>
      </w:pPr>
      <w:bookmarkStart w:id="134" w:name="_Ref66954807"/>
      <w:bookmarkStart w:id="135" w:name="_Toc131032777"/>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9</w:t>
      </w:r>
      <w:r w:rsidRPr="002946A9">
        <w:rPr>
          <w:rFonts w:ascii="Trebuchet MS" w:hAnsi="Trebuchet MS"/>
        </w:rPr>
        <w:fldChar w:fldCharType="end"/>
      </w:r>
      <w:bookmarkEnd w:id="133"/>
      <w:bookmarkEnd w:id="134"/>
      <w:r w:rsidRPr="002946A9">
        <w:rPr>
          <w:rFonts w:ascii="Trebuchet MS" w:hAnsi="Trebuchet MS"/>
        </w:rPr>
        <w:t xml:space="preserve"> </w:t>
      </w:r>
      <w:r w:rsidR="00F35FCA" w:rsidRPr="002946A9">
        <w:rPr>
          <w:rFonts w:ascii="Trebuchet MS" w:hAnsi="Trebuchet MS"/>
        </w:rPr>
        <w:t xml:space="preserve"> </w:t>
      </w:r>
      <w:r w:rsidRPr="002946A9">
        <w:rPr>
          <w:rFonts w:ascii="Trebuchet MS" w:hAnsi="Trebuchet MS"/>
        </w:rPr>
        <w:t>Inversiones plan 20</w:t>
      </w:r>
      <w:r w:rsidR="00480C64" w:rsidRPr="002946A9">
        <w:rPr>
          <w:rFonts w:ascii="Trebuchet MS" w:hAnsi="Trebuchet MS"/>
        </w:rPr>
        <w:t>20</w:t>
      </w:r>
      <w:r w:rsidRPr="002946A9">
        <w:rPr>
          <w:rFonts w:ascii="Trebuchet MS" w:hAnsi="Trebuchet MS"/>
        </w:rPr>
        <w:t xml:space="preserve"> – 202</w:t>
      </w:r>
      <w:r w:rsidR="00480C64" w:rsidRPr="002946A9">
        <w:rPr>
          <w:rFonts w:ascii="Trebuchet MS" w:hAnsi="Trebuchet MS"/>
        </w:rPr>
        <w:t>5</w:t>
      </w:r>
      <w:r w:rsidRPr="002946A9">
        <w:rPr>
          <w:rFonts w:ascii="Trebuchet MS" w:hAnsi="Trebuchet MS"/>
        </w:rPr>
        <w:t xml:space="preserve"> </w:t>
      </w:r>
      <w:r w:rsidR="00F519AC" w:rsidRPr="002946A9">
        <w:rPr>
          <w:rFonts w:ascii="Trebuchet MS" w:hAnsi="Trebuchet MS"/>
        </w:rPr>
        <w:t>según su clasificación</w:t>
      </w:r>
      <w:r w:rsidRPr="002946A9">
        <w:rPr>
          <w:rFonts w:ascii="Trebuchet MS" w:hAnsi="Trebuchet MS"/>
        </w:rPr>
        <w:t>.</w:t>
      </w:r>
      <w:bookmarkEnd w:id="135"/>
    </w:p>
    <w:tbl>
      <w:tblPr>
        <w:tblStyle w:val="Tablaconcuadrcula5oscura-nfasis1"/>
        <w:tblW w:w="7225" w:type="dxa"/>
        <w:jc w:val="center"/>
        <w:tblLayout w:type="fixed"/>
        <w:tblLook w:val="04A0" w:firstRow="1" w:lastRow="0" w:firstColumn="1" w:lastColumn="0" w:noHBand="0" w:noVBand="1"/>
      </w:tblPr>
      <w:tblGrid>
        <w:gridCol w:w="3834"/>
        <w:gridCol w:w="3391"/>
      </w:tblGrid>
      <w:tr w:rsidR="00DE225A" w:rsidRPr="002946A9" w14:paraId="28DB6DCD" w14:textId="77777777" w:rsidTr="003008A0">
        <w:trPr>
          <w:cnfStyle w:val="100000000000" w:firstRow="1" w:lastRow="0" w:firstColumn="0" w:lastColumn="0" w:oddVBand="0" w:evenVBand="0" w:oddHBand="0" w:evenHBand="0" w:firstRowFirstColumn="0" w:firstRowLastColumn="0" w:lastRowFirstColumn="0" w:lastRowLastColumn="0"/>
          <w:trHeight w:val="12"/>
          <w:tblHeader/>
          <w:jc w:val="center"/>
        </w:trPr>
        <w:tc>
          <w:tcPr>
            <w:cnfStyle w:val="001000000000" w:firstRow="0" w:lastRow="0" w:firstColumn="1" w:lastColumn="0" w:oddVBand="0" w:evenVBand="0" w:oddHBand="0" w:evenHBand="0" w:firstRowFirstColumn="0" w:firstRowLastColumn="0" w:lastRowFirstColumn="0" w:lastRowLastColumn="0"/>
            <w:tcW w:w="3834" w:type="dxa"/>
            <w:noWrap/>
            <w:hideMark/>
          </w:tcPr>
          <w:p w14:paraId="4773CB92" w14:textId="77777777" w:rsidR="003C1F13" w:rsidRPr="002946A9" w:rsidRDefault="003C1F13" w:rsidP="003008A0">
            <w:pPr>
              <w:rPr>
                <w:rFonts w:cs="Calibri"/>
                <w:bCs w:val="0"/>
                <w:color w:val="000000"/>
                <w:sz w:val="20"/>
                <w:szCs w:val="20"/>
              </w:rPr>
            </w:pPr>
            <w:r w:rsidRPr="002946A9">
              <w:rPr>
                <w:rFonts w:cs="Calibri"/>
                <w:bCs w:val="0"/>
                <w:color w:val="000000"/>
                <w:sz w:val="20"/>
                <w:szCs w:val="20"/>
              </w:rPr>
              <w:t>Clasificación</w:t>
            </w:r>
          </w:p>
        </w:tc>
        <w:tc>
          <w:tcPr>
            <w:tcW w:w="3391" w:type="dxa"/>
            <w:noWrap/>
            <w:hideMark/>
          </w:tcPr>
          <w:p w14:paraId="405570F6" w14:textId="316FA898" w:rsidR="003C1F13" w:rsidRPr="002946A9" w:rsidRDefault="003C1F13" w:rsidP="003008A0">
            <w:pPr>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rPr>
            </w:pPr>
            <w:r w:rsidRPr="002946A9">
              <w:rPr>
                <w:rFonts w:cs="Calibri"/>
                <w:bCs w:val="0"/>
                <w:color w:val="000000"/>
                <w:sz w:val="20"/>
                <w:szCs w:val="20"/>
              </w:rPr>
              <w:t>Total inversiones</w:t>
            </w:r>
            <w:r w:rsidR="00A92EF8" w:rsidRPr="002946A9">
              <w:rPr>
                <w:rFonts w:cs="Calibri"/>
                <w:bCs w:val="0"/>
                <w:color w:val="000000"/>
                <w:sz w:val="20"/>
                <w:szCs w:val="20"/>
              </w:rPr>
              <w:t>*</w:t>
            </w:r>
          </w:p>
        </w:tc>
      </w:tr>
      <w:tr w:rsidR="00480C64" w:rsidRPr="002946A9" w14:paraId="3A02397B" w14:textId="77777777" w:rsidTr="0003636D">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3834" w:type="dxa"/>
            <w:noWrap/>
            <w:hideMark/>
          </w:tcPr>
          <w:p w14:paraId="0510228D" w14:textId="77777777" w:rsidR="00480C64" w:rsidRPr="002946A9" w:rsidRDefault="00480C64" w:rsidP="00480C64">
            <w:pPr>
              <w:jc w:val="both"/>
              <w:rPr>
                <w:rFonts w:cs="Calibri"/>
                <w:b w:val="0"/>
                <w:i/>
                <w:color w:val="000000"/>
                <w:sz w:val="20"/>
                <w:szCs w:val="20"/>
              </w:rPr>
            </w:pPr>
            <w:r w:rsidRPr="002946A9">
              <w:rPr>
                <w:rFonts w:cs="Calibri"/>
                <w:b w:val="0"/>
                <w:i/>
                <w:color w:val="000000"/>
                <w:sz w:val="20"/>
                <w:szCs w:val="20"/>
              </w:rPr>
              <w:t>Expansión</w:t>
            </w:r>
          </w:p>
        </w:tc>
        <w:tc>
          <w:tcPr>
            <w:tcW w:w="3391" w:type="dxa"/>
            <w:noWrap/>
            <w:vAlign w:val="top"/>
          </w:tcPr>
          <w:p w14:paraId="570A1CDD" w14:textId="3A4B90DD" w:rsidR="00480C64" w:rsidRPr="002946A9" w:rsidRDefault="00480C64" w:rsidP="00480C64">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w:t>
            </w:r>
            <w:r w:rsidR="0091424B">
              <w:rPr>
                <w:sz w:val="20"/>
                <w:szCs w:val="20"/>
              </w:rPr>
              <w:t>683,312</w:t>
            </w:r>
            <w:r w:rsidRPr="002946A9">
              <w:rPr>
                <w:sz w:val="20"/>
                <w:szCs w:val="20"/>
              </w:rPr>
              <w:t xml:space="preserve"> </w:t>
            </w:r>
          </w:p>
        </w:tc>
      </w:tr>
      <w:tr w:rsidR="00480C64" w:rsidRPr="002946A9" w14:paraId="16C63A05" w14:textId="77777777" w:rsidTr="0003636D">
        <w:trPr>
          <w:cnfStyle w:val="000000010000" w:firstRow="0" w:lastRow="0" w:firstColumn="0" w:lastColumn="0" w:oddVBand="0" w:evenVBand="0" w:oddHBand="0" w:evenHBand="1"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3834" w:type="dxa"/>
            <w:noWrap/>
            <w:hideMark/>
          </w:tcPr>
          <w:p w14:paraId="0263EC71" w14:textId="77777777" w:rsidR="00480C64" w:rsidRPr="002946A9" w:rsidRDefault="00480C64" w:rsidP="00480C64">
            <w:pPr>
              <w:jc w:val="both"/>
              <w:rPr>
                <w:rFonts w:cs="Calibri"/>
                <w:b w:val="0"/>
                <w:i/>
                <w:color w:val="000000"/>
                <w:sz w:val="20"/>
                <w:szCs w:val="20"/>
              </w:rPr>
            </w:pPr>
            <w:r w:rsidRPr="002946A9">
              <w:rPr>
                <w:rFonts w:cs="Calibri"/>
                <w:b w:val="0"/>
                <w:i/>
                <w:color w:val="000000"/>
                <w:sz w:val="20"/>
                <w:szCs w:val="20"/>
              </w:rPr>
              <w:t>Reposición</w:t>
            </w:r>
          </w:p>
        </w:tc>
        <w:tc>
          <w:tcPr>
            <w:tcW w:w="3391" w:type="dxa"/>
            <w:noWrap/>
            <w:vAlign w:val="top"/>
          </w:tcPr>
          <w:p w14:paraId="4E726CD6" w14:textId="43FBBEE5" w:rsidR="00480C64" w:rsidRPr="002946A9" w:rsidRDefault="00480C64" w:rsidP="00480C64">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929,958 </w:t>
            </w:r>
          </w:p>
        </w:tc>
      </w:tr>
      <w:tr w:rsidR="00480C64" w:rsidRPr="002946A9" w14:paraId="1C8D77D4" w14:textId="77777777" w:rsidTr="0003636D">
        <w:trPr>
          <w:cnfStyle w:val="000000100000" w:firstRow="0" w:lastRow="0" w:firstColumn="0" w:lastColumn="0" w:oddVBand="0" w:evenVBand="0" w:oddHBand="1" w:evenHBand="0"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3834" w:type="dxa"/>
            <w:noWrap/>
            <w:hideMark/>
          </w:tcPr>
          <w:p w14:paraId="4DAC87FD" w14:textId="77777777" w:rsidR="00480C64" w:rsidRPr="002946A9" w:rsidRDefault="00480C64" w:rsidP="00480C64">
            <w:pPr>
              <w:jc w:val="both"/>
              <w:rPr>
                <w:rFonts w:cs="Calibri"/>
                <w:b w:val="0"/>
                <w:i/>
                <w:color w:val="000000"/>
                <w:sz w:val="20"/>
                <w:szCs w:val="20"/>
              </w:rPr>
            </w:pPr>
            <w:r w:rsidRPr="002946A9">
              <w:rPr>
                <w:rFonts w:cs="Calibri"/>
                <w:b w:val="0"/>
                <w:i/>
                <w:color w:val="000000"/>
                <w:sz w:val="20"/>
                <w:szCs w:val="20"/>
              </w:rPr>
              <w:t>Calidad del servicio</w:t>
            </w:r>
          </w:p>
        </w:tc>
        <w:tc>
          <w:tcPr>
            <w:tcW w:w="3391" w:type="dxa"/>
            <w:noWrap/>
            <w:vAlign w:val="top"/>
          </w:tcPr>
          <w:p w14:paraId="6EE9DB42" w14:textId="791F15F9" w:rsidR="00480C64" w:rsidRPr="002946A9" w:rsidRDefault="00480C64" w:rsidP="00480C64">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77,312 </w:t>
            </w:r>
          </w:p>
        </w:tc>
      </w:tr>
      <w:tr w:rsidR="00480C64" w:rsidRPr="002946A9" w14:paraId="389841F6" w14:textId="77777777" w:rsidTr="0003636D">
        <w:trPr>
          <w:cnfStyle w:val="000000010000" w:firstRow="0" w:lastRow="0" w:firstColumn="0" w:lastColumn="0" w:oddVBand="0" w:evenVBand="0" w:oddHBand="0" w:evenHBand="1"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3834" w:type="dxa"/>
            <w:noWrap/>
            <w:hideMark/>
          </w:tcPr>
          <w:p w14:paraId="7A3AB570" w14:textId="77777777" w:rsidR="00480C64" w:rsidRPr="002946A9" w:rsidRDefault="00480C64" w:rsidP="00480C64">
            <w:pPr>
              <w:jc w:val="both"/>
              <w:rPr>
                <w:rFonts w:cs="Calibri"/>
                <w:b w:val="0"/>
                <w:i/>
                <w:color w:val="000000"/>
                <w:sz w:val="20"/>
                <w:szCs w:val="20"/>
              </w:rPr>
            </w:pPr>
            <w:r w:rsidRPr="002946A9">
              <w:rPr>
                <w:rFonts w:cs="Calibri"/>
                <w:b w:val="0"/>
                <w:i/>
                <w:color w:val="000000"/>
                <w:sz w:val="20"/>
                <w:szCs w:val="20"/>
              </w:rPr>
              <w:t>Reducción y mantenimiento de pérdidas</w:t>
            </w:r>
          </w:p>
        </w:tc>
        <w:tc>
          <w:tcPr>
            <w:tcW w:w="3391" w:type="dxa"/>
            <w:noWrap/>
            <w:vAlign w:val="top"/>
          </w:tcPr>
          <w:p w14:paraId="394F7715" w14:textId="2924C9F0" w:rsidR="00480C64" w:rsidRPr="002946A9" w:rsidRDefault="00480C64" w:rsidP="00480C64">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59,756 </w:t>
            </w:r>
          </w:p>
        </w:tc>
      </w:tr>
      <w:tr w:rsidR="00480C64" w:rsidRPr="002946A9" w14:paraId="798B7438" w14:textId="77777777" w:rsidTr="0003636D">
        <w:trPr>
          <w:cnfStyle w:val="000000100000" w:firstRow="0" w:lastRow="0" w:firstColumn="0" w:lastColumn="0" w:oddVBand="0" w:evenVBand="0" w:oddHBand="1" w:evenHBand="0"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3834" w:type="dxa"/>
            <w:noWrap/>
            <w:hideMark/>
          </w:tcPr>
          <w:p w14:paraId="44275255" w14:textId="77777777" w:rsidR="00480C64" w:rsidRPr="002946A9" w:rsidRDefault="00480C64" w:rsidP="00480C64">
            <w:pPr>
              <w:jc w:val="center"/>
              <w:rPr>
                <w:rFonts w:cs="Calibri"/>
                <w:bCs w:val="0"/>
                <w:color w:val="000000"/>
                <w:sz w:val="20"/>
                <w:szCs w:val="20"/>
              </w:rPr>
            </w:pPr>
            <w:r w:rsidRPr="002946A9">
              <w:rPr>
                <w:rFonts w:cs="Calibri"/>
                <w:bCs w:val="0"/>
                <w:color w:val="000000"/>
                <w:sz w:val="20"/>
                <w:szCs w:val="20"/>
              </w:rPr>
              <w:t>Total general</w:t>
            </w:r>
          </w:p>
        </w:tc>
        <w:tc>
          <w:tcPr>
            <w:tcW w:w="3391" w:type="dxa"/>
            <w:shd w:val="clear" w:color="auto" w:fill="BFE2A8" w:themeFill="accent2" w:themeFillTint="66"/>
            <w:noWrap/>
            <w:vAlign w:val="top"/>
            <w:hideMark/>
          </w:tcPr>
          <w:p w14:paraId="338E6A29" w14:textId="6E7495B5" w:rsidR="00480C64" w:rsidRPr="002946A9" w:rsidRDefault="00480C64" w:rsidP="00480C64">
            <w:pPr>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rPr>
            </w:pPr>
            <w:r w:rsidRPr="002946A9">
              <w:rPr>
                <w:b/>
                <w:bCs/>
                <w:sz w:val="20"/>
                <w:szCs w:val="20"/>
              </w:rPr>
              <w:t xml:space="preserve"> 1,</w:t>
            </w:r>
            <w:r w:rsidR="0091424B">
              <w:rPr>
                <w:b/>
                <w:bCs/>
                <w:sz w:val="20"/>
                <w:szCs w:val="20"/>
              </w:rPr>
              <w:t>750,338</w:t>
            </w:r>
            <w:r w:rsidRPr="002946A9">
              <w:rPr>
                <w:b/>
                <w:bCs/>
                <w:sz w:val="20"/>
                <w:szCs w:val="20"/>
              </w:rPr>
              <w:t xml:space="preserve"> </w:t>
            </w:r>
          </w:p>
        </w:tc>
      </w:tr>
      <w:tr w:rsidR="003C1F13" w:rsidRPr="002946A9" w14:paraId="270717F3" w14:textId="77777777" w:rsidTr="003008A0">
        <w:trPr>
          <w:cnfStyle w:val="000000010000" w:firstRow="0" w:lastRow="0" w:firstColumn="0" w:lastColumn="0" w:oddVBand="0" w:evenVBand="0" w:oddHBand="0" w:evenHBand="1"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7225" w:type="dxa"/>
            <w:gridSpan w:val="2"/>
            <w:shd w:val="clear" w:color="auto" w:fill="DFF0D3" w:themeFill="accent2" w:themeFillTint="33"/>
            <w:noWrap/>
          </w:tcPr>
          <w:p w14:paraId="6F3A34C3" w14:textId="33ADE67A" w:rsidR="003C1F13" w:rsidRPr="002946A9" w:rsidRDefault="00A92EF8" w:rsidP="003008A0">
            <w:pPr>
              <w:rPr>
                <w:rFonts w:cs="Calibri"/>
                <w:b w:val="0"/>
                <w:bCs w:val="0"/>
                <w:color w:val="000000"/>
                <w:sz w:val="20"/>
                <w:szCs w:val="20"/>
              </w:rPr>
            </w:pPr>
            <w:r w:rsidRPr="002946A9">
              <w:rPr>
                <w:rFonts w:cs="Calibri"/>
                <w:b w:val="0"/>
                <w:bCs w:val="0"/>
                <w:i/>
                <w:color w:val="000000"/>
                <w:sz w:val="18"/>
                <w:szCs w:val="18"/>
              </w:rPr>
              <w:t>* Valores en millones de pesos a diciembre del 2017.</w:t>
            </w:r>
          </w:p>
        </w:tc>
      </w:tr>
    </w:tbl>
    <w:p w14:paraId="4585AB5E" w14:textId="77777777" w:rsidR="00331F3B" w:rsidRPr="002946A9" w:rsidRDefault="00331F3B" w:rsidP="00DF29CB">
      <w:pPr>
        <w:spacing w:after="0"/>
        <w:ind w:left="360"/>
        <w:jc w:val="both"/>
        <w:rPr>
          <w:rFonts w:ascii="Trebuchet MS" w:hAnsi="Trebuchet MS"/>
          <w:szCs w:val="24"/>
        </w:rPr>
      </w:pPr>
    </w:p>
    <w:p w14:paraId="4B09D041" w14:textId="400DA5D5" w:rsidR="000A09AA" w:rsidRPr="002946A9" w:rsidRDefault="0038251A" w:rsidP="00DF29CB">
      <w:pPr>
        <w:spacing w:after="0"/>
        <w:ind w:left="360"/>
        <w:jc w:val="both"/>
        <w:rPr>
          <w:rFonts w:ascii="Trebuchet MS" w:hAnsi="Trebuchet MS"/>
          <w:szCs w:val="24"/>
        </w:rPr>
      </w:pPr>
      <w:r w:rsidRPr="002946A9">
        <w:rPr>
          <w:rFonts w:ascii="Trebuchet MS" w:hAnsi="Trebuchet MS"/>
          <w:szCs w:val="24"/>
        </w:rPr>
        <w:t xml:space="preserve">El monto más grande de inversión se proyecta para </w:t>
      </w:r>
      <w:r w:rsidR="006675E5" w:rsidRPr="002946A9">
        <w:rPr>
          <w:rFonts w:ascii="Trebuchet MS" w:hAnsi="Trebuchet MS"/>
          <w:szCs w:val="24"/>
        </w:rPr>
        <w:t>la reposición de activos</w:t>
      </w:r>
      <w:r w:rsidR="008B30BF" w:rsidRPr="002946A9">
        <w:rPr>
          <w:rFonts w:ascii="Trebuchet MS" w:hAnsi="Trebuchet MS"/>
          <w:szCs w:val="24"/>
        </w:rPr>
        <w:t xml:space="preserve">, por un valor de </w:t>
      </w:r>
      <w:r w:rsidR="00480C64" w:rsidRPr="002946A9">
        <w:rPr>
          <w:rFonts w:ascii="Trebuchet MS" w:hAnsi="Trebuchet MS"/>
          <w:szCs w:val="24"/>
        </w:rPr>
        <w:t xml:space="preserve">929,958 </w:t>
      </w:r>
      <w:r w:rsidR="008B30BF" w:rsidRPr="002946A9">
        <w:rPr>
          <w:rFonts w:ascii="Trebuchet MS" w:hAnsi="Trebuchet MS"/>
          <w:szCs w:val="24"/>
        </w:rPr>
        <w:t xml:space="preserve">millones de pesos, equivalente al </w:t>
      </w:r>
      <w:r w:rsidR="00480C64" w:rsidRPr="002946A9">
        <w:rPr>
          <w:rFonts w:ascii="Trebuchet MS" w:hAnsi="Trebuchet MS"/>
          <w:szCs w:val="24"/>
        </w:rPr>
        <w:t>53,</w:t>
      </w:r>
      <w:r w:rsidR="001C2972">
        <w:rPr>
          <w:rFonts w:ascii="Trebuchet MS" w:hAnsi="Trebuchet MS"/>
          <w:szCs w:val="24"/>
        </w:rPr>
        <w:t>13</w:t>
      </w:r>
      <w:r w:rsidR="00EB6E93" w:rsidRPr="002946A9">
        <w:rPr>
          <w:rFonts w:ascii="Trebuchet MS" w:hAnsi="Trebuchet MS"/>
          <w:szCs w:val="24"/>
        </w:rPr>
        <w:t>% del plan.</w:t>
      </w:r>
    </w:p>
    <w:p w14:paraId="23F225AC" w14:textId="77777777" w:rsidR="003B4E37" w:rsidRPr="002946A9" w:rsidRDefault="003B4E37" w:rsidP="00DF29CB">
      <w:pPr>
        <w:ind w:left="360"/>
        <w:jc w:val="both"/>
        <w:rPr>
          <w:rFonts w:ascii="Trebuchet MS" w:hAnsi="Trebuchet MS"/>
          <w:szCs w:val="24"/>
        </w:rPr>
      </w:pPr>
    </w:p>
    <w:p w14:paraId="18BAE5FB" w14:textId="1E706BB9" w:rsidR="003B4E37" w:rsidRPr="002946A9" w:rsidRDefault="00E64947" w:rsidP="00DF29CB">
      <w:pPr>
        <w:numPr>
          <w:ilvl w:val="2"/>
          <w:numId w:val="2"/>
        </w:numPr>
        <w:ind w:left="1225" w:hanging="505"/>
        <w:jc w:val="both"/>
        <w:outlineLvl w:val="2"/>
        <w:rPr>
          <w:rFonts w:ascii="Trebuchet MS" w:hAnsi="Trebuchet MS"/>
          <w:b/>
          <w:bCs/>
          <w:szCs w:val="24"/>
        </w:rPr>
      </w:pPr>
      <w:bookmarkStart w:id="136" w:name="_Toc131109347"/>
      <w:r w:rsidRPr="002946A9">
        <w:rPr>
          <w:rFonts w:ascii="Trebuchet MS" w:hAnsi="Trebuchet MS"/>
          <w:b/>
          <w:bCs/>
          <w:szCs w:val="24"/>
        </w:rPr>
        <w:t>Inversiones en los p</w:t>
      </w:r>
      <w:r w:rsidR="003B4E37" w:rsidRPr="002946A9">
        <w:rPr>
          <w:rFonts w:ascii="Trebuchet MS" w:hAnsi="Trebuchet MS"/>
          <w:b/>
          <w:bCs/>
          <w:szCs w:val="24"/>
        </w:rPr>
        <w:t>royectos más relevantes para EPM y sus usuarios</w:t>
      </w:r>
      <w:bookmarkEnd w:id="136"/>
      <w:r w:rsidR="003B4E37" w:rsidRPr="002946A9">
        <w:rPr>
          <w:rFonts w:ascii="Trebuchet MS" w:hAnsi="Trebuchet MS"/>
          <w:b/>
          <w:bCs/>
          <w:szCs w:val="24"/>
        </w:rPr>
        <w:t xml:space="preserve">  </w:t>
      </w:r>
    </w:p>
    <w:p w14:paraId="0ED17CB0" w14:textId="17ECFEC2" w:rsidR="004B4005" w:rsidRPr="002946A9" w:rsidRDefault="00BD24D7" w:rsidP="00DF29CB">
      <w:pPr>
        <w:ind w:left="360"/>
        <w:jc w:val="both"/>
        <w:rPr>
          <w:rFonts w:ascii="Trebuchet MS" w:hAnsi="Trebuchet MS"/>
          <w:szCs w:val="24"/>
        </w:rPr>
      </w:pPr>
      <w:r w:rsidRPr="002946A9">
        <w:rPr>
          <w:rFonts w:ascii="Trebuchet MS" w:hAnsi="Trebuchet MS"/>
          <w:szCs w:val="24"/>
        </w:rPr>
        <w:t xml:space="preserve">Dentro de los </w:t>
      </w:r>
      <w:r w:rsidR="003236C0" w:rsidRPr="002946A9">
        <w:rPr>
          <w:rFonts w:ascii="Trebuchet MS" w:hAnsi="Trebuchet MS"/>
          <w:szCs w:val="24"/>
        </w:rPr>
        <w:t>69</w:t>
      </w:r>
      <w:r w:rsidRPr="002946A9">
        <w:rPr>
          <w:rFonts w:ascii="Trebuchet MS" w:hAnsi="Trebuchet MS"/>
          <w:szCs w:val="24"/>
        </w:rPr>
        <w:t xml:space="preserve"> proyectos aprobados para su ejecución</w:t>
      </w:r>
      <w:r w:rsidR="00CE4A21" w:rsidRPr="002946A9">
        <w:rPr>
          <w:rFonts w:ascii="Trebuchet MS" w:hAnsi="Trebuchet MS"/>
          <w:szCs w:val="24"/>
        </w:rPr>
        <w:t>,</w:t>
      </w:r>
      <w:r w:rsidRPr="002946A9">
        <w:rPr>
          <w:rFonts w:ascii="Trebuchet MS" w:hAnsi="Trebuchet MS"/>
          <w:szCs w:val="24"/>
        </w:rPr>
        <w:t xml:space="preserve"> </w:t>
      </w:r>
      <w:r w:rsidR="00160AE2" w:rsidRPr="002946A9">
        <w:rPr>
          <w:rFonts w:ascii="Trebuchet MS" w:hAnsi="Trebuchet MS"/>
          <w:szCs w:val="24"/>
        </w:rPr>
        <w:t>pertenecientes al</w:t>
      </w:r>
      <w:r w:rsidRPr="002946A9">
        <w:rPr>
          <w:rFonts w:ascii="Trebuchet MS" w:hAnsi="Trebuchet MS"/>
          <w:szCs w:val="24"/>
        </w:rPr>
        <w:t xml:space="preserve"> plan de inversiones regulatorio 20</w:t>
      </w:r>
      <w:r w:rsidR="003236C0" w:rsidRPr="002946A9">
        <w:rPr>
          <w:rFonts w:ascii="Trebuchet MS" w:hAnsi="Trebuchet MS"/>
          <w:szCs w:val="24"/>
        </w:rPr>
        <w:t>20</w:t>
      </w:r>
      <w:r w:rsidRPr="002946A9">
        <w:rPr>
          <w:rFonts w:ascii="Trebuchet MS" w:hAnsi="Trebuchet MS"/>
          <w:szCs w:val="24"/>
        </w:rPr>
        <w:t xml:space="preserve"> – 202</w:t>
      </w:r>
      <w:r w:rsidR="003236C0" w:rsidRPr="002946A9">
        <w:rPr>
          <w:rFonts w:ascii="Trebuchet MS" w:hAnsi="Trebuchet MS"/>
          <w:szCs w:val="24"/>
        </w:rPr>
        <w:t>5</w:t>
      </w:r>
      <w:r w:rsidR="00CE4A21" w:rsidRPr="002946A9">
        <w:rPr>
          <w:rFonts w:ascii="Trebuchet MS" w:hAnsi="Trebuchet MS"/>
          <w:szCs w:val="24"/>
        </w:rPr>
        <w:t>,</w:t>
      </w:r>
      <w:r w:rsidRPr="002946A9">
        <w:rPr>
          <w:rFonts w:ascii="Trebuchet MS" w:hAnsi="Trebuchet MS"/>
          <w:szCs w:val="24"/>
        </w:rPr>
        <w:t xml:space="preserve"> se destacan principalmente los siguientes proyectos</w:t>
      </w:r>
      <w:r w:rsidR="004B4005" w:rsidRPr="002946A9">
        <w:rPr>
          <w:rFonts w:ascii="Trebuchet MS" w:hAnsi="Trebuchet MS"/>
          <w:szCs w:val="24"/>
        </w:rPr>
        <w:t>,</w:t>
      </w:r>
      <w:r w:rsidRPr="002946A9">
        <w:rPr>
          <w:rFonts w:ascii="Trebuchet MS" w:hAnsi="Trebuchet MS"/>
          <w:szCs w:val="24"/>
        </w:rPr>
        <w:t xml:space="preserve"> dad</w:t>
      </w:r>
      <w:r w:rsidR="00A45A1A" w:rsidRPr="002946A9">
        <w:rPr>
          <w:rFonts w:ascii="Trebuchet MS" w:hAnsi="Trebuchet MS"/>
          <w:szCs w:val="24"/>
        </w:rPr>
        <w:t>a</w:t>
      </w:r>
      <w:r w:rsidRPr="002946A9">
        <w:rPr>
          <w:rFonts w:ascii="Trebuchet MS" w:hAnsi="Trebuchet MS"/>
          <w:szCs w:val="24"/>
        </w:rPr>
        <w:t xml:space="preserve"> su gran relevancia</w:t>
      </w:r>
      <w:r w:rsidR="00C202C2" w:rsidRPr="002946A9">
        <w:rPr>
          <w:rFonts w:ascii="Trebuchet MS" w:hAnsi="Trebuchet MS"/>
          <w:szCs w:val="24"/>
        </w:rPr>
        <w:t xml:space="preserve"> </w:t>
      </w:r>
      <w:r w:rsidRPr="002946A9">
        <w:rPr>
          <w:rFonts w:ascii="Trebuchet MS" w:hAnsi="Trebuchet MS"/>
          <w:szCs w:val="24"/>
        </w:rPr>
        <w:t xml:space="preserve">para EPM </w:t>
      </w:r>
      <w:r w:rsidR="00C202C2" w:rsidRPr="002946A9">
        <w:rPr>
          <w:rFonts w:ascii="Trebuchet MS" w:hAnsi="Trebuchet MS"/>
          <w:szCs w:val="24"/>
        </w:rPr>
        <w:t xml:space="preserve">y </w:t>
      </w:r>
      <w:r w:rsidRPr="002946A9">
        <w:rPr>
          <w:rFonts w:ascii="Trebuchet MS" w:hAnsi="Trebuchet MS"/>
          <w:szCs w:val="24"/>
        </w:rPr>
        <w:t>para los usuarios y regiones que atiende EPM:</w:t>
      </w:r>
    </w:p>
    <w:p w14:paraId="0D37F55A" w14:textId="7FE73F49" w:rsidR="007B75F8" w:rsidRPr="002946A9" w:rsidRDefault="003236C0" w:rsidP="00D22BC2">
      <w:pPr>
        <w:pStyle w:val="Prrafodelista"/>
        <w:numPr>
          <w:ilvl w:val="0"/>
          <w:numId w:val="5"/>
        </w:numPr>
        <w:ind w:left="714" w:hanging="357"/>
        <w:contextualSpacing w:val="0"/>
        <w:jc w:val="both"/>
        <w:rPr>
          <w:rFonts w:ascii="Trebuchet MS" w:hAnsi="Trebuchet MS"/>
          <w:szCs w:val="24"/>
        </w:rPr>
      </w:pPr>
      <w:r w:rsidRPr="002946A9">
        <w:rPr>
          <w:rFonts w:ascii="Trebuchet MS" w:hAnsi="Trebuchet MS"/>
          <w:szCs w:val="24"/>
        </w:rPr>
        <w:t xml:space="preserve">Ampliación de capacidad en las subestaciones Urabá, Rodeo, Santa Rosa, Caldas y el proyecto Expansión VP T&amp;D, los cuales, están enfocados en la atención de aumento de la demanda en instalaciones existentes. </w:t>
      </w:r>
    </w:p>
    <w:p w14:paraId="0C363678" w14:textId="127BC58B" w:rsidR="00B04D39" w:rsidRPr="002946A9" w:rsidRDefault="003236C0" w:rsidP="001209F1">
      <w:pPr>
        <w:pStyle w:val="Prrafodelista"/>
        <w:numPr>
          <w:ilvl w:val="0"/>
          <w:numId w:val="5"/>
        </w:numPr>
        <w:ind w:left="714" w:hanging="357"/>
        <w:contextualSpacing w:val="0"/>
        <w:jc w:val="both"/>
        <w:rPr>
          <w:rFonts w:ascii="Trebuchet MS" w:hAnsi="Trebuchet MS"/>
          <w:szCs w:val="24"/>
        </w:rPr>
      </w:pPr>
      <w:r w:rsidRPr="002946A9">
        <w:rPr>
          <w:rFonts w:ascii="Trebuchet MS" w:hAnsi="Trebuchet MS"/>
          <w:szCs w:val="24"/>
        </w:rPr>
        <w:t>Conexión entre las subestaciones Urabá, Apartadó y Nueva Colonia, Nueva Subestación Ayurá, Nueva Subestación Calizas y Nueva Subestación Yondó, los cuales, están enfocados en la atención de aumento de la demanda y expansión de las redes.</w:t>
      </w:r>
    </w:p>
    <w:p w14:paraId="4A8C2ED5" w14:textId="77777777" w:rsidR="001E3AC5" w:rsidRPr="002946A9" w:rsidRDefault="00BD24D7" w:rsidP="00DF29CB">
      <w:pPr>
        <w:pStyle w:val="Prrafodelista"/>
        <w:numPr>
          <w:ilvl w:val="0"/>
          <w:numId w:val="5"/>
        </w:numPr>
        <w:ind w:left="714" w:hanging="357"/>
        <w:contextualSpacing w:val="0"/>
        <w:jc w:val="both"/>
        <w:rPr>
          <w:rFonts w:ascii="Trebuchet MS" w:hAnsi="Trebuchet MS"/>
          <w:szCs w:val="24"/>
        </w:rPr>
      </w:pPr>
      <w:r w:rsidRPr="002946A9">
        <w:rPr>
          <w:rFonts w:ascii="Trebuchet MS" w:hAnsi="Trebuchet MS"/>
          <w:szCs w:val="24"/>
        </w:rPr>
        <w:t>Modernización en la subestación Ancón Sur, Central, Guayabal, San Jerónimo, Plan de Choque Líneas y Subestaciones y Reposición VP T&amp;D, los cuales</w:t>
      </w:r>
      <w:r w:rsidR="001E3AC5" w:rsidRPr="002946A9">
        <w:rPr>
          <w:rFonts w:ascii="Trebuchet MS" w:hAnsi="Trebuchet MS"/>
          <w:szCs w:val="24"/>
        </w:rPr>
        <w:t xml:space="preserve">, </w:t>
      </w:r>
      <w:r w:rsidRPr="002946A9">
        <w:rPr>
          <w:rFonts w:ascii="Trebuchet MS" w:hAnsi="Trebuchet MS"/>
          <w:szCs w:val="24"/>
        </w:rPr>
        <w:t>están enfocad</w:t>
      </w:r>
      <w:r w:rsidR="001E3AC5" w:rsidRPr="002946A9">
        <w:rPr>
          <w:rFonts w:ascii="Trebuchet MS" w:hAnsi="Trebuchet MS"/>
          <w:szCs w:val="24"/>
        </w:rPr>
        <w:t>o</w:t>
      </w:r>
      <w:r w:rsidRPr="002946A9">
        <w:rPr>
          <w:rFonts w:ascii="Trebuchet MS" w:hAnsi="Trebuchet MS"/>
          <w:szCs w:val="24"/>
        </w:rPr>
        <w:t xml:space="preserve">s en la reposición de equipos. </w:t>
      </w:r>
    </w:p>
    <w:p w14:paraId="5FC7331E" w14:textId="47F6B2FC" w:rsidR="001E3AC5" w:rsidRPr="002946A9" w:rsidRDefault="00BD24D7" w:rsidP="00DF29CB">
      <w:pPr>
        <w:pStyle w:val="Prrafodelista"/>
        <w:numPr>
          <w:ilvl w:val="0"/>
          <w:numId w:val="5"/>
        </w:numPr>
        <w:ind w:left="714" w:hanging="357"/>
        <w:contextualSpacing w:val="0"/>
        <w:jc w:val="both"/>
        <w:rPr>
          <w:rFonts w:ascii="Trebuchet MS" w:hAnsi="Trebuchet MS"/>
          <w:szCs w:val="24"/>
        </w:rPr>
      </w:pPr>
      <w:r w:rsidRPr="002946A9">
        <w:rPr>
          <w:rFonts w:ascii="Trebuchet MS" w:hAnsi="Trebuchet MS"/>
          <w:szCs w:val="24"/>
        </w:rPr>
        <w:t>Mejoramiento de Calidad en Media Tensión</w:t>
      </w:r>
      <w:r w:rsidR="001E3AC5" w:rsidRPr="002946A9">
        <w:rPr>
          <w:rFonts w:ascii="Trebuchet MS" w:hAnsi="Trebuchet MS"/>
          <w:szCs w:val="24"/>
        </w:rPr>
        <w:t>,</w:t>
      </w:r>
      <w:r w:rsidRPr="002946A9">
        <w:rPr>
          <w:rFonts w:ascii="Trebuchet MS" w:hAnsi="Trebuchet MS"/>
          <w:szCs w:val="24"/>
        </w:rPr>
        <w:t xml:space="preserve"> para mejorar el servicio </w:t>
      </w:r>
      <w:r w:rsidR="00C1238D" w:rsidRPr="002946A9">
        <w:rPr>
          <w:rFonts w:ascii="Trebuchet MS" w:hAnsi="Trebuchet MS"/>
          <w:szCs w:val="24"/>
        </w:rPr>
        <w:t xml:space="preserve">prestado a los usuarios </w:t>
      </w:r>
      <w:r w:rsidRPr="002946A9">
        <w:rPr>
          <w:rFonts w:ascii="Trebuchet MS" w:hAnsi="Trebuchet MS"/>
          <w:szCs w:val="24"/>
        </w:rPr>
        <w:t>final</w:t>
      </w:r>
      <w:r w:rsidR="00DB0481" w:rsidRPr="002946A9">
        <w:rPr>
          <w:rFonts w:ascii="Trebuchet MS" w:hAnsi="Trebuchet MS"/>
          <w:szCs w:val="24"/>
        </w:rPr>
        <w:t>es</w:t>
      </w:r>
      <w:r w:rsidR="00C1238D" w:rsidRPr="002946A9">
        <w:rPr>
          <w:rFonts w:ascii="Trebuchet MS" w:hAnsi="Trebuchet MS"/>
          <w:szCs w:val="24"/>
        </w:rPr>
        <w:t>.</w:t>
      </w:r>
      <w:r w:rsidRPr="002946A9">
        <w:rPr>
          <w:rFonts w:ascii="Trebuchet MS" w:hAnsi="Trebuchet MS"/>
          <w:szCs w:val="24"/>
        </w:rPr>
        <w:t xml:space="preserve"> </w:t>
      </w:r>
    </w:p>
    <w:p w14:paraId="47B2CC67" w14:textId="2BE1D314" w:rsidR="00BB6526" w:rsidRPr="002946A9" w:rsidRDefault="00BD24D7" w:rsidP="00DF29CB">
      <w:pPr>
        <w:pStyle w:val="Prrafodelista"/>
        <w:numPr>
          <w:ilvl w:val="0"/>
          <w:numId w:val="5"/>
        </w:numPr>
        <w:ind w:left="714" w:hanging="357"/>
        <w:contextualSpacing w:val="0"/>
        <w:jc w:val="both"/>
        <w:rPr>
          <w:rFonts w:ascii="Trebuchet MS" w:hAnsi="Trebuchet MS"/>
          <w:szCs w:val="24"/>
        </w:rPr>
      </w:pPr>
      <w:r w:rsidRPr="002946A9">
        <w:rPr>
          <w:rFonts w:ascii="Trebuchet MS" w:hAnsi="Trebuchet MS"/>
          <w:szCs w:val="24"/>
        </w:rPr>
        <w:t xml:space="preserve">Gestión y Control de Pérdidas de Energía, el cual, está enfocado en el control de las pérdidas del sistema de EPM. </w:t>
      </w:r>
    </w:p>
    <w:p w14:paraId="551595F7" w14:textId="64AC9646" w:rsidR="003B4E37" w:rsidRPr="002946A9" w:rsidRDefault="00BD24D7" w:rsidP="00DF29CB">
      <w:pPr>
        <w:ind w:left="360"/>
        <w:jc w:val="both"/>
        <w:rPr>
          <w:rFonts w:ascii="Trebuchet MS" w:hAnsi="Trebuchet MS"/>
          <w:szCs w:val="24"/>
        </w:rPr>
      </w:pPr>
      <w:r w:rsidRPr="002946A9">
        <w:rPr>
          <w:rFonts w:ascii="Trebuchet MS" w:hAnsi="Trebuchet MS"/>
          <w:szCs w:val="24"/>
        </w:rPr>
        <w:t>Los montos de inversión aprobados para estos proyectos se presentan</w:t>
      </w:r>
      <w:r w:rsidR="00C37369" w:rsidRPr="002946A9">
        <w:rPr>
          <w:rFonts w:ascii="Trebuchet MS" w:hAnsi="Trebuchet MS"/>
          <w:szCs w:val="24"/>
        </w:rPr>
        <w:t xml:space="preserve"> en la</w:t>
      </w:r>
      <w:r w:rsidR="00DF18B9" w:rsidRPr="002946A9">
        <w:rPr>
          <w:rFonts w:ascii="Trebuchet MS" w:hAnsi="Trebuchet MS"/>
          <w:szCs w:val="24"/>
        </w:rPr>
        <w:t xml:space="preserve"> </w:t>
      </w:r>
      <w:r w:rsidR="00DF18B9" w:rsidRPr="002946A9">
        <w:rPr>
          <w:rFonts w:ascii="Trebuchet MS" w:hAnsi="Trebuchet MS"/>
          <w:szCs w:val="24"/>
        </w:rPr>
        <w:fldChar w:fldCharType="begin"/>
      </w:r>
      <w:r w:rsidR="00DF18B9" w:rsidRPr="002946A9">
        <w:rPr>
          <w:rFonts w:ascii="Trebuchet MS" w:hAnsi="Trebuchet MS"/>
          <w:szCs w:val="24"/>
        </w:rPr>
        <w:instrText xml:space="preserve"> REF _Ref66876050 \h </w:instrText>
      </w:r>
      <w:r w:rsidR="00DF29CB" w:rsidRPr="002946A9">
        <w:rPr>
          <w:rFonts w:ascii="Trebuchet MS" w:hAnsi="Trebuchet MS"/>
          <w:szCs w:val="24"/>
        </w:rPr>
        <w:instrText xml:space="preserve"> \* MERGEFORMAT </w:instrText>
      </w:r>
      <w:r w:rsidR="00DF18B9" w:rsidRPr="002946A9">
        <w:rPr>
          <w:rFonts w:ascii="Trebuchet MS" w:hAnsi="Trebuchet MS"/>
          <w:szCs w:val="24"/>
        </w:rPr>
      </w:r>
      <w:r w:rsidR="00DF18B9"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2</w:t>
      </w:r>
      <w:r w:rsidR="00C944CB" w:rsidRPr="002946A9">
        <w:rPr>
          <w:rFonts w:ascii="Trebuchet MS" w:hAnsi="Trebuchet MS"/>
          <w:noProof/>
        </w:rPr>
        <w:t>.</w:t>
      </w:r>
      <w:r w:rsidR="00C944CB">
        <w:rPr>
          <w:rFonts w:ascii="Trebuchet MS" w:hAnsi="Trebuchet MS"/>
          <w:noProof/>
        </w:rPr>
        <w:t>10</w:t>
      </w:r>
      <w:r w:rsidR="00DF18B9" w:rsidRPr="002946A9">
        <w:rPr>
          <w:rFonts w:ascii="Trebuchet MS" w:hAnsi="Trebuchet MS"/>
          <w:szCs w:val="24"/>
        </w:rPr>
        <w:fldChar w:fldCharType="end"/>
      </w:r>
      <w:r w:rsidR="00E21C17" w:rsidRPr="002946A9">
        <w:rPr>
          <w:rFonts w:ascii="Trebuchet MS" w:hAnsi="Trebuchet MS"/>
          <w:szCs w:val="24"/>
        </w:rPr>
        <w:t>:</w:t>
      </w:r>
    </w:p>
    <w:p w14:paraId="1C77A2A8" w14:textId="6F9E45D0" w:rsidR="000C530C" w:rsidRPr="002946A9" w:rsidRDefault="000C530C" w:rsidP="00DF29CB">
      <w:pPr>
        <w:spacing w:after="0"/>
        <w:ind w:left="360"/>
        <w:jc w:val="both"/>
        <w:rPr>
          <w:rFonts w:ascii="Trebuchet MS" w:hAnsi="Trebuchet MS"/>
          <w:szCs w:val="24"/>
        </w:rPr>
      </w:pPr>
    </w:p>
    <w:p w14:paraId="48DACB96" w14:textId="4EEC06F1" w:rsidR="00B00B1A" w:rsidRPr="002946A9" w:rsidRDefault="00B00B1A" w:rsidP="00DF29CB">
      <w:pPr>
        <w:ind w:left="1416" w:hanging="1056"/>
        <w:jc w:val="both"/>
        <w:rPr>
          <w:rFonts w:ascii="Trebuchet MS" w:hAnsi="Trebuchet MS"/>
        </w:rPr>
      </w:pPr>
      <w:bookmarkStart w:id="137" w:name="_Ref66876050"/>
      <w:bookmarkStart w:id="138" w:name="_Toc131032778"/>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10</w:t>
      </w:r>
      <w:r w:rsidRPr="002946A9">
        <w:rPr>
          <w:rFonts w:ascii="Trebuchet MS" w:hAnsi="Trebuchet MS"/>
        </w:rPr>
        <w:fldChar w:fldCharType="end"/>
      </w:r>
      <w:bookmarkEnd w:id="137"/>
      <w:r w:rsidRPr="002946A9">
        <w:rPr>
          <w:rFonts w:ascii="Trebuchet MS" w:hAnsi="Trebuchet MS"/>
        </w:rPr>
        <w:t xml:space="preserve">  Inversiones en los proyectos más relevantes del plan 2</w:t>
      </w:r>
      <w:r w:rsidR="003236C0" w:rsidRPr="002946A9">
        <w:rPr>
          <w:rFonts w:ascii="Trebuchet MS" w:hAnsi="Trebuchet MS"/>
        </w:rPr>
        <w:t>020</w:t>
      </w:r>
      <w:r w:rsidRPr="002946A9">
        <w:rPr>
          <w:rFonts w:ascii="Trebuchet MS" w:hAnsi="Trebuchet MS"/>
        </w:rPr>
        <w:t xml:space="preserve"> – 20</w:t>
      </w:r>
      <w:r w:rsidR="003236C0" w:rsidRPr="002946A9">
        <w:rPr>
          <w:rFonts w:ascii="Trebuchet MS" w:hAnsi="Trebuchet MS"/>
        </w:rPr>
        <w:t>25</w:t>
      </w:r>
      <w:r w:rsidRPr="002946A9">
        <w:rPr>
          <w:rFonts w:ascii="Trebuchet MS" w:hAnsi="Trebuchet MS"/>
        </w:rPr>
        <w:t>.</w:t>
      </w:r>
      <w:bookmarkEnd w:id="138"/>
    </w:p>
    <w:tbl>
      <w:tblPr>
        <w:tblStyle w:val="Tablaconcuadrcula5oscura-nfasis1"/>
        <w:tblW w:w="8196" w:type="dxa"/>
        <w:tblInd w:w="421" w:type="dxa"/>
        <w:tblLook w:val="04A0" w:firstRow="1" w:lastRow="0" w:firstColumn="1" w:lastColumn="0" w:noHBand="0" w:noVBand="1"/>
      </w:tblPr>
      <w:tblGrid>
        <w:gridCol w:w="6095"/>
        <w:gridCol w:w="2101"/>
      </w:tblGrid>
      <w:tr w:rsidR="003236C0" w:rsidRPr="002946A9" w14:paraId="55E1319A" w14:textId="77777777" w:rsidTr="00F024D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6095" w:type="dxa"/>
            <w:noWrap/>
            <w:hideMark/>
          </w:tcPr>
          <w:p w14:paraId="577F265C" w14:textId="77777777" w:rsidR="003236C0" w:rsidRPr="002946A9" w:rsidRDefault="003236C0" w:rsidP="00F024D9">
            <w:pPr>
              <w:rPr>
                <w:rFonts w:cs="Calibri"/>
                <w:bCs w:val="0"/>
                <w:color w:val="auto"/>
                <w:sz w:val="18"/>
                <w:szCs w:val="18"/>
              </w:rPr>
            </w:pPr>
            <w:r w:rsidRPr="002946A9">
              <w:rPr>
                <w:rFonts w:cs="Calibri"/>
                <w:bCs w:val="0"/>
                <w:color w:val="auto"/>
                <w:sz w:val="18"/>
                <w:szCs w:val="18"/>
              </w:rPr>
              <w:t>Nombre del proyecto</w:t>
            </w:r>
          </w:p>
        </w:tc>
        <w:tc>
          <w:tcPr>
            <w:tcW w:w="2101" w:type="dxa"/>
            <w:noWrap/>
            <w:hideMark/>
          </w:tcPr>
          <w:p w14:paraId="43EF7ED3" w14:textId="77777777" w:rsidR="003236C0" w:rsidRPr="002946A9" w:rsidRDefault="003236C0" w:rsidP="00F024D9">
            <w:pPr>
              <w:cnfStyle w:val="100000000000" w:firstRow="1" w:lastRow="0" w:firstColumn="0" w:lastColumn="0" w:oddVBand="0" w:evenVBand="0" w:oddHBand="0" w:evenHBand="0" w:firstRowFirstColumn="0" w:firstRowLastColumn="0" w:lastRowFirstColumn="0" w:lastRowLastColumn="0"/>
              <w:rPr>
                <w:rFonts w:cs="Calibri"/>
                <w:bCs w:val="0"/>
                <w:color w:val="000000"/>
                <w:sz w:val="18"/>
                <w:szCs w:val="18"/>
              </w:rPr>
            </w:pPr>
            <w:r w:rsidRPr="002946A9">
              <w:rPr>
                <w:rFonts w:cs="Calibri"/>
                <w:bCs w:val="0"/>
                <w:color w:val="000000"/>
                <w:sz w:val="18"/>
                <w:szCs w:val="18"/>
              </w:rPr>
              <w:t>Inversión total*</w:t>
            </w:r>
          </w:p>
        </w:tc>
      </w:tr>
      <w:tr w:rsidR="003236C0" w:rsidRPr="002946A9" w14:paraId="2EFA0130" w14:textId="77777777" w:rsidTr="00351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3B38CFB1" w14:textId="77777777" w:rsidR="003236C0" w:rsidRPr="002946A9" w:rsidRDefault="003236C0" w:rsidP="00351072">
            <w:pPr>
              <w:rPr>
                <w:b w:val="0"/>
                <w:i/>
                <w:iCs/>
                <w:color w:val="auto"/>
                <w:sz w:val="18"/>
                <w:szCs w:val="18"/>
              </w:rPr>
            </w:pPr>
            <w:r w:rsidRPr="002946A9">
              <w:rPr>
                <w:b w:val="0"/>
                <w:i/>
                <w:iCs/>
                <w:color w:val="auto"/>
                <w:sz w:val="18"/>
                <w:szCs w:val="18"/>
              </w:rPr>
              <w:t xml:space="preserve">Actualización terminales remotas en subestaciones de Transmisión y Distribución Energía </w:t>
            </w:r>
          </w:p>
        </w:tc>
        <w:tc>
          <w:tcPr>
            <w:tcW w:w="2101" w:type="dxa"/>
            <w:noWrap/>
          </w:tcPr>
          <w:p w14:paraId="0D847E9D" w14:textId="77777777" w:rsidR="003236C0" w:rsidRPr="002946A9" w:rsidRDefault="003236C0" w:rsidP="00F024D9">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37,392 </w:t>
            </w:r>
          </w:p>
        </w:tc>
      </w:tr>
      <w:tr w:rsidR="003236C0" w:rsidRPr="002946A9" w14:paraId="3F1D67FC" w14:textId="77777777" w:rsidTr="00351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480C5219" w14:textId="77777777" w:rsidR="003236C0" w:rsidRPr="002946A9" w:rsidRDefault="003236C0" w:rsidP="00351072">
            <w:pPr>
              <w:rPr>
                <w:b w:val="0"/>
                <w:i/>
                <w:iCs/>
                <w:color w:val="auto"/>
                <w:sz w:val="18"/>
                <w:szCs w:val="18"/>
              </w:rPr>
            </w:pPr>
            <w:r w:rsidRPr="002946A9">
              <w:rPr>
                <w:b w:val="0"/>
                <w:i/>
                <w:iCs/>
                <w:color w:val="auto"/>
                <w:sz w:val="18"/>
                <w:szCs w:val="18"/>
              </w:rPr>
              <w:t xml:space="preserve">Ampliación capacidad subestación Rodeo 110/44/13.2 kV </w:t>
            </w:r>
          </w:p>
        </w:tc>
        <w:tc>
          <w:tcPr>
            <w:tcW w:w="2101" w:type="dxa"/>
            <w:noWrap/>
          </w:tcPr>
          <w:p w14:paraId="1BB663BF" w14:textId="77777777" w:rsidR="003236C0" w:rsidRPr="002946A9" w:rsidRDefault="003236C0" w:rsidP="00F024D9">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28,218 </w:t>
            </w:r>
          </w:p>
        </w:tc>
      </w:tr>
      <w:tr w:rsidR="003236C0" w:rsidRPr="002946A9" w14:paraId="5E71466D" w14:textId="77777777" w:rsidTr="00351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662B00F7" w14:textId="77777777" w:rsidR="003236C0" w:rsidRPr="002946A9" w:rsidRDefault="003236C0" w:rsidP="00351072">
            <w:pPr>
              <w:rPr>
                <w:b w:val="0"/>
                <w:i/>
                <w:iCs/>
                <w:color w:val="auto"/>
                <w:sz w:val="18"/>
                <w:szCs w:val="18"/>
              </w:rPr>
            </w:pPr>
            <w:r w:rsidRPr="002946A9">
              <w:rPr>
                <w:b w:val="0"/>
                <w:i/>
                <w:iCs/>
                <w:color w:val="auto"/>
                <w:sz w:val="18"/>
                <w:szCs w:val="18"/>
              </w:rPr>
              <w:t xml:space="preserve">Conexión subestaciones Urabá - Nueva Colonia - Apartadó 110 kV </w:t>
            </w:r>
          </w:p>
        </w:tc>
        <w:tc>
          <w:tcPr>
            <w:tcW w:w="2101" w:type="dxa"/>
            <w:noWrap/>
          </w:tcPr>
          <w:p w14:paraId="1AD0FC71" w14:textId="77777777" w:rsidR="003236C0" w:rsidRPr="002946A9" w:rsidRDefault="003236C0" w:rsidP="00F024D9">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28,143 </w:t>
            </w:r>
          </w:p>
        </w:tc>
      </w:tr>
      <w:tr w:rsidR="003236C0" w:rsidRPr="002946A9" w14:paraId="64198CEB" w14:textId="77777777" w:rsidTr="00351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3AA7B976" w14:textId="77777777" w:rsidR="003236C0" w:rsidRPr="002946A9" w:rsidRDefault="003236C0" w:rsidP="00351072">
            <w:pPr>
              <w:rPr>
                <w:b w:val="0"/>
                <w:i/>
                <w:iCs/>
                <w:color w:val="auto"/>
                <w:sz w:val="18"/>
                <w:szCs w:val="18"/>
              </w:rPr>
            </w:pPr>
            <w:r w:rsidRPr="002946A9">
              <w:rPr>
                <w:b w:val="0"/>
                <w:i/>
                <w:iCs/>
                <w:color w:val="auto"/>
                <w:sz w:val="18"/>
                <w:szCs w:val="18"/>
              </w:rPr>
              <w:t xml:space="preserve">Consolidación Centros de Control </w:t>
            </w:r>
          </w:p>
        </w:tc>
        <w:tc>
          <w:tcPr>
            <w:tcW w:w="2101" w:type="dxa"/>
            <w:noWrap/>
          </w:tcPr>
          <w:p w14:paraId="4F82B2FE" w14:textId="77777777" w:rsidR="003236C0" w:rsidRPr="002946A9" w:rsidRDefault="003236C0" w:rsidP="00F024D9">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19,452 </w:t>
            </w:r>
          </w:p>
        </w:tc>
      </w:tr>
      <w:tr w:rsidR="003236C0" w:rsidRPr="002946A9" w14:paraId="79ACB4B3" w14:textId="77777777" w:rsidTr="00351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433FFA9F" w14:textId="77777777" w:rsidR="003236C0" w:rsidRPr="002946A9" w:rsidRDefault="003236C0" w:rsidP="00351072">
            <w:pPr>
              <w:rPr>
                <w:b w:val="0"/>
                <w:i/>
                <w:iCs/>
                <w:color w:val="auto"/>
                <w:sz w:val="18"/>
                <w:szCs w:val="18"/>
              </w:rPr>
            </w:pPr>
            <w:r w:rsidRPr="002946A9">
              <w:rPr>
                <w:b w:val="0"/>
                <w:i/>
                <w:iCs/>
                <w:color w:val="auto"/>
                <w:sz w:val="18"/>
                <w:szCs w:val="18"/>
              </w:rPr>
              <w:t xml:space="preserve">Expansión VP T&amp;D </w:t>
            </w:r>
          </w:p>
        </w:tc>
        <w:tc>
          <w:tcPr>
            <w:tcW w:w="2101" w:type="dxa"/>
            <w:noWrap/>
          </w:tcPr>
          <w:p w14:paraId="087E8B25" w14:textId="77777777" w:rsidR="003236C0" w:rsidRPr="002946A9" w:rsidRDefault="003236C0" w:rsidP="00F024D9">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374,275 </w:t>
            </w:r>
          </w:p>
        </w:tc>
      </w:tr>
      <w:tr w:rsidR="003236C0" w:rsidRPr="002946A9" w14:paraId="21F5E033" w14:textId="77777777" w:rsidTr="00351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719D21F3" w14:textId="77777777" w:rsidR="003236C0" w:rsidRPr="002946A9" w:rsidRDefault="003236C0" w:rsidP="00351072">
            <w:pPr>
              <w:rPr>
                <w:b w:val="0"/>
                <w:i/>
                <w:iCs/>
                <w:color w:val="auto"/>
                <w:sz w:val="18"/>
                <w:szCs w:val="18"/>
              </w:rPr>
            </w:pPr>
            <w:r w:rsidRPr="002946A9">
              <w:rPr>
                <w:b w:val="0"/>
                <w:i/>
                <w:iCs/>
                <w:color w:val="auto"/>
                <w:sz w:val="18"/>
                <w:szCs w:val="18"/>
              </w:rPr>
              <w:t xml:space="preserve">Expansión y confiabilidad subestación Caldas </w:t>
            </w:r>
          </w:p>
        </w:tc>
        <w:tc>
          <w:tcPr>
            <w:tcW w:w="2101" w:type="dxa"/>
            <w:noWrap/>
          </w:tcPr>
          <w:p w14:paraId="342C48E9" w14:textId="77777777" w:rsidR="003236C0" w:rsidRPr="002946A9" w:rsidRDefault="003236C0" w:rsidP="00F024D9">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26,987 </w:t>
            </w:r>
          </w:p>
        </w:tc>
      </w:tr>
      <w:tr w:rsidR="003236C0" w:rsidRPr="002946A9" w14:paraId="3E0C58D8" w14:textId="77777777" w:rsidTr="00351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70A6B7ED" w14:textId="77777777" w:rsidR="003236C0" w:rsidRPr="002946A9" w:rsidRDefault="003236C0" w:rsidP="00351072">
            <w:pPr>
              <w:rPr>
                <w:b w:val="0"/>
                <w:i/>
                <w:iCs/>
                <w:color w:val="auto"/>
                <w:sz w:val="18"/>
                <w:szCs w:val="18"/>
              </w:rPr>
            </w:pPr>
            <w:r w:rsidRPr="002946A9">
              <w:rPr>
                <w:b w:val="0"/>
                <w:i/>
                <w:iCs/>
                <w:color w:val="auto"/>
                <w:sz w:val="18"/>
                <w:szCs w:val="18"/>
              </w:rPr>
              <w:t xml:space="preserve">Gestión y control pérdidas de energía - EPM </w:t>
            </w:r>
          </w:p>
        </w:tc>
        <w:tc>
          <w:tcPr>
            <w:tcW w:w="2101" w:type="dxa"/>
            <w:noWrap/>
          </w:tcPr>
          <w:p w14:paraId="46EAF02A" w14:textId="77777777" w:rsidR="003236C0" w:rsidRPr="002946A9" w:rsidRDefault="003236C0" w:rsidP="00F024D9">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59,756 </w:t>
            </w:r>
          </w:p>
        </w:tc>
      </w:tr>
      <w:tr w:rsidR="003236C0" w:rsidRPr="002946A9" w14:paraId="2369174E" w14:textId="77777777" w:rsidTr="00351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7AB92B49" w14:textId="77777777" w:rsidR="003236C0" w:rsidRPr="002946A9" w:rsidRDefault="003236C0" w:rsidP="00351072">
            <w:pPr>
              <w:rPr>
                <w:b w:val="0"/>
                <w:i/>
                <w:iCs/>
                <w:color w:val="auto"/>
                <w:sz w:val="18"/>
                <w:szCs w:val="18"/>
              </w:rPr>
            </w:pPr>
            <w:r w:rsidRPr="002946A9">
              <w:rPr>
                <w:b w:val="0"/>
                <w:i/>
                <w:iCs/>
                <w:color w:val="auto"/>
                <w:sz w:val="18"/>
                <w:szCs w:val="18"/>
              </w:rPr>
              <w:t xml:space="preserve">Modernización subestación Ancón Sur 220/110/44/13.2 kV </w:t>
            </w:r>
          </w:p>
        </w:tc>
        <w:tc>
          <w:tcPr>
            <w:tcW w:w="2101" w:type="dxa"/>
            <w:noWrap/>
          </w:tcPr>
          <w:p w14:paraId="2CBE810A" w14:textId="77777777" w:rsidR="003236C0" w:rsidRPr="002946A9" w:rsidRDefault="003236C0" w:rsidP="00F024D9">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18,414 </w:t>
            </w:r>
          </w:p>
        </w:tc>
      </w:tr>
      <w:tr w:rsidR="003236C0" w:rsidRPr="002946A9" w14:paraId="6F827F9C" w14:textId="77777777" w:rsidTr="00351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11AFC76E" w14:textId="77777777" w:rsidR="003236C0" w:rsidRPr="002946A9" w:rsidRDefault="003236C0" w:rsidP="00351072">
            <w:pPr>
              <w:rPr>
                <w:b w:val="0"/>
                <w:i/>
                <w:iCs/>
                <w:color w:val="auto"/>
                <w:sz w:val="18"/>
                <w:szCs w:val="18"/>
              </w:rPr>
            </w:pPr>
            <w:r w:rsidRPr="002946A9">
              <w:rPr>
                <w:b w:val="0"/>
                <w:i/>
                <w:iCs/>
                <w:color w:val="auto"/>
                <w:sz w:val="18"/>
                <w:szCs w:val="18"/>
              </w:rPr>
              <w:t xml:space="preserve">Modernización subestación Central 110/44/13.2 kV </w:t>
            </w:r>
          </w:p>
        </w:tc>
        <w:tc>
          <w:tcPr>
            <w:tcW w:w="2101" w:type="dxa"/>
            <w:noWrap/>
          </w:tcPr>
          <w:p w14:paraId="1F82945D" w14:textId="77777777" w:rsidR="003236C0" w:rsidRPr="002946A9" w:rsidRDefault="003236C0" w:rsidP="00F024D9">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18,128 </w:t>
            </w:r>
          </w:p>
        </w:tc>
      </w:tr>
      <w:tr w:rsidR="003236C0" w:rsidRPr="002946A9" w14:paraId="548349C1" w14:textId="77777777" w:rsidTr="00351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7C667CFA" w14:textId="77777777" w:rsidR="003236C0" w:rsidRPr="002946A9" w:rsidRDefault="003236C0" w:rsidP="00351072">
            <w:pPr>
              <w:rPr>
                <w:b w:val="0"/>
                <w:i/>
                <w:iCs/>
                <w:color w:val="auto"/>
                <w:sz w:val="18"/>
                <w:szCs w:val="18"/>
              </w:rPr>
            </w:pPr>
            <w:r w:rsidRPr="002946A9">
              <w:rPr>
                <w:b w:val="0"/>
                <w:i/>
                <w:iCs/>
                <w:color w:val="auto"/>
                <w:sz w:val="18"/>
                <w:szCs w:val="18"/>
              </w:rPr>
              <w:t xml:space="preserve">Modernización subestación San Jerónimo 110/44/13.2 kV </w:t>
            </w:r>
          </w:p>
        </w:tc>
        <w:tc>
          <w:tcPr>
            <w:tcW w:w="2101" w:type="dxa"/>
            <w:noWrap/>
          </w:tcPr>
          <w:p w14:paraId="02D58606" w14:textId="77777777" w:rsidR="003236C0" w:rsidRPr="002946A9" w:rsidRDefault="003236C0" w:rsidP="00F024D9">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16,032 </w:t>
            </w:r>
          </w:p>
        </w:tc>
      </w:tr>
      <w:tr w:rsidR="003236C0" w:rsidRPr="002946A9" w14:paraId="5BFC1FDB" w14:textId="77777777" w:rsidTr="00351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4BB14615" w14:textId="77777777" w:rsidR="003236C0" w:rsidRPr="002946A9" w:rsidRDefault="003236C0" w:rsidP="00351072">
            <w:pPr>
              <w:rPr>
                <w:b w:val="0"/>
                <w:i/>
                <w:iCs/>
                <w:color w:val="auto"/>
                <w:sz w:val="18"/>
                <w:szCs w:val="18"/>
              </w:rPr>
            </w:pPr>
            <w:r w:rsidRPr="002946A9">
              <w:rPr>
                <w:b w:val="0"/>
                <w:i/>
                <w:iCs/>
                <w:color w:val="auto"/>
                <w:sz w:val="18"/>
                <w:szCs w:val="18"/>
              </w:rPr>
              <w:t xml:space="preserve">Nueva subestación (sector Ayurá) </w:t>
            </w:r>
          </w:p>
        </w:tc>
        <w:tc>
          <w:tcPr>
            <w:tcW w:w="2101" w:type="dxa"/>
            <w:noWrap/>
          </w:tcPr>
          <w:p w14:paraId="6ADA83B8" w14:textId="77777777" w:rsidR="003236C0" w:rsidRPr="002946A9" w:rsidRDefault="003236C0" w:rsidP="00F024D9">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16,405 </w:t>
            </w:r>
          </w:p>
        </w:tc>
      </w:tr>
      <w:tr w:rsidR="003236C0" w:rsidRPr="002946A9" w14:paraId="08933C4D" w14:textId="77777777" w:rsidTr="00351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725EF1B1" w14:textId="77777777" w:rsidR="003236C0" w:rsidRPr="002946A9" w:rsidRDefault="003236C0" w:rsidP="00351072">
            <w:pPr>
              <w:rPr>
                <w:b w:val="0"/>
                <w:i/>
                <w:iCs/>
                <w:color w:val="auto"/>
                <w:sz w:val="18"/>
                <w:szCs w:val="18"/>
              </w:rPr>
            </w:pPr>
            <w:r w:rsidRPr="002946A9">
              <w:rPr>
                <w:b w:val="0"/>
                <w:i/>
                <w:iCs/>
                <w:color w:val="auto"/>
                <w:sz w:val="18"/>
                <w:szCs w:val="18"/>
              </w:rPr>
              <w:t xml:space="preserve">Nueva subestación Caicedo 110 kV </w:t>
            </w:r>
          </w:p>
        </w:tc>
        <w:tc>
          <w:tcPr>
            <w:tcW w:w="2101" w:type="dxa"/>
            <w:noWrap/>
          </w:tcPr>
          <w:p w14:paraId="3F6B0B09" w14:textId="77777777" w:rsidR="003236C0" w:rsidRPr="002946A9" w:rsidRDefault="003236C0" w:rsidP="00F024D9">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26,367 </w:t>
            </w:r>
          </w:p>
        </w:tc>
      </w:tr>
      <w:tr w:rsidR="003236C0" w:rsidRPr="002946A9" w14:paraId="5DD1B1B9" w14:textId="77777777" w:rsidTr="00351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137D1C42" w14:textId="77777777" w:rsidR="003236C0" w:rsidRPr="002946A9" w:rsidRDefault="003236C0" w:rsidP="00351072">
            <w:pPr>
              <w:rPr>
                <w:b w:val="0"/>
                <w:i/>
                <w:iCs/>
                <w:color w:val="auto"/>
                <w:sz w:val="18"/>
                <w:szCs w:val="18"/>
              </w:rPr>
            </w:pPr>
            <w:r w:rsidRPr="002946A9">
              <w:rPr>
                <w:b w:val="0"/>
                <w:i/>
                <w:iCs/>
                <w:color w:val="auto"/>
                <w:sz w:val="18"/>
                <w:szCs w:val="18"/>
              </w:rPr>
              <w:t xml:space="preserve">Nueva subestación Calizas 110 kV + refuerzo STR y SDL </w:t>
            </w:r>
          </w:p>
        </w:tc>
        <w:tc>
          <w:tcPr>
            <w:tcW w:w="2101" w:type="dxa"/>
            <w:noWrap/>
          </w:tcPr>
          <w:p w14:paraId="41B1D1FD" w14:textId="77777777" w:rsidR="003236C0" w:rsidRPr="002946A9" w:rsidRDefault="003236C0" w:rsidP="00F024D9">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16,758 </w:t>
            </w:r>
          </w:p>
        </w:tc>
      </w:tr>
      <w:tr w:rsidR="003236C0" w:rsidRPr="002946A9" w14:paraId="567BC1FC" w14:textId="77777777" w:rsidTr="00351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509BE5BD" w14:textId="77777777" w:rsidR="003236C0" w:rsidRPr="002946A9" w:rsidRDefault="003236C0" w:rsidP="00351072">
            <w:pPr>
              <w:rPr>
                <w:b w:val="0"/>
                <w:i/>
                <w:iCs/>
                <w:color w:val="auto"/>
                <w:sz w:val="18"/>
                <w:szCs w:val="18"/>
              </w:rPr>
            </w:pPr>
            <w:r w:rsidRPr="002946A9">
              <w:rPr>
                <w:b w:val="0"/>
                <w:i/>
                <w:iCs/>
                <w:color w:val="auto"/>
                <w:sz w:val="18"/>
                <w:szCs w:val="18"/>
              </w:rPr>
              <w:t xml:space="preserve">Plan de choque VP T&amp;D - Líneas 110 kV </w:t>
            </w:r>
          </w:p>
        </w:tc>
        <w:tc>
          <w:tcPr>
            <w:tcW w:w="2101" w:type="dxa"/>
            <w:noWrap/>
          </w:tcPr>
          <w:p w14:paraId="07C97435" w14:textId="77777777" w:rsidR="003236C0" w:rsidRPr="002946A9" w:rsidRDefault="003236C0" w:rsidP="00F024D9">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19,554 </w:t>
            </w:r>
          </w:p>
        </w:tc>
      </w:tr>
      <w:tr w:rsidR="003236C0" w:rsidRPr="002946A9" w14:paraId="48B70D01" w14:textId="77777777" w:rsidTr="00351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64CDCB3E" w14:textId="77777777" w:rsidR="003236C0" w:rsidRPr="002946A9" w:rsidRDefault="003236C0" w:rsidP="00351072">
            <w:pPr>
              <w:rPr>
                <w:b w:val="0"/>
                <w:i/>
                <w:iCs/>
                <w:color w:val="auto"/>
                <w:sz w:val="18"/>
                <w:szCs w:val="18"/>
              </w:rPr>
            </w:pPr>
            <w:r w:rsidRPr="002946A9">
              <w:rPr>
                <w:b w:val="0"/>
                <w:i/>
                <w:iCs/>
                <w:color w:val="auto"/>
                <w:sz w:val="18"/>
                <w:szCs w:val="18"/>
              </w:rPr>
              <w:t xml:space="preserve">Plan de choque VP T&amp;D - Subestaciones </w:t>
            </w:r>
          </w:p>
        </w:tc>
        <w:tc>
          <w:tcPr>
            <w:tcW w:w="2101" w:type="dxa"/>
            <w:noWrap/>
          </w:tcPr>
          <w:p w14:paraId="45FAFC8A" w14:textId="77777777" w:rsidR="003236C0" w:rsidRPr="002946A9" w:rsidRDefault="003236C0" w:rsidP="00F024D9">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74,032 </w:t>
            </w:r>
          </w:p>
        </w:tc>
      </w:tr>
      <w:tr w:rsidR="003236C0" w:rsidRPr="002946A9" w14:paraId="38DD049B" w14:textId="77777777" w:rsidTr="00351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317AB528" w14:textId="77777777" w:rsidR="003236C0" w:rsidRPr="002946A9" w:rsidRDefault="003236C0" w:rsidP="00351072">
            <w:pPr>
              <w:rPr>
                <w:b w:val="0"/>
                <w:i/>
                <w:iCs/>
                <w:color w:val="auto"/>
                <w:sz w:val="18"/>
                <w:szCs w:val="18"/>
              </w:rPr>
            </w:pPr>
            <w:r w:rsidRPr="002946A9">
              <w:rPr>
                <w:b w:val="0"/>
                <w:i/>
                <w:iCs/>
                <w:color w:val="auto"/>
                <w:sz w:val="18"/>
                <w:szCs w:val="18"/>
              </w:rPr>
              <w:t xml:space="preserve">Plan mejoramiento calidad del servicio </w:t>
            </w:r>
          </w:p>
        </w:tc>
        <w:tc>
          <w:tcPr>
            <w:tcW w:w="2101" w:type="dxa"/>
            <w:noWrap/>
          </w:tcPr>
          <w:p w14:paraId="4B84988C" w14:textId="77777777" w:rsidR="003236C0" w:rsidRPr="002946A9" w:rsidRDefault="003236C0" w:rsidP="00F024D9">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83,159 </w:t>
            </w:r>
          </w:p>
        </w:tc>
      </w:tr>
      <w:tr w:rsidR="003236C0" w:rsidRPr="002946A9" w14:paraId="1BC17D33" w14:textId="77777777" w:rsidTr="00351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12068EAB" w14:textId="77777777" w:rsidR="003236C0" w:rsidRPr="002946A9" w:rsidRDefault="003236C0" w:rsidP="00351072">
            <w:pPr>
              <w:rPr>
                <w:b w:val="0"/>
                <w:i/>
                <w:iCs/>
                <w:color w:val="auto"/>
                <w:sz w:val="18"/>
                <w:szCs w:val="18"/>
              </w:rPr>
            </w:pPr>
            <w:r w:rsidRPr="002946A9">
              <w:rPr>
                <w:b w:val="0"/>
                <w:i/>
                <w:iCs/>
                <w:color w:val="auto"/>
                <w:sz w:val="18"/>
                <w:szCs w:val="18"/>
              </w:rPr>
              <w:t xml:space="preserve">Reposición VP T&amp;D </w:t>
            </w:r>
          </w:p>
        </w:tc>
        <w:tc>
          <w:tcPr>
            <w:tcW w:w="2101" w:type="dxa"/>
            <w:noWrap/>
          </w:tcPr>
          <w:p w14:paraId="209C003A" w14:textId="77777777" w:rsidR="003236C0" w:rsidRPr="002946A9" w:rsidRDefault="003236C0" w:rsidP="00F024D9">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946A9">
              <w:rPr>
                <w:sz w:val="20"/>
                <w:szCs w:val="20"/>
              </w:rPr>
              <w:t xml:space="preserve"> 685,374 </w:t>
            </w:r>
          </w:p>
        </w:tc>
      </w:tr>
      <w:tr w:rsidR="003236C0" w:rsidRPr="002946A9" w14:paraId="23F8A50C" w14:textId="77777777" w:rsidTr="00351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68ECD5FB" w14:textId="77777777" w:rsidR="003236C0" w:rsidRPr="002946A9" w:rsidRDefault="003236C0" w:rsidP="00351072">
            <w:pPr>
              <w:rPr>
                <w:b w:val="0"/>
                <w:i/>
                <w:iCs/>
                <w:color w:val="auto"/>
                <w:sz w:val="18"/>
                <w:szCs w:val="18"/>
              </w:rPr>
            </w:pPr>
            <w:r w:rsidRPr="002946A9">
              <w:rPr>
                <w:b w:val="0"/>
                <w:i/>
                <w:iCs/>
                <w:color w:val="auto"/>
                <w:sz w:val="18"/>
                <w:szCs w:val="18"/>
              </w:rPr>
              <w:t xml:space="preserve">Solución a alta cargabilidad en redes del oriente antioqueño </w:t>
            </w:r>
          </w:p>
        </w:tc>
        <w:tc>
          <w:tcPr>
            <w:tcW w:w="2101" w:type="dxa"/>
            <w:noWrap/>
          </w:tcPr>
          <w:p w14:paraId="60D9F0D2" w14:textId="77777777" w:rsidR="003236C0" w:rsidRPr="002946A9" w:rsidRDefault="003236C0" w:rsidP="00F024D9">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21,268 </w:t>
            </w:r>
          </w:p>
        </w:tc>
      </w:tr>
      <w:tr w:rsidR="003236C0" w:rsidRPr="002946A9" w14:paraId="7DCE8CBB" w14:textId="77777777" w:rsidTr="003510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95" w:type="dxa"/>
            <w:noWrap/>
          </w:tcPr>
          <w:p w14:paraId="14E08166" w14:textId="77777777" w:rsidR="003236C0" w:rsidRPr="002946A9" w:rsidRDefault="003236C0" w:rsidP="00351072">
            <w:pPr>
              <w:rPr>
                <w:bCs w:val="0"/>
                <w:color w:val="auto"/>
                <w:sz w:val="18"/>
                <w:szCs w:val="18"/>
              </w:rPr>
            </w:pPr>
            <w:r w:rsidRPr="002946A9">
              <w:rPr>
                <w:bCs w:val="0"/>
                <w:color w:val="auto"/>
                <w:sz w:val="18"/>
                <w:szCs w:val="18"/>
              </w:rPr>
              <w:t xml:space="preserve">Total general </w:t>
            </w:r>
          </w:p>
        </w:tc>
        <w:tc>
          <w:tcPr>
            <w:tcW w:w="2101" w:type="dxa"/>
            <w:noWrap/>
          </w:tcPr>
          <w:p w14:paraId="03D0D6D6" w14:textId="77777777" w:rsidR="003236C0" w:rsidRPr="002946A9" w:rsidRDefault="003236C0" w:rsidP="00F024D9">
            <w:pPr>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rPr>
            </w:pPr>
            <w:r w:rsidRPr="002946A9">
              <w:rPr>
                <w:sz w:val="20"/>
                <w:szCs w:val="20"/>
              </w:rPr>
              <w:t xml:space="preserve"> </w:t>
            </w:r>
            <w:r w:rsidRPr="002946A9">
              <w:rPr>
                <w:b/>
                <w:bCs/>
                <w:sz w:val="20"/>
                <w:szCs w:val="20"/>
              </w:rPr>
              <w:t xml:space="preserve">1,569,715 </w:t>
            </w:r>
          </w:p>
        </w:tc>
      </w:tr>
      <w:tr w:rsidR="003236C0" w:rsidRPr="002946A9" w14:paraId="47907408" w14:textId="77777777" w:rsidTr="0035107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196" w:type="dxa"/>
            <w:gridSpan w:val="2"/>
            <w:shd w:val="clear" w:color="auto" w:fill="DFF0D3" w:themeFill="accent2" w:themeFillTint="33"/>
            <w:noWrap/>
          </w:tcPr>
          <w:p w14:paraId="77F9DC97" w14:textId="77777777" w:rsidR="003236C0" w:rsidRPr="002946A9" w:rsidRDefault="003236C0" w:rsidP="00351072">
            <w:pPr>
              <w:rPr>
                <w:rFonts w:cs="Calibri"/>
                <w:b w:val="0"/>
                <w:color w:val="auto"/>
                <w:sz w:val="18"/>
                <w:szCs w:val="18"/>
              </w:rPr>
            </w:pPr>
            <w:r w:rsidRPr="002946A9">
              <w:rPr>
                <w:rFonts w:cs="Calibri"/>
                <w:b w:val="0"/>
                <w:i/>
                <w:color w:val="auto"/>
                <w:sz w:val="18"/>
                <w:szCs w:val="18"/>
              </w:rPr>
              <w:t>* Valores en millones de pesos a diciembre del 2017.</w:t>
            </w:r>
          </w:p>
        </w:tc>
      </w:tr>
    </w:tbl>
    <w:p w14:paraId="58420185" w14:textId="77777777" w:rsidR="00405118" w:rsidRPr="002946A9" w:rsidRDefault="00405118" w:rsidP="00307E2B">
      <w:pPr>
        <w:spacing w:after="0"/>
        <w:jc w:val="both"/>
        <w:rPr>
          <w:rFonts w:ascii="Trebuchet MS" w:hAnsi="Trebuchet MS"/>
          <w:szCs w:val="24"/>
        </w:rPr>
      </w:pPr>
    </w:p>
    <w:p w14:paraId="235BE152" w14:textId="4741BC78" w:rsidR="00C67FE3" w:rsidRPr="002946A9" w:rsidRDefault="00D24702" w:rsidP="00DF29CB">
      <w:pPr>
        <w:spacing w:after="0"/>
        <w:ind w:left="360"/>
        <w:jc w:val="both"/>
        <w:rPr>
          <w:rFonts w:ascii="Trebuchet MS" w:hAnsi="Trebuchet MS"/>
          <w:szCs w:val="24"/>
        </w:rPr>
      </w:pPr>
      <w:r w:rsidRPr="002946A9">
        <w:rPr>
          <w:rFonts w:ascii="Trebuchet MS" w:hAnsi="Trebuchet MS"/>
          <w:szCs w:val="24"/>
        </w:rPr>
        <w:t>E</w:t>
      </w:r>
      <w:r w:rsidR="00DB7E58" w:rsidRPr="002946A9">
        <w:rPr>
          <w:rFonts w:ascii="Trebuchet MS" w:hAnsi="Trebuchet MS"/>
          <w:szCs w:val="24"/>
        </w:rPr>
        <w:t>n conjunto, estos proyectos suman un monto total de 1,</w:t>
      </w:r>
      <w:r w:rsidR="002F39EB" w:rsidRPr="002946A9">
        <w:rPr>
          <w:rFonts w:ascii="Trebuchet MS" w:hAnsi="Trebuchet MS"/>
          <w:szCs w:val="24"/>
        </w:rPr>
        <w:t>569,715</w:t>
      </w:r>
      <w:r w:rsidR="00DB7E58" w:rsidRPr="002946A9">
        <w:rPr>
          <w:rFonts w:ascii="Trebuchet MS" w:hAnsi="Trebuchet MS"/>
          <w:szCs w:val="24"/>
        </w:rPr>
        <w:t xml:space="preserve"> millones de pesos, lo que representa el </w:t>
      </w:r>
      <w:r w:rsidR="003A2656" w:rsidRPr="002946A9">
        <w:rPr>
          <w:rFonts w:ascii="Trebuchet MS" w:hAnsi="Trebuchet MS"/>
          <w:szCs w:val="24"/>
        </w:rPr>
        <w:t>89.</w:t>
      </w:r>
      <w:r w:rsidR="00D13606">
        <w:rPr>
          <w:rFonts w:ascii="Trebuchet MS" w:hAnsi="Trebuchet MS"/>
          <w:szCs w:val="24"/>
        </w:rPr>
        <w:t>681</w:t>
      </w:r>
      <w:r w:rsidR="003A2656" w:rsidRPr="002946A9">
        <w:rPr>
          <w:rFonts w:ascii="Trebuchet MS" w:hAnsi="Trebuchet MS"/>
          <w:szCs w:val="24"/>
        </w:rPr>
        <w:t xml:space="preserve">% </w:t>
      </w:r>
      <w:r w:rsidRPr="002946A9">
        <w:rPr>
          <w:rFonts w:ascii="Trebuchet MS" w:hAnsi="Trebuchet MS"/>
          <w:szCs w:val="24"/>
        </w:rPr>
        <w:t xml:space="preserve">del total </w:t>
      </w:r>
      <w:r w:rsidR="003A2656" w:rsidRPr="002946A9">
        <w:rPr>
          <w:rFonts w:ascii="Trebuchet MS" w:hAnsi="Trebuchet MS"/>
          <w:szCs w:val="24"/>
        </w:rPr>
        <w:t xml:space="preserve">de inversiones del </w:t>
      </w:r>
      <w:r w:rsidRPr="002946A9">
        <w:rPr>
          <w:rFonts w:ascii="Trebuchet MS" w:hAnsi="Trebuchet MS"/>
          <w:szCs w:val="24"/>
        </w:rPr>
        <w:t>plan</w:t>
      </w:r>
      <w:r w:rsidR="00D77420" w:rsidRPr="002946A9">
        <w:rPr>
          <w:rFonts w:ascii="Trebuchet MS" w:hAnsi="Trebuchet MS"/>
          <w:szCs w:val="24"/>
        </w:rPr>
        <w:t xml:space="preserve"> 20</w:t>
      </w:r>
      <w:r w:rsidR="002F39EB" w:rsidRPr="002946A9">
        <w:rPr>
          <w:rFonts w:ascii="Trebuchet MS" w:hAnsi="Trebuchet MS"/>
          <w:szCs w:val="24"/>
        </w:rPr>
        <w:t>20</w:t>
      </w:r>
      <w:r w:rsidR="00D77420" w:rsidRPr="002946A9">
        <w:rPr>
          <w:rFonts w:ascii="Trebuchet MS" w:hAnsi="Trebuchet MS"/>
          <w:szCs w:val="24"/>
        </w:rPr>
        <w:t>-202</w:t>
      </w:r>
      <w:r w:rsidR="002F39EB" w:rsidRPr="002946A9">
        <w:rPr>
          <w:rFonts w:ascii="Trebuchet MS" w:hAnsi="Trebuchet MS"/>
          <w:szCs w:val="24"/>
        </w:rPr>
        <w:t>5</w:t>
      </w:r>
      <w:r w:rsidRPr="002946A9">
        <w:rPr>
          <w:rFonts w:ascii="Trebuchet MS" w:hAnsi="Trebuchet MS"/>
          <w:szCs w:val="24"/>
        </w:rPr>
        <w:t>.</w:t>
      </w:r>
    </w:p>
    <w:p w14:paraId="63282814" w14:textId="77777777" w:rsidR="00A23CA3" w:rsidRPr="002946A9" w:rsidRDefault="00A23CA3" w:rsidP="00C56BAC">
      <w:pPr>
        <w:spacing w:after="0"/>
        <w:ind w:left="360"/>
        <w:jc w:val="both"/>
        <w:rPr>
          <w:rFonts w:ascii="Trebuchet MS" w:hAnsi="Trebuchet MS"/>
          <w:szCs w:val="24"/>
        </w:rPr>
      </w:pPr>
    </w:p>
    <w:p w14:paraId="6F3BAF7A" w14:textId="0C7EE388" w:rsidR="00671AF3" w:rsidRPr="002946A9" w:rsidRDefault="00671AF3" w:rsidP="00DF29CB">
      <w:pPr>
        <w:numPr>
          <w:ilvl w:val="2"/>
          <w:numId w:val="2"/>
        </w:numPr>
        <w:jc w:val="both"/>
        <w:outlineLvl w:val="2"/>
        <w:rPr>
          <w:rFonts w:ascii="Trebuchet MS" w:hAnsi="Trebuchet MS"/>
          <w:b/>
          <w:bCs/>
          <w:szCs w:val="24"/>
        </w:rPr>
      </w:pPr>
      <w:bookmarkStart w:id="139" w:name="_Ref67041774"/>
      <w:bookmarkStart w:id="140" w:name="_Ref67041820"/>
      <w:bookmarkStart w:id="141" w:name="_Toc131109348"/>
      <w:r w:rsidRPr="002946A9">
        <w:rPr>
          <w:rFonts w:ascii="Trebuchet MS" w:hAnsi="Trebuchet MS"/>
          <w:b/>
          <w:bCs/>
          <w:szCs w:val="24"/>
        </w:rPr>
        <w:t>Costo de reposición de referencia aprobado</w:t>
      </w:r>
      <w:bookmarkEnd w:id="139"/>
      <w:bookmarkEnd w:id="140"/>
      <w:bookmarkEnd w:id="141"/>
      <w:r w:rsidRPr="002946A9">
        <w:rPr>
          <w:rFonts w:ascii="Trebuchet MS" w:hAnsi="Trebuchet MS"/>
          <w:b/>
          <w:bCs/>
          <w:szCs w:val="24"/>
        </w:rPr>
        <w:t xml:space="preserve">  </w:t>
      </w:r>
    </w:p>
    <w:p w14:paraId="4962F296" w14:textId="5AF532AC" w:rsidR="00405118" w:rsidRPr="002946A9" w:rsidRDefault="004E1502" w:rsidP="009935AE">
      <w:pPr>
        <w:ind w:left="360"/>
        <w:jc w:val="both"/>
        <w:rPr>
          <w:rFonts w:ascii="Trebuchet MS" w:hAnsi="Trebuchet MS"/>
          <w:szCs w:val="24"/>
        </w:rPr>
      </w:pPr>
      <w:r w:rsidRPr="002946A9">
        <w:rPr>
          <w:rFonts w:ascii="Trebuchet MS" w:hAnsi="Trebuchet MS"/>
          <w:szCs w:val="24"/>
        </w:rPr>
        <w:t>El costo de reposición de referencia al inicio del periodo tarifario</w:t>
      </w:r>
      <w:r w:rsidR="00E94CD5" w:rsidRPr="002946A9">
        <w:rPr>
          <w:rFonts w:ascii="Trebuchet MS" w:hAnsi="Trebuchet MS"/>
          <w:szCs w:val="24"/>
        </w:rPr>
        <w:t xml:space="preserve"> </w:t>
      </w:r>
      <w:r w:rsidRPr="002946A9">
        <w:rPr>
          <w:rFonts w:ascii="Trebuchet MS" w:hAnsi="Trebuchet MS"/>
          <w:szCs w:val="24"/>
        </w:rPr>
        <w:t xml:space="preserve">(variable </w:t>
      </w:r>
      <w:r w:rsidRPr="002946A9">
        <w:rPr>
          <w:rFonts w:ascii="Trebuchet MS" w:hAnsi="Trebuchet MS"/>
          <w:i/>
          <w:iCs/>
          <w:szCs w:val="24"/>
        </w:rPr>
        <w:t>CRR</w:t>
      </w:r>
      <w:r w:rsidRPr="002946A9">
        <w:rPr>
          <w:rFonts w:ascii="Trebuchet MS" w:hAnsi="Trebuchet MS"/>
          <w:i/>
          <w:iCs/>
          <w:szCs w:val="24"/>
          <w:vertAlign w:val="subscript"/>
        </w:rPr>
        <w:t>j</w:t>
      </w:r>
      <w:r w:rsidRPr="002946A9">
        <w:rPr>
          <w:rFonts w:ascii="Trebuchet MS" w:hAnsi="Trebuchet MS"/>
          <w:szCs w:val="24"/>
        </w:rPr>
        <w:t xml:space="preserve">) aprobado para EPM </w:t>
      </w:r>
      <w:r w:rsidR="00D04F4C" w:rsidRPr="002946A9">
        <w:rPr>
          <w:rFonts w:ascii="Trebuchet MS" w:hAnsi="Trebuchet MS"/>
          <w:szCs w:val="24"/>
        </w:rPr>
        <w:t xml:space="preserve">en la resolución CREG 501 – 022 del 2022 </w:t>
      </w:r>
      <w:r w:rsidRPr="002946A9">
        <w:rPr>
          <w:rFonts w:ascii="Trebuchet MS" w:hAnsi="Trebuchet MS"/>
          <w:szCs w:val="24"/>
        </w:rPr>
        <w:t>se presenta</w:t>
      </w:r>
      <w:r w:rsidR="00E81CA2" w:rsidRPr="002946A9">
        <w:rPr>
          <w:rFonts w:ascii="Trebuchet MS" w:hAnsi="Trebuchet MS"/>
          <w:szCs w:val="24"/>
        </w:rPr>
        <w:t xml:space="preserve"> en</w:t>
      </w:r>
      <w:r w:rsidR="003F39E2" w:rsidRPr="002946A9">
        <w:rPr>
          <w:rFonts w:ascii="Trebuchet MS" w:hAnsi="Trebuchet MS"/>
          <w:szCs w:val="24"/>
        </w:rPr>
        <w:t xml:space="preserve"> la </w:t>
      </w:r>
      <w:r w:rsidR="003F39E2" w:rsidRPr="002946A9">
        <w:rPr>
          <w:rFonts w:ascii="Trebuchet MS" w:hAnsi="Trebuchet MS"/>
          <w:szCs w:val="24"/>
        </w:rPr>
        <w:fldChar w:fldCharType="begin"/>
      </w:r>
      <w:r w:rsidR="003F39E2" w:rsidRPr="002946A9">
        <w:rPr>
          <w:rFonts w:ascii="Trebuchet MS" w:hAnsi="Trebuchet MS"/>
          <w:szCs w:val="24"/>
        </w:rPr>
        <w:instrText xml:space="preserve"> REF _Ref66885661 \h </w:instrText>
      </w:r>
      <w:r w:rsidR="00DF29CB" w:rsidRPr="002946A9">
        <w:rPr>
          <w:rFonts w:ascii="Trebuchet MS" w:hAnsi="Trebuchet MS"/>
          <w:szCs w:val="24"/>
        </w:rPr>
        <w:instrText xml:space="preserve"> \* MERGEFORMAT </w:instrText>
      </w:r>
      <w:r w:rsidR="003F39E2" w:rsidRPr="002946A9">
        <w:rPr>
          <w:rFonts w:ascii="Trebuchet MS" w:hAnsi="Trebuchet MS"/>
          <w:szCs w:val="24"/>
        </w:rPr>
      </w:r>
      <w:r w:rsidR="003F39E2"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2</w:t>
      </w:r>
      <w:r w:rsidR="00C944CB" w:rsidRPr="002946A9">
        <w:rPr>
          <w:rFonts w:ascii="Trebuchet MS" w:hAnsi="Trebuchet MS"/>
          <w:noProof/>
        </w:rPr>
        <w:t>.</w:t>
      </w:r>
      <w:r w:rsidR="00C944CB">
        <w:rPr>
          <w:rFonts w:ascii="Trebuchet MS" w:hAnsi="Trebuchet MS"/>
          <w:noProof/>
        </w:rPr>
        <w:t>11</w:t>
      </w:r>
      <w:r w:rsidR="003F39E2" w:rsidRPr="002946A9">
        <w:rPr>
          <w:rFonts w:ascii="Trebuchet MS" w:hAnsi="Trebuchet MS"/>
          <w:szCs w:val="24"/>
        </w:rPr>
        <w:fldChar w:fldCharType="end"/>
      </w:r>
      <w:r w:rsidRPr="002946A9">
        <w:rPr>
          <w:rFonts w:ascii="Trebuchet MS" w:hAnsi="Trebuchet MS"/>
          <w:szCs w:val="24"/>
        </w:rPr>
        <w:t>, por nivel de tensión.</w:t>
      </w:r>
    </w:p>
    <w:p w14:paraId="781AA0B5" w14:textId="5890609B" w:rsidR="003450E4" w:rsidRPr="002946A9" w:rsidRDefault="003450E4" w:rsidP="00DF29CB">
      <w:pPr>
        <w:ind w:left="1416" w:hanging="1056"/>
        <w:jc w:val="both"/>
        <w:rPr>
          <w:rFonts w:ascii="Trebuchet MS" w:hAnsi="Trebuchet MS"/>
        </w:rPr>
      </w:pPr>
      <w:bookmarkStart w:id="142" w:name="_Ref66885661"/>
      <w:bookmarkStart w:id="143" w:name="_Toc131032779"/>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11</w:t>
      </w:r>
      <w:r w:rsidRPr="002946A9">
        <w:rPr>
          <w:rFonts w:ascii="Trebuchet MS" w:hAnsi="Trebuchet MS"/>
        </w:rPr>
        <w:fldChar w:fldCharType="end"/>
      </w:r>
      <w:bookmarkEnd w:id="142"/>
      <w:r w:rsidRPr="002946A9">
        <w:rPr>
          <w:rFonts w:ascii="Trebuchet MS" w:hAnsi="Trebuchet MS"/>
        </w:rPr>
        <w:t xml:space="preserve">  </w:t>
      </w:r>
      <w:r w:rsidR="0005144E" w:rsidRPr="002946A9">
        <w:rPr>
          <w:rFonts w:ascii="Trebuchet MS" w:hAnsi="Trebuchet MS"/>
        </w:rPr>
        <w:t>Costo de reposición de referencia aprobado para EP</w:t>
      </w:r>
      <w:r w:rsidR="00635AD0" w:rsidRPr="002946A9">
        <w:rPr>
          <w:rFonts w:ascii="Trebuchet MS" w:hAnsi="Trebuchet MS"/>
        </w:rPr>
        <w:t>M</w:t>
      </w:r>
      <w:r w:rsidR="000F634A" w:rsidRPr="002946A9">
        <w:rPr>
          <w:rFonts w:ascii="Trebuchet MS" w:hAnsi="Trebuchet MS"/>
        </w:rPr>
        <w:t>.</w:t>
      </w:r>
      <w:bookmarkEnd w:id="143"/>
    </w:p>
    <w:tbl>
      <w:tblPr>
        <w:tblW w:w="0" w:type="auto"/>
        <w:jc w:val="center"/>
        <w:tblCellMar>
          <w:left w:w="70" w:type="dxa"/>
          <w:right w:w="70" w:type="dxa"/>
        </w:tblCellMar>
        <w:tblLook w:val="04A0" w:firstRow="1" w:lastRow="0" w:firstColumn="1" w:lastColumn="0" w:noHBand="0" w:noVBand="1"/>
      </w:tblPr>
      <w:tblGrid>
        <w:gridCol w:w="2750"/>
        <w:gridCol w:w="2527"/>
      </w:tblGrid>
      <w:tr w:rsidR="00751E00" w:rsidRPr="002946A9" w14:paraId="21E22EB5" w14:textId="77777777" w:rsidTr="00751E00">
        <w:trPr>
          <w:trHeight w:val="20"/>
          <w:jc w:val="center"/>
        </w:trPr>
        <w:tc>
          <w:tcPr>
            <w:tcW w:w="0" w:type="auto"/>
            <w:gridSpan w:val="2"/>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211E48F9" w14:textId="2880D34E" w:rsidR="00751E00" w:rsidRPr="002946A9" w:rsidRDefault="00751E00" w:rsidP="00751E00">
            <w:pPr>
              <w:spacing w:after="0" w:line="240" w:lineRule="auto"/>
              <w:jc w:val="center"/>
              <w:rPr>
                <w:rFonts w:ascii="Trebuchet MS" w:eastAsia="Times New Roman" w:hAnsi="Trebuchet MS" w:cs="Calibri"/>
                <w:b/>
                <w:bCs/>
                <w:color w:val="000000"/>
                <w:sz w:val="18"/>
                <w:szCs w:val="18"/>
                <w:lang w:eastAsia="es-CO"/>
              </w:rPr>
            </w:pPr>
            <w:r w:rsidRPr="002946A9">
              <w:rPr>
                <w:rFonts w:ascii="Trebuchet MS" w:eastAsia="Times New Roman" w:hAnsi="Trebuchet MS" w:cs="Calibri"/>
                <w:b/>
                <w:bCs/>
                <w:color w:val="000000"/>
                <w:sz w:val="18"/>
                <w:szCs w:val="18"/>
                <w:lang w:eastAsia="es-CO"/>
              </w:rPr>
              <w:t xml:space="preserve">Costo de reposición de referencia por nivel de tensión, </w:t>
            </w:r>
            <w:r w:rsidRPr="002946A9">
              <w:rPr>
                <w:rFonts w:ascii="Trebuchet MS" w:eastAsia="Times New Roman" w:hAnsi="Trebuchet MS" w:cs="Calibri"/>
                <w:b/>
                <w:bCs/>
                <w:i/>
                <w:iCs/>
                <w:color w:val="000000"/>
                <w:sz w:val="18"/>
                <w:szCs w:val="18"/>
                <w:lang w:eastAsia="es-CO"/>
              </w:rPr>
              <w:t>Crr</w:t>
            </w:r>
            <w:r w:rsidRPr="002946A9">
              <w:rPr>
                <w:rFonts w:ascii="Trebuchet MS" w:eastAsia="Times New Roman" w:hAnsi="Trebuchet MS" w:cs="Calibri"/>
                <w:b/>
                <w:bCs/>
                <w:i/>
                <w:iCs/>
                <w:color w:val="000000"/>
                <w:sz w:val="18"/>
                <w:szCs w:val="18"/>
                <w:vertAlign w:val="subscript"/>
                <w:lang w:eastAsia="es-CO"/>
              </w:rPr>
              <w:t>j,n</w:t>
            </w:r>
          </w:p>
        </w:tc>
      </w:tr>
      <w:tr w:rsidR="00751E00" w:rsidRPr="002946A9" w14:paraId="15EF66EC" w14:textId="77777777" w:rsidTr="00751E00">
        <w:trPr>
          <w:trHeight w:val="20"/>
          <w:jc w:val="center"/>
        </w:trPr>
        <w:tc>
          <w:tcPr>
            <w:tcW w:w="0" w:type="auto"/>
            <w:tcBorders>
              <w:top w:val="nil"/>
              <w:left w:val="single" w:sz="8" w:space="0" w:color="FFFFFF"/>
              <w:bottom w:val="single" w:sz="8" w:space="0" w:color="FFFFFF"/>
              <w:right w:val="single" w:sz="8" w:space="0" w:color="FFFFFF"/>
            </w:tcBorders>
            <w:shd w:val="clear" w:color="000000" w:fill="BFE2A8"/>
            <w:vAlign w:val="center"/>
            <w:hideMark/>
          </w:tcPr>
          <w:p w14:paraId="7D269CB5" w14:textId="77777777" w:rsidR="00751E00" w:rsidRPr="002946A9" w:rsidRDefault="00751E00" w:rsidP="00751E00">
            <w:pPr>
              <w:spacing w:after="0" w:line="240" w:lineRule="auto"/>
              <w:jc w:val="center"/>
              <w:rPr>
                <w:rFonts w:ascii="Trebuchet MS" w:eastAsia="Times New Roman" w:hAnsi="Trebuchet MS" w:cs="Calibri"/>
                <w:b/>
                <w:bCs/>
                <w:color w:val="000000"/>
                <w:sz w:val="18"/>
                <w:szCs w:val="18"/>
                <w:lang w:eastAsia="es-CO"/>
              </w:rPr>
            </w:pPr>
            <w:r w:rsidRPr="002946A9">
              <w:rPr>
                <w:rFonts w:ascii="Trebuchet MS" w:eastAsia="Times New Roman" w:hAnsi="Trebuchet MS" w:cs="Calibri"/>
                <w:b/>
                <w:bCs/>
                <w:color w:val="000000"/>
                <w:sz w:val="18"/>
                <w:szCs w:val="18"/>
                <w:lang w:eastAsia="es-CO"/>
              </w:rPr>
              <w:t>Nivel de tensión</w:t>
            </w:r>
          </w:p>
        </w:tc>
        <w:tc>
          <w:tcPr>
            <w:tcW w:w="0" w:type="auto"/>
            <w:tcBorders>
              <w:top w:val="single" w:sz="8" w:space="0" w:color="FFFFFF"/>
              <w:left w:val="nil"/>
              <w:bottom w:val="single" w:sz="8" w:space="0" w:color="FFFFFF"/>
              <w:right w:val="single" w:sz="8" w:space="0" w:color="FFFFFF"/>
            </w:tcBorders>
            <w:shd w:val="clear" w:color="000000" w:fill="D6EAAF"/>
            <w:noWrap/>
            <w:vAlign w:val="center"/>
            <w:hideMark/>
          </w:tcPr>
          <w:p w14:paraId="4D56CC7B" w14:textId="46347879" w:rsidR="00751E00" w:rsidRPr="002946A9" w:rsidRDefault="00751E00" w:rsidP="00751E00">
            <w:pPr>
              <w:spacing w:after="0" w:line="240" w:lineRule="auto"/>
              <w:jc w:val="center"/>
              <w:rPr>
                <w:rFonts w:ascii="Trebuchet MS" w:eastAsia="Times New Roman" w:hAnsi="Trebuchet MS" w:cs="Calibri"/>
                <w:b/>
                <w:bCs/>
                <w:color w:val="000000"/>
                <w:sz w:val="18"/>
                <w:szCs w:val="18"/>
                <w:lang w:eastAsia="es-CO"/>
              </w:rPr>
            </w:pPr>
            <w:r w:rsidRPr="002946A9">
              <w:rPr>
                <w:rFonts w:ascii="Trebuchet MS" w:eastAsia="Times New Roman" w:hAnsi="Trebuchet MS" w:cs="Calibri"/>
                <w:b/>
                <w:bCs/>
                <w:color w:val="000000"/>
                <w:sz w:val="18"/>
                <w:szCs w:val="18"/>
                <w:lang w:eastAsia="es-CO"/>
              </w:rPr>
              <w:t>Valor Crr</w:t>
            </w:r>
            <w:r w:rsidRPr="002946A9">
              <w:rPr>
                <w:rFonts w:ascii="Trebuchet MS" w:eastAsia="Times New Roman" w:hAnsi="Trebuchet MS" w:cs="Calibri"/>
                <w:b/>
                <w:bCs/>
                <w:color w:val="000000"/>
                <w:sz w:val="18"/>
                <w:szCs w:val="18"/>
                <w:vertAlign w:val="subscript"/>
                <w:lang w:eastAsia="es-CO"/>
              </w:rPr>
              <w:t>j</w:t>
            </w:r>
            <w:r w:rsidR="00CE756C" w:rsidRPr="002946A9">
              <w:rPr>
                <w:rFonts w:ascii="Trebuchet MS" w:eastAsia="Times New Roman" w:hAnsi="Trebuchet MS" w:cs="Calibri"/>
                <w:b/>
                <w:bCs/>
                <w:color w:val="000000"/>
                <w:sz w:val="18"/>
                <w:szCs w:val="18"/>
                <w:vertAlign w:val="subscript"/>
                <w:lang w:eastAsia="es-CO"/>
              </w:rPr>
              <w:t>,n</w:t>
            </w:r>
          </w:p>
        </w:tc>
      </w:tr>
      <w:tr w:rsidR="00751E00" w:rsidRPr="002946A9" w14:paraId="565EE8B4" w14:textId="77777777" w:rsidTr="00751E00">
        <w:trPr>
          <w:trHeight w:val="20"/>
          <w:jc w:val="center"/>
        </w:trPr>
        <w:tc>
          <w:tcPr>
            <w:tcW w:w="0" w:type="auto"/>
            <w:tcBorders>
              <w:top w:val="nil"/>
              <w:left w:val="single" w:sz="8" w:space="0" w:color="FFFFFF"/>
              <w:bottom w:val="single" w:sz="8" w:space="0" w:color="FFFFFF"/>
              <w:right w:val="single" w:sz="8" w:space="0" w:color="FFFFFF"/>
            </w:tcBorders>
            <w:shd w:val="clear" w:color="000000" w:fill="BFE2A8"/>
            <w:noWrap/>
            <w:vAlign w:val="center"/>
            <w:hideMark/>
          </w:tcPr>
          <w:p w14:paraId="1C4C3637" w14:textId="77777777" w:rsidR="00751E00" w:rsidRPr="002946A9" w:rsidRDefault="00751E00" w:rsidP="00751E00">
            <w:pPr>
              <w:spacing w:after="0" w:line="240" w:lineRule="auto"/>
              <w:jc w:val="center"/>
              <w:rPr>
                <w:rFonts w:ascii="Trebuchet MS" w:eastAsia="Times New Roman" w:hAnsi="Trebuchet MS" w:cs="Calibri"/>
                <w:b/>
                <w:bCs/>
                <w:i/>
                <w:iCs/>
                <w:color w:val="000000"/>
                <w:sz w:val="18"/>
                <w:szCs w:val="18"/>
                <w:lang w:eastAsia="es-CO"/>
              </w:rPr>
            </w:pPr>
            <w:r w:rsidRPr="002946A9">
              <w:rPr>
                <w:rFonts w:ascii="Trebuchet MS" w:eastAsia="Times New Roman" w:hAnsi="Trebuchet MS" w:cs="Calibri"/>
                <w:b/>
                <w:bCs/>
                <w:i/>
                <w:iCs/>
                <w:color w:val="000000"/>
                <w:sz w:val="18"/>
                <w:szCs w:val="18"/>
                <w:lang w:eastAsia="es-CO"/>
              </w:rPr>
              <w:t>n = 4</w:t>
            </w:r>
          </w:p>
        </w:tc>
        <w:tc>
          <w:tcPr>
            <w:tcW w:w="0" w:type="auto"/>
            <w:tcBorders>
              <w:top w:val="single" w:sz="8" w:space="0" w:color="FFFFFF"/>
              <w:left w:val="nil"/>
              <w:bottom w:val="single" w:sz="8" w:space="0" w:color="FFFFFF"/>
              <w:right w:val="single" w:sz="8" w:space="0" w:color="FFFFFF"/>
            </w:tcBorders>
            <w:shd w:val="clear" w:color="000000" w:fill="EAF4D7"/>
            <w:noWrap/>
            <w:vAlign w:val="center"/>
            <w:hideMark/>
          </w:tcPr>
          <w:p w14:paraId="32C8A496" w14:textId="77777777" w:rsidR="00751E00" w:rsidRPr="002946A9" w:rsidRDefault="00751E00" w:rsidP="00751E00">
            <w:pPr>
              <w:spacing w:after="0" w:line="240" w:lineRule="auto"/>
              <w:jc w:val="right"/>
              <w:rPr>
                <w:rFonts w:ascii="Trebuchet MS" w:eastAsia="Times New Roman" w:hAnsi="Trebuchet MS" w:cs="Calibri"/>
                <w:color w:val="000000"/>
                <w:sz w:val="18"/>
                <w:szCs w:val="18"/>
                <w:lang w:eastAsia="es-CO"/>
              </w:rPr>
            </w:pPr>
            <w:r w:rsidRPr="002946A9">
              <w:rPr>
                <w:rFonts w:ascii="Trebuchet MS" w:eastAsia="Times New Roman" w:hAnsi="Trebuchet MS" w:cs="Calibri"/>
                <w:color w:val="000000"/>
                <w:sz w:val="18"/>
                <w:szCs w:val="18"/>
                <w:lang w:eastAsia="es-CO"/>
              </w:rPr>
              <w:t>1,291,107,680,333</w:t>
            </w:r>
          </w:p>
        </w:tc>
      </w:tr>
      <w:tr w:rsidR="00751E00" w:rsidRPr="002946A9" w14:paraId="3616BE46" w14:textId="77777777" w:rsidTr="00751E00">
        <w:trPr>
          <w:trHeight w:val="20"/>
          <w:jc w:val="center"/>
        </w:trPr>
        <w:tc>
          <w:tcPr>
            <w:tcW w:w="0" w:type="auto"/>
            <w:tcBorders>
              <w:top w:val="nil"/>
              <w:left w:val="single" w:sz="8" w:space="0" w:color="FFFFFF"/>
              <w:bottom w:val="single" w:sz="8" w:space="0" w:color="FFFFFF"/>
              <w:right w:val="single" w:sz="8" w:space="0" w:color="FFFFFF"/>
            </w:tcBorders>
            <w:shd w:val="clear" w:color="000000" w:fill="BFE2A8"/>
            <w:noWrap/>
            <w:vAlign w:val="center"/>
            <w:hideMark/>
          </w:tcPr>
          <w:p w14:paraId="121235E8" w14:textId="77777777" w:rsidR="00751E00" w:rsidRPr="002946A9" w:rsidRDefault="00751E00" w:rsidP="00751E00">
            <w:pPr>
              <w:spacing w:after="0" w:line="240" w:lineRule="auto"/>
              <w:jc w:val="center"/>
              <w:rPr>
                <w:rFonts w:ascii="Trebuchet MS" w:eastAsia="Times New Roman" w:hAnsi="Trebuchet MS" w:cs="Calibri"/>
                <w:b/>
                <w:bCs/>
                <w:i/>
                <w:iCs/>
                <w:color w:val="000000"/>
                <w:sz w:val="18"/>
                <w:szCs w:val="18"/>
                <w:lang w:eastAsia="es-CO"/>
              </w:rPr>
            </w:pPr>
            <w:r w:rsidRPr="002946A9">
              <w:rPr>
                <w:rFonts w:ascii="Trebuchet MS" w:eastAsia="Times New Roman" w:hAnsi="Trebuchet MS" w:cs="Calibri"/>
                <w:b/>
                <w:bCs/>
                <w:i/>
                <w:iCs/>
                <w:color w:val="000000"/>
                <w:sz w:val="18"/>
                <w:szCs w:val="18"/>
                <w:lang w:eastAsia="es-CO"/>
              </w:rPr>
              <w:t>n = 3</w:t>
            </w:r>
          </w:p>
        </w:tc>
        <w:tc>
          <w:tcPr>
            <w:tcW w:w="0" w:type="auto"/>
            <w:tcBorders>
              <w:top w:val="single" w:sz="8" w:space="0" w:color="FFFFFF"/>
              <w:left w:val="nil"/>
              <w:bottom w:val="single" w:sz="8" w:space="0" w:color="FFFFFF"/>
              <w:right w:val="single" w:sz="8" w:space="0" w:color="FFFFFF"/>
            </w:tcBorders>
            <w:shd w:val="clear" w:color="000000" w:fill="D6EAAF"/>
            <w:noWrap/>
            <w:vAlign w:val="center"/>
            <w:hideMark/>
          </w:tcPr>
          <w:p w14:paraId="5FAACA10" w14:textId="77777777" w:rsidR="00751E00" w:rsidRPr="002946A9" w:rsidRDefault="00751E00" w:rsidP="00751E00">
            <w:pPr>
              <w:spacing w:after="0" w:line="240" w:lineRule="auto"/>
              <w:jc w:val="right"/>
              <w:rPr>
                <w:rFonts w:ascii="Trebuchet MS" w:eastAsia="Times New Roman" w:hAnsi="Trebuchet MS" w:cs="Calibri"/>
                <w:color w:val="000000"/>
                <w:sz w:val="18"/>
                <w:szCs w:val="18"/>
                <w:lang w:eastAsia="es-CO"/>
              </w:rPr>
            </w:pPr>
            <w:r w:rsidRPr="002946A9">
              <w:rPr>
                <w:rFonts w:ascii="Trebuchet MS" w:eastAsia="Times New Roman" w:hAnsi="Trebuchet MS" w:cs="Calibri"/>
                <w:color w:val="000000"/>
                <w:sz w:val="18"/>
                <w:szCs w:val="18"/>
                <w:lang w:eastAsia="es-CO"/>
              </w:rPr>
              <w:t>564,280,323,806</w:t>
            </w:r>
          </w:p>
        </w:tc>
      </w:tr>
      <w:tr w:rsidR="00751E00" w:rsidRPr="002946A9" w14:paraId="0F6D8952" w14:textId="77777777" w:rsidTr="00751E00">
        <w:trPr>
          <w:trHeight w:val="20"/>
          <w:jc w:val="center"/>
        </w:trPr>
        <w:tc>
          <w:tcPr>
            <w:tcW w:w="0" w:type="auto"/>
            <w:tcBorders>
              <w:top w:val="nil"/>
              <w:left w:val="single" w:sz="8" w:space="0" w:color="FFFFFF"/>
              <w:bottom w:val="single" w:sz="8" w:space="0" w:color="FFFFFF"/>
              <w:right w:val="single" w:sz="8" w:space="0" w:color="FFFFFF"/>
            </w:tcBorders>
            <w:shd w:val="clear" w:color="000000" w:fill="BFE2A8"/>
            <w:noWrap/>
            <w:vAlign w:val="center"/>
            <w:hideMark/>
          </w:tcPr>
          <w:p w14:paraId="218E63F1" w14:textId="77777777" w:rsidR="00751E00" w:rsidRPr="002946A9" w:rsidRDefault="00751E00" w:rsidP="00751E00">
            <w:pPr>
              <w:spacing w:after="0" w:line="240" w:lineRule="auto"/>
              <w:jc w:val="center"/>
              <w:rPr>
                <w:rFonts w:ascii="Trebuchet MS" w:eastAsia="Times New Roman" w:hAnsi="Trebuchet MS" w:cs="Calibri"/>
                <w:b/>
                <w:bCs/>
                <w:i/>
                <w:iCs/>
                <w:color w:val="000000"/>
                <w:sz w:val="18"/>
                <w:szCs w:val="18"/>
                <w:lang w:eastAsia="es-CO"/>
              </w:rPr>
            </w:pPr>
            <w:r w:rsidRPr="002946A9">
              <w:rPr>
                <w:rFonts w:ascii="Trebuchet MS" w:eastAsia="Times New Roman" w:hAnsi="Trebuchet MS" w:cs="Calibri"/>
                <w:b/>
                <w:bCs/>
                <w:i/>
                <w:iCs/>
                <w:color w:val="000000"/>
                <w:sz w:val="18"/>
                <w:szCs w:val="18"/>
                <w:lang w:eastAsia="es-CO"/>
              </w:rPr>
              <w:t>n = 2</w:t>
            </w:r>
          </w:p>
        </w:tc>
        <w:tc>
          <w:tcPr>
            <w:tcW w:w="0" w:type="auto"/>
            <w:tcBorders>
              <w:top w:val="single" w:sz="8" w:space="0" w:color="FFFFFF"/>
              <w:left w:val="nil"/>
              <w:bottom w:val="single" w:sz="8" w:space="0" w:color="FFFFFF"/>
              <w:right w:val="single" w:sz="8" w:space="0" w:color="FFFFFF"/>
            </w:tcBorders>
            <w:shd w:val="clear" w:color="000000" w:fill="EAF4D7"/>
            <w:noWrap/>
            <w:vAlign w:val="center"/>
            <w:hideMark/>
          </w:tcPr>
          <w:p w14:paraId="6E9CC63A" w14:textId="77777777" w:rsidR="00751E00" w:rsidRPr="002946A9" w:rsidRDefault="00751E00" w:rsidP="00751E00">
            <w:pPr>
              <w:spacing w:after="0" w:line="240" w:lineRule="auto"/>
              <w:jc w:val="right"/>
              <w:rPr>
                <w:rFonts w:ascii="Trebuchet MS" w:eastAsia="Times New Roman" w:hAnsi="Trebuchet MS" w:cs="Calibri"/>
                <w:color w:val="000000"/>
                <w:sz w:val="18"/>
                <w:szCs w:val="18"/>
                <w:lang w:eastAsia="es-CO"/>
              </w:rPr>
            </w:pPr>
            <w:r w:rsidRPr="002946A9">
              <w:rPr>
                <w:rFonts w:ascii="Trebuchet MS" w:eastAsia="Times New Roman" w:hAnsi="Trebuchet MS" w:cs="Calibri"/>
                <w:color w:val="000000"/>
                <w:sz w:val="18"/>
                <w:szCs w:val="18"/>
                <w:lang w:eastAsia="es-CO"/>
              </w:rPr>
              <w:t>3,980,504,477,710</w:t>
            </w:r>
          </w:p>
        </w:tc>
      </w:tr>
      <w:tr w:rsidR="00751E00" w:rsidRPr="002946A9" w14:paraId="6CA7107C" w14:textId="77777777" w:rsidTr="00751E00">
        <w:trPr>
          <w:trHeight w:val="20"/>
          <w:jc w:val="center"/>
        </w:trPr>
        <w:tc>
          <w:tcPr>
            <w:tcW w:w="0" w:type="auto"/>
            <w:tcBorders>
              <w:top w:val="nil"/>
              <w:left w:val="single" w:sz="8" w:space="0" w:color="FFFFFF"/>
              <w:bottom w:val="single" w:sz="8" w:space="0" w:color="FFFFFF"/>
              <w:right w:val="single" w:sz="8" w:space="0" w:color="FFFFFF"/>
            </w:tcBorders>
            <w:shd w:val="clear" w:color="000000" w:fill="BFE2A8"/>
            <w:noWrap/>
            <w:vAlign w:val="center"/>
            <w:hideMark/>
          </w:tcPr>
          <w:p w14:paraId="7839D824" w14:textId="77777777" w:rsidR="00751E00" w:rsidRPr="002946A9" w:rsidRDefault="00751E00" w:rsidP="00751E00">
            <w:pPr>
              <w:spacing w:after="0" w:line="240" w:lineRule="auto"/>
              <w:jc w:val="center"/>
              <w:rPr>
                <w:rFonts w:ascii="Trebuchet MS" w:eastAsia="Times New Roman" w:hAnsi="Trebuchet MS" w:cs="Calibri"/>
                <w:b/>
                <w:bCs/>
                <w:i/>
                <w:iCs/>
                <w:color w:val="000000"/>
                <w:sz w:val="18"/>
                <w:szCs w:val="18"/>
                <w:lang w:eastAsia="es-CO"/>
              </w:rPr>
            </w:pPr>
            <w:r w:rsidRPr="002946A9">
              <w:rPr>
                <w:rFonts w:ascii="Trebuchet MS" w:eastAsia="Times New Roman" w:hAnsi="Trebuchet MS" w:cs="Calibri"/>
                <w:b/>
                <w:bCs/>
                <w:i/>
                <w:iCs/>
                <w:color w:val="000000"/>
                <w:sz w:val="18"/>
                <w:szCs w:val="18"/>
                <w:lang w:eastAsia="es-CO"/>
              </w:rPr>
              <w:t>n = 1</w:t>
            </w:r>
          </w:p>
        </w:tc>
        <w:tc>
          <w:tcPr>
            <w:tcW w:w="0" w:type="auto"/>
            <w:tcBorders>
              <w:top w:val="single" w:sz="8" w:space="0" w:color="FFFFFF"/>
              <w:left w:val="nil"/>
              <w:bottom w:val="single" w:sz="8" w:space="0" w:color="FFFFFF"/>
              <w:right w:val="single" w:sz="8" w:space="0" w:color="FFFFFF"/>
            </w:tcBorders>
            <w:shd w:val="clear" w:color="000000" w:fill="D6EAAF"/>
            <w:noWrap/>
            <w:vAlign w:val="center"/>
            <w:hideMark/>
          </w:tcPr>
          <w:p w14:paraId="5E25D69C" w14:textId="77777777" w:rsidR="00751E00" w:rsidRPr="002946A9" w:rsidRDefault="00751E00" w:rsidP="00751E00">
            <w:pPr>
              <w:spacing w:after="0" w:line="240" w:lineRule="auto"/>
              <w:jc w:val="right"/>
              <w:rPr>
                <w:rFonts w:ascii="Trebuchet MS" w:eastAsia="Times New Roman" w:hAnsi="Trebuchet MS" w:cs="Calibri"/>
                <w:color w:val="000000"/>
                <w:sz w:val="18"/>
                <w:szCs w:val="18"/>
                <w:lang w:eastAsia="es-CO"/>
              </w:rPr>
            </w:pPr>
            <w:r w:rsidRPr="002946A9">
              <w:rPr>
                <w:rFonts w:ascii="Trebuchet MS" w:eastAsia="Times New Roman" w:hAnsi="Trebuchet MS" w:cs="Calibri"/>
                <w:color w:val="000000"/>
                <w:sz w:val="18"/>
                <w:szCs w:val="18"/>
                <w:lang w:eastAsia="es-CO"/>
              </w:rPr>
              <w:t>1,618,372,935,266</w:t>
            </w:r>
          </w:p>
        </w:tc>
      </w:tr>
      <w:tr w:rsidR="00751E00" w:rsidRPr="002946A9" w14:paraId="3B27BFE4" w14:textId="77777777" w:rsidTr="006F496D">
        <w:trPr>
          <w:trHeight w:val="20"/>
          <w:jc w:val="center"/>
        </w:trPr>
        <w:tc>
          <w:tcPr>
            <w:tcW w:w="0" w:type="auto"/>
            <w:gridSpan w:val="2"/>
            <w:tcBorders>
              <w:top w:val="single" w:sz="8" w:space="0" w:color="FFFFFF"/>
              <w:left w:val="single" w:sz="8" w:space="0" w:color="FFFFFF"/>
              <w:bottom w:val="single" w:sz="8" w:space="0" w:color="FFFFFF"/>
              <w:right w:val="single" w:sz="8" w:space="0" w:color="FFFFFF"/>
            </w:tcBorders>
            <w:shd w:val="clear" w:color="000000" w:fill="C1DF87"/>
            <w:noWrap/>
            <w:vAlign w:val="center"/>
            <w:hideMark/>
          </w:tcPr>
          <w:p w14:paraId="603061E0" w14:textId="6C54C3D8" w:rsidR="00751E00" w:rsidRPr="002946A9" w:rsidRDefault="00751E00" w:rsidP="00751E00">
            <w:pPr>
              <w:spacing w:after="0" w:line="240" w:lineRule="auto"/>
              <w:rPr>
                <w:rFonts w:ascii="Trebuchet MS" w:eastAsia="Times New Roman" w:hAnsi="Trebuchet MS" w:cs="Calibri"/>
                <w:color w:val="000000"/>
                <w:lang w:eastAsia="es-CO"/>
              </w:rPr>
            </w:pPr>
          </w:p>
        </w:tc>
      </w:tr>
      <w:tr w:rsidR="00751E00" w:rsidRPr="002946A9" w14:paraId="421BF082" w14:textId="77777777" w:rsidTr="00751E00">
        <w:trPr>
          <w:trHeight w:val="20"/>
          <w:jc w:val="center"/>
        </w:trPr>
        <w:tc>
          <w:tcPr>
            <w:tcW w:w="0" w:type="auto"/>
            <w:gridSpan w:val="2"/>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7EF96EC8" w14:textId="3D2B3151" w:rsidR="00751E00" w:rsidRPr="002946A9" w:rsidRDefault="00751E00" w:rsidP="00751E00">
            <w:pPr>
              <w:spacing w:after="0" w:line="240" w:lineRule="auto"/>
              <w:jc w:val="center"/>
              <w:rPr>
                <w:rFonts w:ascii="Trebuchet MS" w:eastAsia="Times New Roman" w:hAnsi="Trebuchet MS" w:cs="Calibri"/>
                <w:b/>
                <w:bCs/>
                <w:color w:val="000000"/>
                <w:sz w:val="18"/>
                <w:szCs w:val="18"/>
                <w:lang w:eastAsia="es-CO"/>
              </w:rPr>
            </w:pPr>
            <w:r w:rsidRPr="002946A9">
              <w:rPr>
                <w:rFonts w:ascii="Trebuchet MS" w:eastAsia="Times New Roman" w:hAnsi="Trebuchet MS" w:cs="Calibri"/>
                <w:b/>
                <w:bCs/>
                <w:color w:val="000000"/>
                <w:sz w:val="18"/>
                <w:szCs w:val="18"/>
                <w:lang w:eastAsia="es-CO"/>
              </w:rPr>
              <w:t xml:space="preserve">Costo de reposición de referencia Total, </w:t>
            </w:r>
            <w:r w:rsidRPr="002946A9">
              <w:rPr>
                <w:rFonts w:ascii="Trebuchet MS" w:eastAsia="Times New Roman" w:hAnsi="Trebuchet MS" w:cs="Calibri"/>
                <w:b/>
                <w:bCs/>
                <w:i/>
                <w:iCs/>
                <w:color w:val="000000"/>
                <w:sz w:val="18"/>
                <w:szCs w:val="18"/>
                <w:lang w:eastAsia="es-CO"/>
              </w:rPr>
              <w:t>CRR</w:t>
            </w:r>
            <w:r w:rsidRPr="002946A9">
              <w:rPr>
                <w:rFonts w:ascii="Trebuchet MS" w:eastAsia="Times New Roman" w:hAnsi="Trebuchet MS" w:cs="Calibri"/>
                <w:b/>
                <w:bCs/>
                <w:i/>
                <w:iCs/>
                <w:color w:val="000000"/>
                <w:sz w:val="18"/>
                <w:szCs w:val="18"/>
                <w:vertAlign w:val="subscript"/>
                <w:lang w:eastAsia="es-CO"/>
              </w:rPr>
              <w:t>j</w:t>
            </w:r>
            <w:r w:rsidR="009850AA" w:rsidRPr="002946A9">
              <w:rPr>
                <w:rFonts w:ascii="Trebuchet MS" w:eastAsia="Times New Roman" w:hAnsi="Trebuchet MS" w:cs="Calibri"/>
                <w:b/>
                <w:bCs/>
                <w:i/>
                <w:iCs/>
                <w:color w:val="000000"/>
                <w:sz w:val="18"/>
                <w:szCs w:val="18"/>
                <w:vertAlign w:val="subscript"/>
                <w:lang w:eastAsia="es-CO"/>
              </w:rPr>
              <w:t xml:space="preserve"> </w:t>
            </w:r>
            <w:r w:rsidR="009850AA" w:rsidRPr="002946A9">
              <w:rPr>
                <w:rFonts w:ascii="Trebuchet MS" w:eastAsia="Times New Roman" w:hAnsi="Trebuchet MS" w:cs="Calibri"/>
                <w:b/>
                <w:bCs/>
                <w:i/>
                <w:iCs/>
                <w:color w:val="000000"/>
                <w:sz w:val="18"/>
                <w:szCs w:val="18"/>
                <w:lang w:eastAsia="es-CO"/>
              </w:rPr>
              <w:t>=</w:t>
            </w:r>
            <m:oMath>
              <m:r>
                <m:rPr>
                  <m:sty m:val="bi"/>
                </m:rPr>
                <w:rPr>
                  <w:rFonts w:ascii="Cambria Math" w:eastAsia="Times New Roman" w:hAnsi="Cambria Math" w:cs="Calibri"/>
                  <w:color w:val="000000"/>
                  <w:sz w:val="18"/>
                  <w:szCs w:val="18"/>
                  <w:lang w:eastAsia="es-CO"/>
                </w:rPr>
                <m:t xml:space="preserve"> </m:t>
              </m:r>
              <m:nary>
                <m:naryPr>
                  <m:chr m:val="∑"/>
                  <m:limLoc m:val="undOvr"/>
                  <m:ctrlPr>
                    <w:rPr>
                      <w:rFonts w:ascii="Cambria Math" w:eastAsia="Times New Roman" w:hAnsi="Cambria Math" w:cs="Calibri"/>
                      <w:b/>
                      <w:bCs/>
                      <w:i/>
                      <w:iCs/>
                      <w:color w:val="000000"/>
                      <w:sz w:val="18"/>
                      <w:szCs w:val="18"/>
                      <w:lang w:eastAsia="es-CO"/>
                    </w:rPr>
                  </m:ctrlPr>
                </m:naryPr>
                <m:sub>
                  <m:r>
                    <m:rPr>
                      <m:sty m:val="bi"/>
                    </m:rPr>
                    <w:rPr>
                      <w:rFonts w:ascii="Cambria Math" w:eastAsia="Times New Roman" w:hAnsi="Cambria Math" w:cs="Calibri"/>
                      <w:color w:val="000000"/>
                      <w:sz w:val="18"/>
                      <w:szCs w:val="18"/>
                      <w:lang w:eastAsia="es-CO"/>
                    </w:rPr>
                    <m:t>n=1</m:t>
                  </m:r>
                </m:sub>
                <m:sup>
                  <m:r>
                    <m:rPr>
                      <m:sty m:val="bi"/>
                    </m:rPr>
                    <w:rPr>
                      <w:rFonts w:ascii="Cambria Math" w:eastAsia="Times New Roman" w:hAnsi="Cambria Math" w:cs="Calibri"/>
                      <w:color w:val="000000"/>
                      <w:sz w:val="18"/>
                      <w:szCs w:val="18"/>
                      <w:lang w:eastAsia="es-CO"/>
                    </w:rPr>
                    <m:t>4</m:t>
                  </m:r>
                </m:sup>
                <m:e>
                  <m:sSub>
                    <m:sSubPr>
                      <m:ctrlPr>
                        <w:rPr>
                          <w:rFonts w:ascii="Cambria Math" w:eastAsia="Times New Roman" w:hAnsi="Cambria Math" w:cs="Calibri"/>
                          <w:i/>
                          <w:iCs/>
                          <w:color w:val="000000"/>
                          <w:sz w:val="18"/>
                          <w:szCs w:val="18"/>
                          <w:lang w:eastAsia="es-CO"/>
                        </w:rPr>
                      </m:ctrlPr>
                    </m:sSubPr>
                    <m:e>
                      <m:r>
                        <w:rPr>
                          <w:rFonts w:ascii="Cambria Math" w:eastAsia="Times New Roman" w:hAnsi="Cambria Math" w:cs="Calibri"/>
                          <w:color w:val="000000"/>
                          <w:sz w:val="18"/>
                          <w:szCs w:val="18"/>
                          <w:lang w:eastAsia="es-CO"/>
                        </w:rPr>
                        <m:t>Crr</m:t>
                      </m:r>
                    </m:e>
                    <m:sub>
                      <m:r>
                        <w:rPr>
                          <w:rFonts w:ascii="Cambria Math" w:eastAsia="Times New Roman" w:hAnsi="Cambria Math" w:cs="Calibri"/>
                          <w:color w:val="000000"/>
                          <w:sz w:val="18"/>
                          <w:szCs w:val="18"/>
                          <w:lang w:eastAsia="es-CO"/>
                        </w:rPr>
                        <m:t>j,n</m:t>
                      </m:r>
                    </m:sub>
                  </m:sSub>
                </m:e>
              </m:nary>
            </m:oMath>
          </w:p>
        </w:tc>
      </w:tr>
      <w:tr w:rsidR="006F496D" w:rsidRPr="002946A9" w14:paraId="54DBA6A0" w14:textId="77777777" w:rsidTr="007B2369">
        <w:trPr>
          <w:trHeight w:val="20"/>
          <w:jc w:val="center"/>
        </w:trPr>
        <w:tc>
          <w:tcPr>
            <w:tcW w:w="0" w:type="auto"/>
            <w:tcBorders>
              <w:top w:val="nil"/>
              <w:left w:val="single" w:sz="8" w:space="0" w:color="FFFFFF"/>
              <w:bottom w:val="single" w:sz="8" w:space="0" w:color="FFFFFF"/>
              <w:right w:val="single" w:sz="8" w:space="0" w:color="FFFFFF"/>
            </w:tcBorders>
            <w:shd w:val="clear" w:color="000000" w:fill="BFE2A8"/>
            <w:noWrap/>
            <w:vAlign w:val="center"/>
            <w:hideMark/>
          </w:tcPr>
          <w:p w14:paraId="594F7D12" w14:textId="0A92B51F" w:rsidR="006F496D" w:rsidRPr="002946A9" w:rsidRDefault="006F496D" w:rsidP="006F496D">
            <w:pPr>
              <w:spacing w:after="0" w:line="240" w:lineRule="auto"/>
              <w:jc w:val="center"/>
              <w:rPr>
                <w:rFonts w:ascii="Trebuchet MS" w:eastAsia="Times New Roman" w:hAnsi="Trebuchet MS" w:cs="Calibri"/>
                <w:b/>
                <w:bCs/>
                <w:color w:val="000000"/>
                <w:sz w:val="18"/>
                <w:szCs w:val="18"/>
                <w:lang w:eastAsia="es-CO"/>
              </w:rPr>
            </w:pPr>
            <w:r w:rsidRPr="002946A9">
              <w:rPr>
                <w:rFonts w:ascii="Trebuchet MS" w:eastAsia="Times New Roman" w:hAnsi="Trebuchet MS" w:cs="Calibri"/>
                <w:b/>
                <w:bCs/>
                <w:color w:val="000000"/>
                <w:sz w:val="18"/>
                <w:szCs w:val="18"/>
                <w:lang w:eastAsia="es-CO"/>
              </w:rPr>
              <w:t xml:space="preserve">Valor </w:t>
            </w:r>
            <w:r w:rsidRPr="002946A9">
              <w:rPr>
                <w:rFonts w:ascii="Trebuchet MS" w:eastAsia="Times New Roman" w:hAnsi="Trebuchet MS" w:cs="Calibri"/>
                <w:b/>
                <w:bCs/>
                <w:i/>
                <w:iCs/>
                <w:color w:val="000000"/>
                <w:sz w:val="18"/>
                <w:szCs w:val="18"/>
                <w:lang w:eastAsia="es-CO"/>
              </w:rPr>
              <w:t>(CRR</w:t>
            </w:r>
            <w:r w:rsidRPr="002946A9">
              <w:rPr>
                <w:rFonts w:ascii="Trebuchet MS" w:eastAsia="Times New Roman" w:hAnsi="Trebuchet MS" w:cs="Calibri"/>
                <w:b/>
                <w:bCs/>
                <w:i/>
                <w:iCs/>
                <w:color w:val="000000"/>
                <w:sz w:val="18"/>
                <w:szCs w:val="18"/>
                <w:vertAlign w:val="subscript"/>
                <w:lang w:eastAsia="es-CO"/>
              </w:rPr>
              <w:t>j</w:t>
            </w:r>
            <w:r w:rsidRPr="002946A9">
              <w:rPr>
                <w:rFonts w:ascii="Trebuchet MS" w:eastAsia="Times New Roman" w:hAnsi="Trebuchet MS" w:cs="Calibri"/>
                <w:b/>
                <w:bCs/>
                <w:color w:val="000000"/>
                <w:sz w:val="18"/>
                <w:szCs w:val="18"/>
                <w:lang w:eastAsia="es-CO"/>
              </w:rPr>
              <w:t>)</w:t>
            </w:r>
          </w:p>
        </w:tc>
        <w:tc>
          <w:tcPr>
            <w:tcW w:w="0" w:type="auto"/>
            <w:tcBorders>
              <w:top w:val="nil"/>
              <w:left w:val="nil"/>
              <w:bottom w:val="single" w:sz="8" w:space="0" w:color="FFFFFF"/>
              <w:right w:val="single" w:sz="8" w:space="0" w:color="FFFFFF"/>
            </w:tcBorders>
            <w:shd w:val="clear" w:color="000000" w:fill="BFE2A8"/>
            <w:vAlign w:val="center"/>
            <w:hideMark/>
          </w:tcPr>
          <w:p w14:paraId="597E143F" w14:textId="2F2C7586" w:rsidR="006F496D" w:rsidRPr="002946A9" w:rsidRDefault="006F496D" w:rsidP="00751E00">
            <w:pPr>
              <w:spacing w:after="0" w:line="240" w:lineRule="auto"/>
              <w:jc w:val="center"/>
              <w:rPr>
                <w:rFonts w:ascii="Trebuchet MS" w:eastAsia="Times New Roman" w:hAnsi="Trebuchet MS" w:cs="Calibri"/>
                <w:b/>
                <w:bCs/>
                <w:color w:val="000000"/>
                <w:sz w:val="18"/>
                <w:szCs w:val="18"/>
                <w:lang w:eastAsia="es-CO"/>
              </w:rPr>
            </w:pPr>
            <w:r w:rsidRPr="002946A9">
              <w:rPr>
                <w:rFonts w:ascii="Trebuchet MS" w:eastAsia="Times New Roman" w:hAnsi="Trebuchet MS" w:cs="Calibri"/>
                <w:b/>
                <w:bCs/>
                <w:i/>
                <w:iCs/>
                <w:color w:val="000000"/>
                <w:sz w:val="18"/>
                <w:szCs w:val="18"/>
                <w:lang w:eastAsia="es-CO"/>
              </w:rPr>
              <w:t>(CRR</w:t>
            </w:r>
            <w:r w:rsidRPr="002946A9">
              <w:rPr>
                <w:rFonts w:ascii="Trebuchet MS" w:eastAsia="Times New Roman" w:hAnsi="Trebuchet MS" w:cs="Calibri"/>
                <w:b/>
                <w:bCs/>
                <w:i/>
                <w:iCs/>
                <w:color w:val="000000"/>
                <w:sz w:val="18"/>
                <w:szCs w:val="18"/>
                <w:vertAlign w:val="subscript"/>
                <w:lang w:eastAsia="es-CO"/>
              </w:rPr>
              <w:t>j</w:t>
            </w:r>
            <w:r w:rsidR="00BD54D3" w:rsidRPr="002946A9">
              <w:rPr>
                <w:rFonts w:ascii="Trebuchet MS" w:eastAsia="Times New Roman" w:hAnsi="Trebuchet MS" w:cs="Calibri"/>
                <w:b/>
                <w:bCs/>
                <w:color w:val="000000"/>
                <w:sz w:val="18"/>
                <w:szCs w:val="18"/>
                <w:lang w:eastAsia="es-CO"/>
              </w:rPr>
              <w:t>)x(8</w:t>
            </w:r>
            <w:r w:rsidRPr="002946A9">
              <w:rPr>
                <w:rFonts w:ascii="Trebuchet MS" w:eastAsia="Times New Roman" w:hAnsi="Trebuchet MS" w:cs="Calibri"/>
                <w:b/>
                <w:bCs/>
                <w:color w:val="000000"/>
                <w:sz w:val="18"/>
                <w:szCs w:val="18"/>
                <w:lang w:eastAsia="es-CO"/>
              </w:rPr>
              <w:t>%</w:t>
            </w:r>
            <w:r w:rsidR="00BD54D3" w:rsidRPr="002946A9">
              <w:rPr>
                <w:rFonts w:ascii="Trebuchet MS" w:eastAsia="Times New Roman" w:hAnsi="Trebuchet MS" w:cs="Calibri"/>
                <w:b/>
                <w:bCs/>
                <w:color w:val="000000"/>
                <w:sz w:val="18"/>
                <w:szCs w:val="18"/>
                <w:lang w:eastAsia="es-CO"/>
              </w:rPr>
              <w:t>)</w:t>
            </w:r>
          </w:p>
        </w:tc>
      </w:tr>
      <w:tr w:rsidR="006F496D" w:rsidRPr="002946A9" w14:paraId="24AD0943" w14:textId="77777777" w:rsidTr="006F496D">
        <w:trPr>
          <w:trHeight w:val="20"/>
          <w:jc w:val="center"/>
        </w:trPr>
        <w:tc>
          <w:tcPr>
            <w:tcW w:w="0" w:type="auto"/>
            <w:tcBorders>
              <w:top w:val="nil"/>
              <w:left w:val="single" w:sz="8" w:space="0" w:color="FFFFFF"/>
              <w:bottom w:val="single" w:sz="8" w:space="0" w:color="FFFFFF"/>
              <w:right w:val="single" w:sz="8" w:space="0" w:color="FFFFFF"/>
            </w:tcBorders>
            <w:shd w:val="clear" w:color="auto" w:fill="EAF4D7" w:themeFill="accent1" w:themeFillTint="33"/>
            <w:noWrap/>
            <w:vAlign w:val="center"/>
            <w:hideMark/>
          </w:tcPr>
          <w:p w14:paraId="171AE20A" w14:textId="77777777" w:rsidR="006F496D" w:rsidRPr="002946A9" w:rsidRDefault="006F496D" w:rsidP="00751E00">
            <w:pPr>
              <w:spacing w:after="0" w:line="240" w:lineRule="auto"/>
              <w:jc w:val="right"/>
              <w:rPr>
                <w:rFonts w:ascii="Trebuchet MS" w:eastAsia="Times New Roman" w:hAnsi="Trebuchet MS" w:cs="Arial"/>
                <w:b/>
                <w:bCs/>
                <w:color w:val="000000"/>
                <w:sz w:val="18"/>
                <w:szCs w:val="18"/>
                <w:lang w:eastAsia="es-CO"/>
              </w:rPr>
            </w:pPr>
            <w:r w:rsidRPr="002946A9">
              <w:rPr>
                <w:rFonts w:ascii="Trebuchet MS" w:eastAsia="Times New Roman" w:hAnsi="Trebuchet MS" w:cs="Arial"/>
                <w:b/>
                <w:bCs/>
                <w:color w:val="000000"/>
                <w:sz w:val="18"/>
                <w:szCs w:val="18"/>
                <w:lang w:eastAsia="es-CO"/>
              </w:rPr>
              <w:t>7,454,265,417,115</w:t>
            </w:r>
          </w:p>
        </w:tc>
        <w:tc>
          <w:tcPr>
            <w:tcW w:w="0" w:type="auto"/>
            <w:tcBorders>
              <w:top w:val="nil"/>
              <w:left w:val="nil"/>
              <w:bottom w:val="single" w:sz="8" w:space="0" w:color="FFFFFF"/>
              <w:right w:val="single" w:sz="8" w:space="0" w:color="FFFFFF"/>
            </w:tcBorders>
            <w:shd w:val="clear" w:color="000000" w:fill="EAF4D7"/>
            <w:vAlign w:val="center"/>
            <w:hideMark/>
          </w:tcPr>
          <w:p w14:paraId="7D5E45E9" w14:textId="77777777" w:rsidR="006F496D" w:rsidRPr="002946A9" w:rsidRDefault="006F496D" w:rsidP="00751E00">
            <w:pPr>
              <w:spacing w:after="0" w:line="240" w:lineRule="auto"/>
              <w:jc w:val="right"/>
              <w:rPr>
                <w:rFonts w:ascii="Trebuchet MS" w:eastAsia="Times New Roman" w:hAnsi="Trebuchet MS" w:cs="Calibri"/>
                <w:b/>
                <w:bCs/>
                <w:color w:val="000000"/>
                <w:sz w:val="18"/>
                <w:szCs w:val="18"/>
                <w:lang w:eastAsia="es-CO"/>
              </w:rPr>
            </w:pPr>
            <w:r w:rsidRPr="002946A9">
              <w:rPr>
                <w:rFonts w:ascii="Trebuchet MS" w:eastAsia="Times New Roman" w:hAnsi="Trebuchet MS" w:cs="Arial"/>
                <w:b/>
                <w:bCs/>
                <w:color w:val="000000"/>
                <w:sz w:val="18"/>
                <w:szCs w:val="18"/>
                <w:lang w:eastAsia="es-CO"/>
              </w:rPr>
              <w:t>596,341,233,369</w:t>
            </w:r>
          </w:p>
        </w:tc>
      </w:tr>
      <w:tr w:rsidR="00751E00" w:rsidRPr="002946A9" w14:paraId="16BE496D" w14:textId="77777777" w:rsidTr="00751E00">
        <w:trPr>
          <w:trHeight w:val="20"/>
          <w:jc w:val="center"/>
        </w:trPr>
        <w:tc>
          <w:tcPr>
            <w:tcW w:w="0" w:type="auto"/>
            <w:gridSpan w:val="2"/>
            <w:tcBorders>
              <w:top w:val="single" w:sz="8" w:space="0" w:color="FFFFFF"/>
              <w:left w:val="single" w:sz="8" w:space="0" w:color="FFFFFF"/>
              <w:bottom w:val="single" w:sz="8" w:space="0" w:color="FFFFFF"/>
              <w:right w:val="single" w:sz="8" w:space="0" w:color="FFFFFF"/>
            </w:tcBorders>
            <w:shd w:val="clear" w:color="000000" w:fill="DFF0D3"/>
            <w:noWrap/>
            <w:vAlign w:val="center"/>
            <w:hideMark/>
          </w:tcPr>
          <w:p w14:paraId="1D490E82" w14:textId="36CA1C7D" w:rsidR="00751E00" w:rsidRPr="002946A9" w:rsidRDefault="00751E00" w:rsidP="00751E00">
            <w:pPr>
              <w:spacing w:after="0" w:line="240" w:lineRule="auto"/>
              <w:rPr>
                <w:rFonts w:ascii="Trebuchet MS" w:eastAsia="Times New Roman" w:hAnsi="Trebuchet MS" w:cs="Calibri"/>
                <w:i/>
                <w:iCs/>
                <w:color w:val="000000"/>
                <w:sz w:val="20"/>
                <w:szCs w:val="20"/>
                <w:lang w:eastAsia="es-CO"/>
              </w:rPr>
            </w:pPr>
            <w:r w:rsidRPr="002946A9">
              <w:rPr>
                <w:rFonts w:ascii="Trebuchet MS" w:eastAsia="Times New Roman" w:hAnsi="Trebuchet MS" w:cs="Calibri"/>
                <w:i/>
                <w:iCs/>
                <w:color w:val="000000"/>
                <w:sz w:val="20"/>
                <w:szCs w:val="20"/>
                <w:lang w:eastAsia="es-CO"/>
              </w:rPr>
              <w:t>Todos los valores están en pesos a diciembre del 2017.</w:t>
            </w:r>
          </w:p>
        </w:tc>
      </w:tr>
    </w:tbl>
    <w:p w14:paraId="6AD7D96C" w14:textId="75BCF6B9" w:rsidR="00751E00" w:rsidRPr="002946A9" w:rsidRDefault="00751E00" w:rsidP="00DF29CB">
      <w:pPr>
        <w:spacing w:after="0"/>
        <w:ind w:left="360"/>
        <w:jc w:val="both"/>
        <w:rPr>
          <w:rFonts w:ascii="Trebuchet MS" w:hAnsi="Trebuchet MS"/>
          <w:szCs w:val="24"/>
        </w:rPr>
      </w:pPr>
    </w:p>
    <w:p w14:paraId="00C83A53" w14:textId="4A76161D" w:rsidR="000A09AA" w:rsidRPr="002946A9" w:rsidRDefault="00D52E5C" w:rsidP="00DF29CB">
      <w:pPr>
        <w:spacing w:after="0"/>
        <w:ind w:left="360"/>
        <w:jc w:val="both"/>
        <w:rPr>
          <w:rFonts w:ascii="Trebuchet MS" w:hAnsi="Trebuchet MS"/>
          <w:szCs w:val="24"/>
        </w:rPr>
      </w:pPr>
      <w:r w:rsidRPr="002946A9">
        <w:rPr>
          <w:rFonts w:ascii="Trebuchet MS" w:hAnsi="Trebuchet MS"/>
          <w:szCs w:val="24"/>
        </w:rPr>
        <w:t>Acorde con el numeral 6.4</w:t>
      </w:r>
      <w:r w:rsidR="004E4E4F" w:rsidRPr="002946A9">
        <w:rPr>
          <w:rFonts w:ascii="Trebuchet MS" w:hAnsi="Trebuchet MS"/>
          <w:szCs w:val="24"/>
        </w:rPr>
        <w:t xml:space="preserve">, literal </w:t>
      </w:r>
      <w:r w:rsidR="008F06F9" w:rsidRPr="002946A9">
        <w:rPr>
          <w:rFonts w:ascii="Trebuchet MS" w:hAnsi="Trebuchet MS"/>
          <w:szCs w:val="24"/>
        </w:rPr>
        <w:t xml:space="preserve">b, de la Resolución CREG 015 del 2018, </w:t>
      </w:r>
      <w:r w:rsidR="00971829" w:rsidRPr="002946A9">
        <w:rPr>
          <w:rFonts w:ascii="Trebuchet MS" w:hAnsi="Trebuchet MS"/>
          <w:szCs w:val="24"/>
        </w:rPr>
        <w:t>e</w:t>
      </w:r>
      <w:r w:rsidR="004A5283" w:rsidRPr="002946A9">
        <w:rPr>
          <w:rFonts w:ascii="Trebuchet MS" w:hAnsi="Trebuchet MS"/>
          <w:szCs w:val="24"/>
        </w:rPr>
        <w:t>l valor anual del plan de inversión</w:t>
      </w:r>
      <w:r w:rsidR="002700AC" w:rsidRPr="002946A9">
        <w:rPr>
          <w:rFonts w:ascii="Trebuchet MS" w:hAnsi="Trebuchet MS"/>
          <w:szCs w:val="24"/>
        </w:rPr>
        <w:t xml:space="preserve">, </w:t>
      </w:r>
      <w:r w:rsidR="00B03F49" w:rsidRPr="002946A9">
        <w:rPr>
          <w:rFonts w:ascii="Trebuchet MS" w:hAnsi="Trebuchet MS"/>
          <w:szCs w:val="24"/>
        </w:rPr>
        <w:t xml:space="preserve">correspondiente a los </w:t>
      </w:r>
      <w:r w:rsidR="00D255B9" w:rsidRPr="002946A9">
        <w:rPr>
          <w:rFonts w:ascii="Trebuchet MS" w:hAnsi="Trebuchet MS"/>
          <w:szCs w:val="24"/>
        </w:rPr>
        <w:t xml:space="preserve">montos conjuntos de los </w:t>
      </w:r>
      <w:r w:rsidR="00B03F49" w:rsidRPr="002946A9">
        <w:rPr>
          <w:rFonts w:ascii="Trebuchet MS" w:hAnsi="Trebuchet MS"/>
          <w:szCs w:val="24"/>
        </w:rPr>
        <w:t xml:space="preserve">niveles </w:t>
      </w:r>
      <w:r w:rsidR="002700AC" w:rsidRPr="002946A9">
        <w:rPr>
          <w:rFonts w:ascii="Trebuchet MS" w:hAnsi="Trebuchet MS"/>
          <w:szCs w:val="24"/>
        </w:rPr>
        <w:t>de tensión</w:t>
      </w:r>
      <w:r w:rsidR="00B03F49" w:rsidRPr="002946A9">
        <w:rPr>
          <w:rFonts w:ascii="Trebuchet MS" w:hAnsi="Trebuchet MS"/>
          <w:szCs w:val="24"/>
        </w:rPr>
        <w:t xml:space="preserve"> 1, 2 y 3</w:t>
      </w:r>
      <w:r w:rsidR="002700AC" w:rsidRPr="002946A9">
        <w:rPr>
          <w:rFonts w:ascii="Trebuchet MS" w:hAnsi="Trebuchet MS"/>
          <w:szCs w:val="24"/>
        </w:rPr>
        <w:t xml:space="preserve">, </w:t>
      </w:r>
      <w:r w:rsidR="00364D18" w:rsidRPr="002946A9">
        <w:rPr>
          <w:rFonts w:ascii="Trebuchet MS" w:hAnsi="Trebuchet MS"/>
          <w:i/>
          <w:iCs/>
          <w:szCs w:val="24"/>
        </w:rPr>
        <w:t>“</w:t>
      </w:r>
      <w:r w:rsidR="004A5283" w:rsidRPr="002946A9">
        <w:rPr>
          <w:rFonts w:ascii="Trebuchet MS" w:hAnsi="Trebuchet MS"/>
          <w:i/>
          <w:iCs/>
          <w:szCs w:val="24"/>
        </w:rPr>
        <w:t>no puede ser superior al ocho por ciento (8%) del costo de reposición de referencia CRR</w:t>
      </w:r>
      <w:r w:rsidR="004A5283" w:rsidRPr="002946A9">
        <w:rPr>
          <w:rFonts w:ascii="Trebuchet MS" w:hAnsi="Trebuchet MS"/>
          <w:i/>
          <w:iCs/>
          <w:szCs w:val="24"/>
          <w:vertAlign w:val="subscript"/>
        </w:rPr>
        <w:t>j</w:t>
      </w:r>
      <w:r w:rsidR="005057D4" w:rsidRPr="002946A9">
        <w:rPr>
          <w:rFonts w:ascii="Trebuchet MS" w:hAnsi="Trebuchet MS"/>
          <w:i/>
          <w:iCs/>
          <w:szCs w:val="24"/>
        </w:rPr>
        <w:t>”</w:t>
      </w:r>
      <w:r w:rsidR="004A5283" w:rsidRPr="002946A9">
        <w:rPr>
          <w:rFonts w:ascii="Trebuchet MS" w:hAnsi="Trebuchet MS"/>
          <w:szCs w:val="24"/>
        </w:rPr>
        <w:t xml:space="preserve">, es decir, </w:t>
      </w:r>
      <w:r w:rsidR="00B03F49" w:rsidRPr="002946A9">
        <w:rPr>
          <w:rFonts w:ascii="Trebuchet MS" w:hAnsi="Trebuchet MS"/>
          <w:szCs w:val="24"/>
        </w:rPr>
        <w:t xml:space="preserve">al sumar los montos de inversión anual planeada de los niveles 1, 2 y 3, el valor resultante </w:t>
      </w:r>
      <w:r w:rsidR="004A5283" w:rsidRPr="002946A9">
        <w:rPr>
          <w:rFonts w:ascii="Trebuchet MS" w:hAnsi="Trebuchet MS"/>
          <w:szCs w:val="24"/>
        </w:rPr>
        <w:t>debe ser inferior</w:t>
      </w:r>
      <w:r w:rsidR="00424E1C" w:rsidRPr="002946A9">
        <w:rPr>
          <w:rFonts w:ascii="Trebuchet MS" w:hAnsi="Trebuchet MS"/>
          <w:szCs w:val="24"/>
        </w:rPr>
        <w:t xml:space="preserve"> o igual</w:t>
      </w:r>
      <w:r w:rsidR="004A5283" w:rsidRPr="002946A9">
        <w:rPr>
          <w:rFonts w:ascii="Trebuchet MS" w:hAnsi="Trebuchet MS"/>
          <w:szCs w:val="24"/>
        </w:rPr>
        <w:t xml:space="preserve"> </w:t>
      </w:r>
      <w:r w:rsidR="00B03F49" w:rsidRPr="002946A9">
        <w:rPr>
          <w:rFonts w:ascii="Trebuchet MS" w:hAnsi="Trebuchet MS"/>
          <w:szCs w:val="24"/>
        </w:rPr>
        <w:t>a</w:t>
      </w:r>
      <w:r w:rsidR="00D255B9" w:rsidRPr="002946A9">
        <w:rPr>
          <w:rFonts w:ascii="Trebuchet MS" w:hAnsi="Trebuchet MS"/>
          <w:szCs w:val="24"/>
        </w:rPr>
        <w:t xml:space="preserve"> los</w:t>
      </w:r>
      <w:r w:rsidR="00B03F49" w:rsidRPr="002946A9">
        <w:rPr>
          <w:rFonts w:ascii="Trebuchet MS" w:hAnsi="Trebuchet MS"/>
          <w:szCs w:val="24"/>
        </w:rPr>
        <w:t xml:space="preserve"> </w:t>
      </w:r>
      <w:r w:rsidR="00D255B9" w:rsidRPr="002946A9">
        <w:rPr>
          <w:rFonts w:ascii="Trebuchet MS" w:hAnsi="Trebuchet MS"/>
          <w:szCs w:val="24"/>
        </w:rPr>
        <w:t xml:space="preserve">$ 596,341,233,369 </w:t>
      </w:r>
      <w:r w:rsidR="00B03F49" w:rsidRPr="002946A9">
        <w:rPr>
          <w:rFonts w:ascii="Trebuchet MS" w:hAnsi="Trebuchet MS"/>
          <w:szCs w:val="24"/>
        </w:rPr>
        <w:t>presentado en</w:t>
      </w:r>
      <w:r w:rsidR="00C17DF3" w:rsidRPr="002946A9">
        <w:rPr>
          <w:rFonts w:ascii="Trebuchet MS" w:hAnsi="Trebuchet MS"/>
          <w:szCs w:val="24"/>
        </w:rPr>
        <w:t xml:space="preserve"> la</w:t>
      </w:r>
      <w:r w:rsidR="00402BC5" w:rsidRPr="002946A9">
        <w:rPr>
          <w:rFonts w:ascii="Trebuchet MS" w:hAnsi="Trebuchet MS"/>
          <w:szCs w:val="24"/>
        </w:rPr>
        <w:t xml:space="preserve"> </w:t>
      </w:r>
      <w:r w:rsidR="00402BC5" w:rsidRPr="002946A9">
        <w:rPr>
          <w:rFonts w:ascii="Trebuchet MS" w:hAnsi="Trebuchet MS"/>
          <w:szCs w:val="24"/>
        </w:rPr>
        <w:fldChar w:fldCharType="begin"/>
      </w:r>
      <w:r w:rsidR="00402BC5" w:rsidRPr="002946A9">
        <w:rPr>
          <w:rFonts w:ascii="Trebuchet MS" w:hAnsi="Trebuchet MS"/>
          <w:szCs w:val="24"/>
        </w:rPr>
        <w:instrText xml:space="preserve"> REF _Ref66885661 \h </w:instrText>
      </w:r>
      <w:r w:rsidR="00DF29CB" w:rsidRPr="002946A9">
        <w:rPr>
          <w:rFonts w:ascii="Trebuchet MS" w:hAnsi="Trebuchet MS"/>
          <w:szCs w:val="24"/>
        </w:rPr>
        <w:instrText xml:space="preserve"> \* MERGEFORMAT </w:instrText>
      </w:r>
      <w:r w:rsidR="00402BC5" w:rsidRPr="002946A9">
        <w:rPr>
          <w:rFonts w:ascii="Trebuchet MS" w:hAnsi="Trebuchet MS"/>
          <w:szCs w:val="24"/>
        </w:rPr>
      </w:r>
      <w:r w:rsidR="00402BC5"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2</w:t>
      </w:r>
      <w:r w:rsidR="00C944CB" w:rsidRPr="002946A9">
        <w:rPr>
          <w:rFonts w:ascii="Trebuchet MS" w:hAnsi="Trebuchet MS"/>
          <w:noProof/>
        </w:rPr>
        <w:t>.</w:t>
      </w:r>
      <w:r w:rsidR="00C944CB">
        <w:rPr>
          <w:rFonts w:ascii="Trebuchet MS" w:hAnsi="Trebuchet MS"/>
          <w:noProof/>
        </w:rPr>
        <w:t>11</w:t>
      </w:r>
      <w:r w:rsidR="00402BC5" w:rsidRPr="002946A9">
        <w:rPr>
          <w:rFonts w:ascii="Trebuchet MS" w:hAnsi="Trebuchet MS"/>
          <w:szCs w:val="24"/>
        </w:rPr>
        <w:fldChar w:fldCharType="end"/>
      </w:r>
      <w:r w:rsidR="00402BC5" w:rsidRPr="002946A9">
        <w:rPr>
          <w:rFonts w:ascii="Trebuchet MS" w:hAnsi="Trebuchet MS"/>
          <w:szCs w:val="24"/>
        </w:rPr>
        <w:t>.</w:t>
      </w:r>
    </w:p>
    <w:p w14:paraId="20190826" w14:textId="77777777" w:rsidR="00493185" w:rsidRPr="002946A9" w:rsidRDefault="00493185" w:rsidP="00DF29CB">
      <w:pPr>
        <w:ind w:left="360"/>
        <w:jc w:val="both"/>
        <w:rPr>
          <w:rFonts w:ascii="Trebuchet MS" w:hAnsi="Trebuchet MS"/>
          <w:szCs w:val="24"/>
        </w:rPr>
      </w:pPr>
    </w:p>
    <w:p w14:paraId="02698731" w14:textId="3F9C26A3" w:rsidR="00E64947" w:rsidRPr="00B33F38" w:rsidRDefault="00147384" w:rsidP="00DF29CB">
      <w:pPr>
        <w:numPr>
          <w:ilvl w:val="2"/>
          <w:numId w:val="2"/>
        </w:numPr>
        <w:ind w:left="1225" w:hanging="505"/>
        <w:jc w:val="both"/>
        <w:outlineLvl w:val="2"/>
        <w:rPr>
          <w:rFonts w:ascii="Trebuchet MS" w:hAnsi="Trebuchet MS"/>
          <w:b/>
          <w:bCs/>
          <w:szCs w:val="24"/>
        </w:rPr>
      </w:pPr>
      <w:bookmarkStart w:id="144" w:name="_Ref67387256"/>
      <w:bookmarkStart w:id="145" w:name="_Toc131109349"/>
      <w:r w:rsidRPr="00B33F38">
        <w:rPr>
          <w:rFonts w:ascii="Trebuchet MS" w:hAnsi="Trebuchet MS"/>
          <w:b/>
          <w:bCs/>
          <w:szCs w:val="24"/>
        </w:rPr>
        <w:t>Metas de calidad</w:t>
      </w:r>
      <w:r w:rsidR="00482DFD" w:rsidRPr="00B33F38">
        <w:rPr>
          <w:rFonts w:ascii="Trebuchet MS" w:hAnsi="Trebuchet MS"/>
          <w:b/>
          <w:bCs/>
          <w:szCs w:val="24"/>
        </w:rPr>
        <w:t xml:space="preserve"> del servicio</w:t>
      </w:r>
      <w:r w:rsidRPr="00B33F38">
        <w:rPr>
          <w:rFonts w:ascii="Trebuchet MS" w:hAnsi="Trebuchet MS"/>
          <w:b/>
          <w:bCs/>
          <w:szCs w:val="24"/>
        </w:rPr>
        <w:t>, pérdidas</w:t>
      </w:r>
      <w:r w:rsidR="00142346" w:rsidRPr="00B33F38">
        <w:rPr>
          <w:rFonts w:ascii="Trebuchet MS" w:hAnsi="Trebuchet MS"/>
          <w:b/>
          <w:bCs/>
          <w:szCs w:val="24"/>
        </w:rPr>
        <w:t xml:space="preserve"> de energía</w:t>
      </w:r>
      <w:r w:rsidRPr="00B33F38">
        <w:rPr>
          <w:rFonts w:ascii="Trebuchet MS" w:hAnsi="Trebuchet MS"/>
          <w:b/>
          <w:bCs/>
          <w:szCs w:val="24"/>
        </w:rPr>
        <w:t xml:space="preserve"> </w:t>
      </w:r>
      <w:r w:rsidR="00E51328" w:rsidRPr="00B33F38">
        <w:rPr>
          <w:rFonts w:ascii="Trebuchet MS" w:hAnsi="Trebuchet MS"/>
          <w:b/>
          <w:bCs/>
          <w:szCs w:val="24"/>
        </w:rPr>
        <w:t>e</w:t>
      </w:r>
      <w:r w:rsidRPr="00B33F38">
        <w:rPr>
          <w:rFonts w:ascii="Trebuchet MS" w:hAnsi="Trebuchet MS"/>
          <w:b/>
          <w:bCs/>
          <w:szCs w:val="24"/>
        </w:rPr>
        <w:t xml:space="preserve"> inversiones aprobadas</w:t>
      </w:r>
      <w:r w:rsidR="005809FA" w:rsidRPr="00B33F38">
        <w:rPr>
          <w:rFonts w:ascii="Trebuchet MS" w:hAnsi="Trebuchet MS"/>
          <w:b/>
          <w:bCs/>
          <w:szCs w:val="24"/>
        </w:rPr>
        <w:t xml:space="preserve"> en un horizonte de 5 años</w:t>
      </w:r>
      <w:bookmarkEnd w:id="144"/>
      <w:bookmarkEnd w:id="145"/>
      <w:r w:rsidR="00E64947" w:rsidRPr="00B33F38">
        <w:rPr>
          <w:rFonts w:ascii="Trebuchet MS" w:hAnsi="Trebuchet MS"/>
          <w:b/>
          <w:bCs/>
          <w:szCs w:val="24"/>
        </w:rPr>
        <w:t xml:space="preserve">  </w:t>
      </w:r>
    </w:p>
    <w:p w14:paraId="257418FA" w14:textId="5188BB95" w:rsidR="00E64947" w:rsidRPr="00B33F38" w:rsidRDefault="0090180A" w:rsidP="00DF29CB">
      <w:pPr>
        <w:ind w:left="360"/>
        <w:jc w:val="both"/>
        <w:rPr>
          <w:rFonts w:ascii="Trebuchet MS" w:hAnsi="Trebuchet MS"/>
          <w:szCs w:val="24"/>
        </w:rPr>
      </w:pPr>
      <w:r w:rsidRPr="00B33F38">
        <w:rPr>
          <w:rFonts w:ascii="Trebuchet MS" w:hAnsi="Trebuchet MS"/>
          <w:szCs w:val="24"/>
        </w:rPr>
        <w:t>Las metas</w:t>
      </w:r>
      <w:r w:rsidR="00E76F4A" w:rsidRPr="00B33F38">
        <w:rPr>
          <w:rFonts w:ascii="Trebuchet MS" w:hAnsi="Trebuchet MS"/>
          <w:szCs w:val="24"/>
        </w:rPr>
        <w:t xml:space="preserve"> para EPM, dadas en la aprobación del plan de inversiones 2019 – 2023 </w:t>
      </w:r>
      <w:r w:rsidR="001E3869" w:rsidRPr="00B33F38">
        <w:rPr>
          <w:rFonts w:ascii="Trebuchet MS" w:hAnsi="Trebuchet MS"/>
          <w:szCs w:val="24"/>
        </w:rPr>
        <w:t xml:space="preserve">se mantuvieron iguales con el ajuste al plan aprobado </w:t>
      </w:r>
      <w:r w:rsidR="00005674" w:rsidRPr="00B33F38">
        <w:rPr>
          <w:rFonts w:ascii="Trebuchet MS" w:hAnsi="Trebuchet MS"/>
          <w:szCs w:val="24"/>
        </w:rPr>
        <w:t xml:space="preserve">mediante la </w:t>
      </w:r>
      <w:r w:rsidR="001E3869" w:rsidRPr="00B33F38">
        <w:rPr>
          <w:rFonts w:ascii="Trebuchet MS" w:hAnsi="Trebuchet MS"/>
          <w:szCs w:val="24"/>
        </w:rPr>
        <w:t>resolución CREG 501 – 022 del 2022</w:t>
      </w:r>
      <w:r w:rsidR="00A6235C">
        <w:rPr>
          <w:rFonts w:ascii="Trebuchet MS" w:hAnsi="Trebuchet MS"/>
          <w:szCs w:val="24"/>
        </w:rPr>
        <w:t xml:space="preserve"> y CREG 501 02</w:t>
      </w:r>
      <w:r w:rsidR="00B318D6">
        <w:rPr>
          <w:rFonts w:ascii="Trebuchet MS" w:hAnsi="Trebuchet MS"/>
          <w:szCs w:val="24"/>
        </w:rPr>
        <w:t>7 del 2022</w:t>
      </w:r>
      <w:r w:rsidR="001E3869" w:rsidRPr="00B33F38">
        <w:rPr>
          <w:rFonts w:ascii="Trebuchet MS" w:hAnsi="Trebuchet MS"/>
          <w:szCs w:val="24"/>
        </w:rPr>
        <w:t xml:space="preserve"> (plan 2020 – 2025),</w:t>
      </w:r>
      <w:r w:rsidR="00005674" w:rsidRPr="00B33F38">
        <w:rPr>
          <w:rFonts w:ascii="Trebuchet MS" w:hAnsi="Trebuchet MS"/>
          <w:szCs w:val="24"/>
        </w:rPr>
        <w:t xml:space="preserve"> estas metas </w:t>
      </w:r>
      <w:r w:rsidR="00E76F4A" w:rsidRPr="00B33F38">
        <w:rPr>
          <w:rFonts w:ascii="Trebuchet MS" w:hAnsi="Trebuchet MS"/>
          <w:szCs w:val="24"/>
        </w:rPr>
        <w:t>se presentan a continuación:</w:t>
      </w:r>
    </w:p>
    <w:p w14:paraId="6DF58C8B" w14:textId="1B2C655C" w:rsidR="00E76F4A" w:rsidRPr="00EF3F98" w:rsidRDefault="00E76F4A" w:rsidP="00197869">
      <w:pPr>
        <w:spacing w:after="0"/>
        <w:ind w:left="360"/>
        <w:jc w:val="both"/>
        <w:rPr>
          <w:rFonts w:ascii="Trebuchet MS" w:hAnsi="Trebuchet MS"/>
          <w:szCs w:val="24"/>
          <w:highlight w:val="cyan"/>
        </w:rPr>
      </w:pPr>
    </w:p>
    <w:p w14:paraId="1139371E" w14:textId="27435B04" w:rsidR="00AF22A7" w:rsidRPr="00B33F38" w:rsidRDefault="00D72779" w:rsidP="00DF29CB">
      <w:pPr>
        <w:pStyle w:val="Prrafodelista"/>
        <w:numPr>
          <w:ilvl w:val="0"/>
          <w:numId w:val="6"/>
        </w:numPr>
        <w:jc w:val="both"/>
        <w:rPr>
          <w:rFonts w:ascii="Trebuchet MS" w:hAnsi="Trebuchet MS"/>
          <w:b/>
          <w:bCs/>
          <w:szCs w:val="24"/>
        </w:rPr>
      </w:pPr>
      <w:r w:rsidRPr="00B33F38">
        <w:rPr>
          <w:rFonts w:ascii="Trebuchet MS" w:hAnsi="Trebuchet MS"/>
          <w:b/>
          <w:bCs/>
          <w:szCs w:val="24"/>
        </w:rPr>
        <w:t xml:space="preserve">Metas de </w:t>
      </w:r>
      <w:r w:rsidR="00AF22A7" w:rsidRPr="00B33F38">
        <w:rPr>
          <w:rFonts w:ascii="Trebuchet MS" w:hAnsi="Trebuchet MS"/>
          <w:b/>
          <w:bCs/>
          <w:szCs w:val="24"/>
        </w:rPr>
        <w:t>Calidad del servicio</w:t>
      </w:r>
    </w:p>
    <w:p w14:paraId="0FA0D8B5" w14:textId="558A525D" w:rsidR="009C4CF8" w:rsidRPr="00B33F38" w:rsidRDefault="0055246F" w:rsidP="00DF29CB">
      <w:pPr>
        <w:ind w:left="360"/>
        <w:jc w:val="both"/>
        <w:rPr>
          <w:rFonts w:ascii="Trebuchet MS" w:hAnsi="Trebuchet MS"/>
          <w:szCs w:val="24"/>
        </w:rPr>
      </w:pPr>
      <w:r w:rsidRPr="00B33F38">
        <w:rPr>
          <w:rFonts w:ascii="Trebuchet MS" w:hAnsi="Trebuchet MS"/>
          <w:szCs w:val="24"/>
        </w:rPr>
        <w:t>Acorde con</w:t>
      </w:r>
      <w:r w:rsidR="00327AE7" w:rsidRPr="00B33F38">
        <w:rPr>
          <w:rFonts w:ascii="Trebuchet MS" w:hAnsi="Trebuchet MS"/>
          <w:szCs w:val="24"/>
        </w:rPr>
        <w:t xml:space="preserve"> el numeral 5.2 de</w:t>
      </w:r>
      <w:r w:rsidRPr="00B33F38">
        <w:rPr>
          <w:rFonts w:ascii="Trebuchet MS" w:hAnsi="Trebuchet MS"/>
          <w:szCs w:val="24"/>
        </w:rPr>
        <w:t xml:space="preserve"> la resoluc</w:t>
      </w:r>
      <w:r w:rsidR="001356A1" w:rsidRPr="00B33F38">
        <w:rPr>
          <w:rFonts w:ascii="Trebuchet MS" w:hAnsi="Trebuchet MS"/>
          <w:szCs w:val="24"/>
        </w:rPr>
        <w:t xml:space="preserve">ión CREG 015 de 2018, </w:t>
      </w:r>
      <w:r w:rsidR="00AB5959" w:rsidRPr="00B33F38">
        <w:rPr>
          <w:rFonts w:ascii="Trebuchet MS" w:hAnsi="Trebuchet MS"/>
          <w:szCs w:val="24"/>
        </w:rPr>
        <w:t xml:space="preserve">en el SDl, </w:t>
      </w:r>
      <w:r w:rsidR="00F92A6B" w:rsidRPr="00B33F38">
        <w:rPr>
          <w:rFonts w:ascii="Trebuchet MS" w:hAnsi="Trebuchet MS"/>
          <w:i/>
          <w:iCs/>
          <w:szCs w:val="24"/>
        </w:rPr>
        <w:t>“</w:t>
      </w:r>
      <w:r w:rsidR="007F05F1" w:rsidRPr="00B33F38">
        <w:rPr>
          <w:rFonts w:ascii="Trebuchet MS" w:hAnsi="Trebuchet MS"/>
          <w:i/>
          <w:iCs/>
          <w:szCs w:val="24"/>
        </w:rPr>
        <w:t>l</w:t>
      </w:r>
      <w:r w:rsidR="002F3579" w:rsidRPr="00B33F38">
        <w:rPr>
          <w:rFonts w:ascii="Trebuchet MS" w:hAnsi="Trebuchet MS"/>
          <w:i/>
          <w:iCs/>
          <w:szCs w:val="24"/>
        </w:rPr>
        <w:t>a calidad del servicio brindada por un OR será medida en términos de la duración y la frecuencia de los eventos que perciban los usuarios conectados a sus redes</w:t>
      </w:r>
      <w:r w:rsidR="007F05F1" w:rsidRPr="00B33F38">
        <w:rPr>
          <w:rFonts w:ascii="Trebuchet MS" w:hAnsi="Trebuchet MS"/>
          <w:i/>
          <w:iCs/>
          <w:szCs w:val="24"/>
        </w:rPr>
        <w:t>”</w:t>
      </w:r>
      <w:r w:rsidR="007F05F1" w:rsidRPr="00B33F38">
        <w:rPr>
          <w:rFonts w:ascii="Trebuchet MS" w:hAnsi="Trebuchet MS"/>
          <w:szCs w:val="24"/>
        </w:rPr>
        <w:t>, p</w:t>
      </w:r>
      <w:r w:rsidR="008C5194" w:rsidRPr="00B33F38">
        <w:rPr>
          <w:rFonts w:ascii="Trebuchet MS" w:hAnsi="Trebuchet MS"/>
          <w:szCs w:val="24"/>
        </w:rPr>
        <w:t>a</w:t>
      </w:r>
      <w:r w:rsidR="007F05F1" w:rsidRPr="00B33F38">
        <w:rPr>
          <w:rFonts w:ascii="Trebuchet MS" w:hAnsi="Trebuchet MS"/>
          <w:szCs w:val="24"/>
        </w:rPr>
        <w:t>r</w:t>
      </w:r>
      <w:r w:rsidR="008C5194" w:rsidRPr="00B33F38">
        <w:rPr>
          <w:rFonts w:ascii="Trebuchet MS" w:hAnsi="Trebuchet MS"/>
          <w:szCs w:val="24"/>
        </w:rPr>
        <w:t>a</w:t>
      </w:r>
      <w:r w:rsidR="00FB5D94" w:rsidRPr="00B33F38">
        <w:rPr>
          <w:rFonts w:ascii="Trebuchet MS" w:hAnsi="Trebuchet MS"/>
          <w:szCs w:val="24"/>
        </w:rPr>
        <w:t xml:space="preserve"> lo anterior, se definen ind</w:t>
      </w:r>
      <w:r w:rsidR="008C5194" w:rsidRPr="00B33F38">
        <w:rPr>
          <w:rFonts w:ascii="Trebuchet MS" w:hAnsi="Trebuchet MS"/>
          <w:szCs w:val="24"/>
        </w:rPr>
        <w:t>i</w:t>
      </w:r>
      <w:r w:rsidR="00FB5D94" w:rsidRPr="00B33F38">
        <w:rPr>
          <w:rFonts w:ascii="Trebuchet MS" w:hAnsi="Trebuchet MS"/>
          <w:szCs w:val="24"/>
        </w:rPr>
        <w:t xml:space="preserve">cadores </w:t>
      </w:r>
      <w:r w:rsidR="00871F92" w:rsidRPr="00B33F38">
        <w:rPr>
          <w:rFonts w:ascii="Trebuchet MS" w:hAnsi="Trebuchet MS"/>
          <w:szCs w:val="24"/>
        </w:rPr>
        <w:t xml:space="preserve">que permiten establecer la calidad media </w:t>
      </w:r>
      <w:r w:rsidR="001D2A1E" w:rsidRPr="00B33F38">
        <w:rPr>
          <w:rFonts w:ascii="Trebuchet MS" w:hAnsi="Trebuchet MS"/>
          <w:szCs w:val="24"/>
        </w:rPr>
        <w:t xml:space="preserve">del SDL y la calidad individual </w:t>
      </w:r>
      <w:r w:rsidR="00C446B1" w:rsidRPr="00B33F38">
        <w:rPr>
          <w:rFonts w:ascii="Trebuchet MS" w:hAnsi="Trebuchet MS"/>
          <w:szCs w:val="24"/>
        </w:rPr>
        <w:t>que percibe cada uno de los usuarios.</w:t>
      </w:r>
    </w:p>
    <w:p w14:paraId="5FC64F3D" w14:textId="2FE44704" w:rsidR="00D34CFF" w:rsidRPr="00B33F38" w:rsidRDefault="005C3729" w:rsidP="00DF29CB">
      <w:pPr>
        <w:spacing w:after="0"/>
        <w:ind w:left="360"/>
        <w:jc w:val="both"/>
        <w:rPr>
          <w:rFonts w:ascii="Trebuchet MS" w:hAnsi="Trebuchet MS"/>
          <w:iCs/>
          <w:lang w:val="es-ES_tradnl"/>
        </w:rPr>
      </w:pPr>
      <w:r w:rsidRPr="00B33F38">
        <w:rPr>
          <w:rFonts w:ascii="Trebuchet MS" w:hAnsi="Trebuchet MS"/>
          <w:szCs w:val="24"/>
        </w:rPr>
        <w:t xml:space="preserve">La calidad media </w:t>
      </w:r>
      <w:r w:rsidR="00D34CFF" w:rsidRPr="00B33F38">
        <w:rPr>
          <w:rFonts w:ascii="Trebuchet MS" w:hAnsi="Trebuchet MS"/>
          <w:szCs w:val="24"/>
        </w:rPr>
        <w:t xml:space="preserve">del sistema </w:t>
      </w:r>
      <w:r w:rsidRPr="00B33F38">
        <w:rPr>
          <w:rFonts w:ascii="Trebuchet MS" w:hAnsi="Trebuchet MS"/>
          <w:szCs w:val="24"/>
        </w:rPr>
        <w:t xml:space="preserve">está </w:t>
      </w:r>
      <w:r w:rsidR="00AD19EB" w:rsidRPr="00B33F38">
        <w:rPr>
          <w:rFonts w:ascii="Trebuchet MS" w:hAnsi="Trebuchet MS"/>
          <w:szCs w:val="24"/>
        </w:rPr>
        <w:t>medida</w:t>
      </w:r>
      <w:r w:rsidRPr="00B33F38">
        <w:rPr>
          <w:rFonts w:ascii="Trebuchet MS" w:hAnsi="Trebuchet MS"/>
          <w:szCs w:val="24"/>
        </w:rPr>
        <w:t xml:space="preserve"> por el indicador </w:t>
      </w:r>
      <w:r w:rsidR="006A2214" w:rsidRPr="00B33F38">
        <w:rPr>
          <w:rFonts w:ascii="Trebuchet MS" w:hAnsi="Trebuchet MS"/>
          <w:szCs w:val="24"/>
        </w:rPr>
        <w:t xml:space="preserve">SAIDI, para la duración de eventos y por el </w:t>
      </w:r>
      <w:r w:rsidR="00AD19EB" w:rsidRPr="00B33F38">
        <w:rPr>
          <w:rFonts w:ascii="Trebuchet MS" w:hAnsi="Trebuchet MS"/>
          <w:szCs w:val="24"/>
        </w:rPr>
        <w:t>i</w:t>
      </w:r>
      <w:r w:rsidR="006A2214" w:rsidRPr="00B33F38">
        <w:rPr>
          <w:rFonts w:ascii="Trebuchet MS" w:hAnsi="Trebuchet MS"/>
          <w:szCs w:val="24"/>
        </w:rPr>
        <w:t>ndicador SAIFI</w:t>
      </w:r>
      <w:r w:rsidR="008F4A4E" w:rsidRPr="00B33F38">
        <w:rPr>
          <w:rFonts w:ascii="Trebuchet MS" w:hAnsi="Trebuchet MS"/>
          <w:szCs w:val="24"/>
        </w:rPr>
        <w:t>,</w:t>
      </w:r>
      <w:r w:rsidR="006A2214" w:rsidRPr="00B33F38">
        <w:rPr>
          <w:rFonts w:ascii="Trebuchet MS" w:hAnsi="Trebuchet MS"/>
          <w:szCs w:val="24"/>
        </w:rPr>
        <w:t xml:space="preserve"> para la frecuencia de los eventos. </w:t>
      </w:r>
      <w:r w:rsidR="008F4A4E" w:rsidRPr="00B33F38">
        <w:rPr>
          <w:rFonts w:ascii="Trebuchet MS" w:hAnsi="Trebuchet MS"/>
          <w:szCs w:val="24"/>
        </w:rPr>
        <w:t xml:space="preserve">Para cada OR se establecen </w:t>
      </w:r>
      <w:r w:rsidR="00D04221" w:rsidRPr="00B33F38">
        <w:rPr>
          <w:rFonts w:ascii="Trebuchet MS" w:hAnsi="Trebuchet MS"/>
          <w:szCs w:val="24"/>
        </w:rPr>
        <w:t>unas metas de</w:t>
      </w:r>
      <w:r w:rsidR="006B0CBB" w:rsidRPr="00B33F38">
        <w:rPr>
          <w:rFonts w:ascii="Trebuchet MS" w:hAnsi="Trebuchet MS"/>
          <w:szCs w:val="24"/>
        </w:rPr>
        <w:t xml:space="preserve"> los indicadores de </w:t>
      </w:r>
      <w:r w:rsidR="00D04221" w:rsidRPr="00B33F38">
        <w:rPr>
          <w:rFonts w:ascii="Trebuchet MS" w:hAnsi="Trebuchet MS"/>
          <w:szCs w:val="24"/>
        </w:rPr>
        <w:t xml:space="preserve">calidad media </w:t>
      </w:r>
      <w:r w:rsidR="00A51DA4" w:rsidRPr="00B33F38">
        <w:rPr>
          <w:rFonts w:ascii="Trebuchet MS" w:hAnsi="Trebuchet MS"/>
          <w:szCs w:val="24"/>
        </w:rPr>
        <w:t xml:space="preserve">anual </w:t>
      </w:r>
      <w:r w:rsidR="00D04221" w:rsidRPr="00B33F38">
        <w:rPr>
          <w:rFonts w:ascii="Trebuchet MS" w:hAnsi="Trebuchet MS"/>
          <w:szCs w:val="24"/>
        </w:rPr>
        <w:t xml:space="preserve">durante el </w:t>
      </w:r>
      <w:r w:rsidR="00A51DA4" w:rsidRPr="00B33F38">
        <w:rPr>
          <w:rFonts w:ascii="Trebuchet MS" w:hAnsi="Trebuchet MS"/>
          <w:szCs w:val="24"/>
        </w:rPr>
        <w:t xml:space="preserve">periodo tarifario, </w:t>
      </w:r>
      <w:r w:rsidR="00D11ED7" w:rsidRPr="00B33F38">
        <w:rPr>
          <w:rFonts w:ascii="Trebuchet MS" w:hAnsi="Trebuchet MS"/>
          <w:i/>
          <w:lang w:val="es-ES_tradnl"/>
        </w:rPr>
        <w:t>SAIDI_M</w:t>
      </w:r>
      <w:r w:rsidR="00D477F2" w:rsidRPr="00B33F38">
        <w:rPr>
          <w:rFonts w:ascii="Trebuchet MS" w:hAnsi="Trebuchet MS"/>
          <w:i/>
          <w:vertAlign w:val="subscript"/>
          <w:lang w:val="es-ES_tradnl"/>
        </w:rPr>
        <w:t>j,t</w:t>
      </w:r>
      <w:r w:rsidR="00D477F2" w:rsidRPr="00B33F38">
        <w:rPr>
          <w:rFonts w:ascii="Trebuchet MS" w:hAnsi="Trebuchet MS"/>
          <w:i/>
          <w:lang w:val="es-ES_tradnl"/>
        </w:rPr>
        <w:t xml:space="preserve"> </w:t>
      </w:r>
      <w:r w:rsidR="00D11ED7" w:rsidRPr="00B33F38">
        <w:rPr>
          <w:rFonts w:ascii="Trebuchet MS" w:hAnsi="Trebuchet MS"/>
          <w:lang w:val="es-ES_tradnl"/>
        </w:rPr>
        <w:t>y</w:t>
      </w:r>
      <w:r w:rsidR="00D11ED7" w:rsidRPr="00B33F38">
        <w:rPr>
          <w:rFonts w:ascii="Trebuchet MS" w:hAnsi="Trebuchet MS"/>
          <w:i/>
          <w:lang w:val="es-ES_tradnl"/>
        </w:rPr>
        <w:t xml:space="preserve"> SAIFI_M</w:t>
      </w:r>
      <w:r w:rsidR="00D11ED7" w:rsidRPr="00B33F38">
        <w:rPr>
          <w:rFonts w:ascii="Trebuchet MS" w:hAnsi="Trebuchet MS"/>
          <w:i/>
          <w:vertAlign w:val="subscript"/>
          <w:lang w:val="es-ES_tradnl"/>
        </w:rPr>
        <w:t>j,t</w:t>
      </w:r>
      <w:r w:rsidR="00474D3E" w:rsidRPr="00B33F38">
        <w:rPr>
          <w:rFonts w:ascii="Trebuchet MS" w:hAnsi="Trebuchet MS"/>
          <w:iCs/>
          <w:lang w:val="es-ES_tradnl"/>
        </w:rPr>
        <w:t xml:space="preserve">, </w:t>
      </w:r>
      <w:r w:rsidR="00D3735C" w:rsidRPr="00B33F38">
        <w:rPr>
          <w:rFonts w:ascii="Trebuchet MS" w:hAnsi="Trebuchet MS"/>
          <w:iCs/>
          <w:lang w:val="es-ES_tradnl"/>
        </w:rPr>
        <w:t>dentro de un rango de tolerancia</w:t>
      </w:r>
      <w:r w:rsidR="00037E30" w:rsidRPr="00B33F38">
        <w:rPr>
          <w:rFonts w:ascii="Trebuchet MS" w:hAnsi="Trebuchet MS"/>
          <w:iCs/>
          <w:lang w:val="es-ES_tradnl"/>
        </w:rPr>
        <w:t xml:space="preserve"> </w:t>
      </w:r>
      <w:r w:rsidR="00D3735C" w:rsidRPr="00B33F38">
        <w:rPr>
          <w:rFonts w:ascii="Trebuchet MS" w:hAnsi="Trebuchet MS"/>
          <w:iCs/>
          <w:lang w:val="es-ES_tradnl"/>
        </w:rPr>
        <w:t xml:space="preserve">o banda de indiferencia del </w:t>
      </w:r>
      <w:r w:rsidR="007A697E" w:rsidRPr="00B33F38">
        <w:rPr>
          <w:rFonts w:ascii="Trebuchet MS" w:hAnsi="Trebuchet MS"/>
          <w:iCs/>
          <w:lang w:val="es-ES_tradnl"/>
        </w:rPr>
        <w:t>0.</w:t>
      </w:r>
      <w:r w:rsidR="00D3735C" w:rsidRPr="00B33F38">
        <w:rPr>
          <w:rFonts w:ascii="Trebuchet MS" w:hAnsi="Trebuchet MS"/>
          <w:iCs/>
          <w:lang w:val="es-ES_tradnl"/>
        </w:rPr>
        <w:t>5% por encima o por debajo</w:t>
      </w:r>
      <w:r w:rsidR="00037E30" w:rsidRPr="00B33F38">
        <w:rPr>
          <w:rFonts w:ascii="Trebuchet MS" w:hAnsi="Trebuchet MS"/>
          <w:iCs/>
          <w:lang w:val="es-ES_tradnl"/>
        </w:rPr>
        <w:t xml:space="preserve"> de la meta</w:t>
      </w:r>
      <w:r w:rsidR="00D3735C" w:rsidRPr="00B33F38">
        <w:rPr>
          <w:rFonts w:ascii="Trebuchet MS" w:hAnsi="Trebuchet MS"/>
          <w:iCs/>
          <w:lang w:val="es-ES_tradnl"/>
        </w:rPr>
        <w:t xml:space="preserve">. </w:t>
      </w:r>
      <w:r w:rsidR="00524138" w:rsidRPr="00B33F38">
        <w:rPr>
          <w:rFonts w:ascii="Trebuchet MS" w:hAnsi="Trebuchet MS"/>
          <w:iCs/>
          <w:lang w:val="es-ES_tradnl"/>
        </w:rPr>
        <w:t>La</w:t>
      </w:r>
      <w:r w:rsidR="00166E15" w:rsidRPr="00B33F38">
        <w:rPr>
          <w:rFonts w:ascii="Trebuchet MS" w:hAnsi="Trebuchet MS"/>
          <w:iCs/>
          <w:lang w:val="es-ES_tradnl"/>
        </w:rPr>
        <w:t>s</w:t>
      </w:r>
      <w:r w:rsidR="00524138" w:rsidRPr="00B33F38">
        <w:rPr>
          <w:rFonts w:ascii="Trebuchet MS" w:hAnsi="Trebuchet MS"/>
          <w:iCs/>
          <w:lang w:val="es-ES_tradnl"/>
        </w:rPr>
        <w:t xml:space="preserve"> </w:t>
      </w:r>
      <w:r w:rsidR="000679CB" w:rsidRPr="00B33F38">
        <w:rPr>
          <w:rFonts w:ascii="Trebuchet MS" w:hAnsi="Trebuchet MS"/>
          <w:iCs/>
          <w:lang w:val="es-ES_tradnl"/>
        </w:rPr>
        <w:t>m</w:t>
      </w:r>
      <w:r w:rsidR="00524138" w:rsidRPr="00B33F38">
        <w:rPr>
          <w:rFonts w:ascii="Trebuchet MS" w:hAnsi="Trebuchet MS"/>
          <w:iCs/>
          <w:lang w:val="es-ES_tradnl"/>
        </w:rPr>
        <w:t>eta</w:t>
      </w:r>
      <w:r w:rsidR="00E20FA0" w:rsidRPr="00B33F38">
        <w:rPr>
          <w:rFonts w:ascii="Trebuchet MS" w:hAnsi="Trebuchet MS"/>
          <w:iCs/>
          <w:lang w:val="es-ES_tradnl"/>
        </w:rPr>
        <w:t>s</w:t>
      </w:r>
      <w:r w:rsidR="00524138" w:rsidRPr="00B33F38">
        <w:rPr>
          <w:rFonts w:ascii="Trebuchet MS" w:hAnsi="Trebuchet MS"/>
          <w:iCs/>
          <w:lang w:val="es-ES_tradnl"/>
        </w:rPr>
        <w:t xml:space="preserve"> se cumple</w:t>
      </w:r>
      <w:r w:rsidR="00166E15" w:rsidRPr="00B33F38">
        <w:rPr>
          <w:rFonts w:ascii="Trebuchet MS" w:hAnsi="Trebuchet MS"/>
          <w:iCs/>
          <w:lang w:val="es-ES_tradnl"/>
        </w:rPr>
        <w:t>n</w:t>
      </w:r>
      <w:r w:rsidR="00524138" w:rsidRPr="00B33F38">
        <w:rPr>
          <w:rFonts w:ascii="Trebuchet MS" w:hAnsi="Trebuchet MS"/>
          <w:iCs/>
          <w:lang w:val="es-ES_tradnl"/>
        </w:rPr>
        <w:t xml:space="preserve"> si </w:t>
      </w:r>
      <w:r w:rsidR="00953268" w:rsidRPr="00B33F38">
        <w:rPr>
          <w:rFonts w:ascii="Trebuchet MS" w:hAnsi="Trebuchet MS"/>
          <w:iCs/>
          <w:lang w:val="es-ES_tradnl"/>
        </w:rPr>
        <w:t>en la ejecución de cada año se obtienen indicadores que estén dentro de la</w:t>
      </w:r>
      <w:r w:rsidR="00166E15" w:rsidRPr="00B33F38">
        <w:rPr>
          <w:rFonts w:ascii="Trebuchet MS" w:hAnsi="Trebuchet MS"/>
          <w:iCs/>
          <w:lang w:val="es-ES_tradnl"/>
        </w:rPr>
        <w:t xml:space="preserve"> banda de indiferencia o que sean menor al límite inferior de la misma.</w:t>
      </w:r>
      <w:r w:rsidR="00953268" w:rsidRPr="00B33F38">
        <w:rPr>
          <w:rFonts w:ascii="Trebuchet MS" w:hAnsi="Trebuchet MS"/>
          <w:iCs/>
          <w:lang w:val="es-ES_tradnl"/>
        </w:rPr>
        <w:t xml:space="preserve"> </w:t>
      </w:r>
      <w:r w:rsidR="00602E24" w:rsidRPr="00B33F38">
        <w:rPr>
          <w:rFonts w:ascii="Trebuchet MS" w:hAnsi="Trebuchet MS"/>
          <w:iCs/>
          <w:lang w:val="es-ES_tradnl"/>
        </w:rPr>
        <w:t>En el caso del OR EPM las metas aprobadas por la CREG</w:t>
      </w:r>
      <w:r w:rsidR="00E17EB7" w:rsidRPr="00B33F38">
        <w:rPr>
          <w:rFonts w:ascii="Trebuchet MS" w:hAnsi="Trebuchet MS"/>
          <w:iCs/>
          <w:lang w:val="es-ES_tradnl"/>
        </w:rPr>
        <w:t xml:space="preserve"> </w:t>
      </w:r>
      <w:r w:rsidR="00736717" w:rsidRPr="00B33F38">
        <w:rPr>
          <w:rFonts w:ascii="Trebuchet MS" w:hAnsi="Trebuchet MS"/>
          <w:iCs/>
          <w:lang w:val="es-ES_tradnl"/>
        </w:rPr>
        <w:t xml:space="preserve">para el periodo </w:t>
      </w:r>
      <w:r w:rsidR="00602E24" w:rsidRPr="00B33F38">
        <w:rPr>
          <w:rFonts w:ascii="Trebuchet MS" w:hAnsi="Trebuchet MS"/>
          <w:iCs/>
          <w:lang w:val="es-ES_tradnl"/>
        </w:rPr>
        <w:t>2019-20</w:t>
      </w:r>
      <w:r w:rsidR="00736717" w:rsidRPr="00B33F38">
        <w:rPr>
          <w:rFonts w:ascii="Trebuchet MS" w:hAnsi="Trebuchet MS"/>
          <w:iCs/>
          <w:lang w:val="es-ES_tradnl"/>
        </w:rPr>
        <w:t>2</w:t>
      </w:r>
      <w:r w:rsidR="00602E24" w:rsidRPr="00B33F38">
        <w:rPr>
          <w:rFonts w:ascii="Trebuchet MS" w:hAnsi="Trebuchet MS"/>
          <w:iCs/>
          <w:lang w:val="es-ES_tradnl"/>
        </w:rPr>
        <w:t xml:space="preserve">3 y sus bandas de indiferencia se presentan en la </w:t>
      </w:r>
      <w:r w:rsidR="00602E24" w:rsidRPr="00B33F38">
        <w:rPr>
          <w:rFonts w:ascii="Trebuchet MS" w:hAnsi="Trebuchet MS"/>
          <w:iCs/>
          <w:lang w:val="es-ES_tradnl"/>
        </w:rPr>
        <w:fldChar w:fldCharType="begin"/>
      </w:r>
      <w:r w:rsidR="00602E24" w:rsidRPr="00B33F38">
        <w:rPr>
          <w:rFonts w:ascii="Trebuchet MS" w:hAnsi="Trebuchet MS"/>
          <w:iCs/>
          <w:lang w:val="es-ES_tradnl"/>
        </w:rPr>
        <w:instrText xml:space="preserve"> REF _Ref66959100 \h </w:instrText>
      </w:r>
      <w:r w:rsidR="00DF29CB" w:rsidRPr="00B33F38">
        <w:rPr>
          <w:rFonts w:ascii="Trebuchet MS" w:hAnsi="Trebuchet MS"/>
          <w:iCs/>
          <w:lang w:val="es-ES_tradnl"/>
        </w:rPr>
        <w:instrText xml:space="preserve"> \* MERGEFORMAT </w:instrText>
      </w:r>
      <w:r w:rsidR="00602E24" w:rsidRPr="00B33F38">
        <w:rPr>
          <w:rFonts w:ascii="Trebuchet MS" w:hAnsi="Trebuchet MS"/>
          <w:iCs/>
          <w:lang w:val="es-ES_tradnl"/>
        </w:rPr>
      </w:r>
      <w:r w:rsidR="00602E24" w:rsidRPr="00B33F38">
        <w:rPr>
          <w:rFonts w:ascii="Trebuchet MS" w:hAnsi="Trebuchet MS"/>
          <w:iCs/>
          <w:lang w:val="es-ES_tradnl"/>
        </w:rPr>
        <w:fldChar w:fldCharType="separate"/>
      </w:r>
      <w:r w:rsidR="00C944CB" w:rsidRPr="00B318D6">
        <w:rPr>
          <w:rFonts w:ascii="Trebuchet MS" w:hAnsi="Trebuchet MS"/>
        </w:rPr>
        <w:t xml:space="preserve">Tabla </w:t>
      </w:r>
      <w:r w:rsidR="00C944CB">
        <w:rPr>
          <w:rFonts w:ascii="Trebuchet MS" w:hAnsi="Trebuchet MS"/>
          <w:noProof/>
        </w:rPr>
        <w:t>2</w:t>
      </w:r>
      <w:r w:rsidR="00C944CB" w:rsidRPr="00B318D6">
        <w:rPr>
          <w:rFonts w:ascii="Trebuchet MS" w:hAnsi="Trebuchet MS"/>
          <w:noProof/>
        </w:rPr>
        <w:t>.</w:t>
      </w:r>
      <w:r w:rsidR="00C944CB">
        <w:rPr>
          <w:rFonts w:ascii="Trebuchet MS" w:hAnsi="Trebuchet MS"/>
          <w:noProof/>
        </w:rPr>
        <w:t>12</w:t>
      </w:r>
      <w:r w:rsidR="00602E24" w:rsidRPr="00B33F38">
        <w:rPr>
          <w:rFonts w:ascii="Trebuchet MS" w:hAnsi="Trebuchet MS"/>
          <w:iCs/>
          <w:lang w:val="es-ES_tradnl"/>
        </w:rPr>
        <w:fldChar w:fldCharType="end"/>
      </w:r>
      <w:r w:rsidR="00602E24" w:rsidRPr="00B33F38">
        <w:rPr>
          <w:rFonts w:ascii="Trebuchet MS" w:hAnsi="Trebuchet MS"/>
          <w:iCs/>
          <w:lang w:val="es-ES_tradnl"/>
        </w:rPr>
        <w:t xml:space="preserve"> para el SAIDI y en la </w:t>
      </w:r>
      <w:r w:rsidR="00602E24" w:rsidRPr="00B33F38">
        <w:rPr>
          <w:rFonts w:ascii="Trebuchet MS" w:hAnsi="Trebuchet MS"/>
          <w:iCs/>
          <w:lang w:val="es-ES_tradnl"/>
        </w:rPr>
        <w:fldChar w:fldCharType="begin"/>
      </w:r>
      <w:r w:rsidR="00602E24" w:rsidRPr="00B33F38">
        <w:rPr>
          <w:rFonts w:ascii="Trebuchet MS" w:hAnsi="Trebuchet MS"/>
          <w:iCs/>
          <w:lang w:val="es-ES_tradnl"/>
        </w:rPr>
        <w:instrText xml:space="preserve"> REF _Ref66959166 \h </w:instrText>
      </w:r>
      <w:r w:rsidR="00DF29CB" w:rsidRPr="00B33F38">
        <w:rPr>
          <w:rFonts w:ascii="Trebuchet MS" w:hAnsi="Trebuchet MS"/>
          <w:iCs/>
          <w:lang w:val="es-ES_tradnl"/>
        </w:rPr>
        <w:instrText xml:space="preserve"> \* MERGEFORMAT </w:instrText>
      </w:r>
      <w:r w:rsidR="00602E24" w:rsidRPr="00B33F38">
        <w:rPr>
          <w:rFonts w:ascii="Trebuchet MS" w:hAnsi="Trebuchet MS"/>
          <w:iCs/>
          <w:lang w:val="es-ES_tradnl"/>
        </w:rPr>
      </w:r>
      <w:r w:rsidR="00602E24" w:rsidRPr="00B33F38">
        <w:rPr>
          <w:rFonts w:ascii="Trebuchet MS" w:hAnsi="Trebuchet MS"/>
          <w:iCs/>
          <w:lang w:val="es-ES_tradnl"/>
        </w:rPr>
        <w:fldChar w:fldCharType="separate"/>
      </w:r>
      <w:r w:rsidR="00C944CB" w:rsidRPr="00A933AA">
        <w:rPr>
          <w:rFonts w:ascii="Trebuchet MS" w:hAnsi="Trebuchet MS"/>
        </w:rPr>
        <w:t xml:space="preserve">Tabla </w:t>
      </w:r>
      <w:r w:rsidR="00C944CB">
        <w:rPr>
          <w:rFonts w:ascii="Trebuchet MS" w:hAnsi="Trebuchet MS"/>
          <w:noProof/>
        </w:rPr>
        <w:t>2</w:t>
      </w:r>
      <w:r w:rsidR="00C944CB" w:rsidRPr="00A933AA">
        <w:rPr>
          <w:rFonts w:ascii="Trebuchet MS" w:hAnsi="Trebuchet MS"/>
          <w:noProof/>
        </w:rPr>
        <w:t>.</w:t>
      </w:r>
      <w:r w:rsidR="00C944CB">
        <w:rPr>
          <w:rFonts w:ascii="Trebuchet MS" w:hAnsi="Trebuchet MS"/>
          <w:noProof/>
        </w:rPr>
        <w:t>13</w:t>
      </w:r>
      <w:r w:rsidR="00602E24" w:rsidRPr="00B33F38">
        <w:rPr>
          <w:rFonts w:ascii="Trebuchet MS" w:hAnsi="Trebuchet MS"/>
          <w:iCs/>
          <w:lang w:val="es-ES_tradnl"/>
        </w:rPr>
        <w:fldChar w:fldCharType="end"/>
      </w:r>
      <w:r w:rsidR="00602E24" w:rsidRPr="00B33F38">
        <w:rPr>
          <w:rFonts w:ascii="Trebuchet MS" w:hAnsi="Trebuchet MS"/>
          <w:iCs/>
          <w:lang w:val="es-ES_tradnl"/>
        </w:rPr>
        <w:t xml:space="preserve"> para el SAIFI.</w:t>
      </w:r>
    </w:p>
    <w:p w14:paraId="5186E31E" w14:textId="3EC3E95D" w:rsidR="00E17EB7" w:rsidRPr="00B33F38" w:rsidRDefault="00E17EB7" w:rsidP="00DF29CB">
      <w:pPr>
        <w:spacing w:after="0"/>
        <w:ind w:left="360"/>
        <w:jc w:val="both"/>
        <w:rPr>
          <w:rFonts w:ascii="Trebuchet MS" w:hAnsi="Trebuchet MS"/>
          <w:iCs/>
          <w:lang w:val="es-ES_tradnl"/>
        </w:rPr>
      </w:pPr>
    </w:p>
    <w:p w14:paraId="7CDC6B19" w14:textId="21FDF9F9" w:rsidR="00E17EB7" w:rsidRPr="00B33F38" w:rsidRDefault="00E17EB7" w:rsidP="00DF29CB">
      <w:pPr>
        <w:spacing w:after="0"/>
        <w:ind w:left="360"/>
        <w:jc w:val="both"/>
        <w:rPr>
          <w:rFonts w:ascii="Trebuchet MS" w:hAnsi="Trebuchet MS"/>
          <w:iCs/>
          <w:lang w:val="es-ES_tradnl"/>
        </w:rPr>
      </w:pPr>
      <w:r w:rsidRPr="00B33F38">
        <w:rPr>
          <w:rFonts w:ascii="Trebuchet MS" w:hAnsi="Trebuchet MS"/>
          <w:iCs/>
          <w:lang w:val="es-ES_tradnl"/>
        </w:rPr>
        <w:t>El horizonte de planeación se presenta hasta el 2023 dado que hasta este año se cuenta con metas aprobadas por la CREG y acorde con el numeral 5.2.3.2.1 de la resolución CREG 015 del 2018, modificado por el artículo 28 de la resolución CREG 036 del 2019, se indica que, “</w:t>
      </w:r>
      <w:r w:rsidRPr="00B33F38">
        <w:rPr>
          <w:rFonts w:ascii="Trebuchet MS" w:hAnsi="Trebuchet MS"/>
          <w:i/>
          <w:lang w:val="es-ES_tradnl"/>
        </w:rPr>
        <w:t>Después del año 5 del periodo tarifario, la CREG estimará y publicará, mediante circular, las metas de calidad anual de cada OR hasta que se expida una nueva regulación</w:t>
      </w:r>
      <w:r w:rsidRPr="00B33F38">
        <w:rPr>
          <w:rFonts w:ascii="Trebuchet MS" w:hAnsi="Trebuchet MS"/>
          <w:iCs/>
          <w:lang w:val="es-ES_tradnl"/>
        </w:rPr>
        <w:t>”. Esto es, para los años 2024 en adelante.</w:t>
      </w:r>
    </w:p>
    <w:p w14:paraId="67875766" w14:textId="1E5720A9" w:rsidR="005E5851" w:rsidRPr="00EF3F98" w:rsidRDefault="00313172" w:rsidP="00DF29CB">
      <w:pPr>
        <w:ind w:left="360"/>
        <w:jc w:val="both"/>
        <w:rPr>
          <w:rFonts w:ascii="Trebuchet MS" w:hAnsi="Trebuchet MS"/>
          <w:szCs w:val="24"/>
          <w:highlight w:val="cyan"/>
        </w:rPr>
      </w:pPr>
      <w:r w:rsidRPr="00EF3F98">
        <w:rPr>
          <w:rFonts w:ascii="Trebuchet MS" w:hAnsi="Trebuchet MS"/>
          <w:iCs/>
          <w:highlight w:val="cyan"/>
          <w:lang w:val="es-ES_tradnl"/>
        </w:rPr>
        <w:t xml:space="preserve"> </w:t>
      </w:r>
    </w:p>
    <w:p w14:paraId="7AAFE377" w14:textId="63FB2F57" w:rsidR="0008137C" w:rsidRPr="00A779AF" w:rsidRDefault="0008137C" w:rsidP="00DF29CB">
      <w:pPr>
        <w:ind w:left="1416" w:hanging="1056"/>
        <w:jc w:val="both"/>
        <w:rPr>
          <w:rFonts w:ascii="Trebuchet MS" w:hAnsi="Trebuchet MS"/>
        </w:rPr>
      </w:pPr>
      <w:bookmarkStart w:id="146" w:name="_Ref66959100"/>
      <w:bookmarkStart w:id="147" w:name="_Toc131032780"/>
      <w:r w:rsidRPr="00B318D6">
        <w:rPr>
          <w:rFonts w:ascii="Trebuchet MS" w:hAnsi="Trebuchet MS"/>
        </w:rPr>
        <w:t xml:space="preserve">Tabla </w:t>
      </w:r>
      <w:r w:rsidRPr="00B318D6">
        <w:rPr>
          <w:rFonts w:ascii="Trebuchet MS" w:hAnsi="Trebuchet MS"/>
        </w:rPr>
        <w:fldChar w:fldCharType="begin"/>
      </w:r>
      <w:r w:rsidRPr="00B318D6">
        <w:rPr>
          <w:rFonts w:ascii="Trebuchet MS" w:hAnsi="Trebuchet MS"/>
        </w:rPr>
        <w:instrText xml:space="preserve"> STYLEREF 1 \s </w:instrText>
      </w:r>
      <w:r w:rsidRPr="00B318D6">
        <w:rPr>
          <w:rFonts w:ascii="Trebuchet MS" w:hAnsi="Trebuchet MS"/>
        </w:rPr>
        <w:fldChar w:fldCharType="separate"/>
      </w:r>
      <w:r w:rsidR="00C944CB">
        <w:rPr>
          <w:rFonts w:ascii="Trebuchet MS" w:hAnsi="Trebuchet MS"/>
          <w:noProof/>
        </w:rPr>
        <w:t>2</w:t>
      </w:r>
      <w:r w:rsidRPr="00B318D6">
        <w:rPr>
          <w:rFonts w:ascii="Trebuchet MS" w:hAnsi="Trebuchet MS"/>
        </w:rPr>
        <w:fldChar w:fldCharType="end"/>
      </w:r>
      <w:r w:rsidRPr="00B318D6">
        <w:rPr>
          <w:rFonts w:ascii="Trebuchet MS" w:hAnsi="Trebuchet MS"/>
        </w:rPr>
        <w:t>.</w:t>
      </w:r>
      <w:r w:rsidRPr="00B318D6">
        <w:rPr>
          <w:rFonts w:ascii="Trebuchet MS" w:hAnsi="Trebuchet MS"/>
        </w:rPr>
        <w:fldChar w:fldCharType="begin"/>
      </w:r>
      <w:r w:rsidRPr="00B318D6">
        <w:rPr>
          <w:rFonts w:ascii="Trebuchet MS" w:hAnsi="Trebuchet MS"/>
        </w:rPr>
        <w:instrText xml:space="preserve"> SEQ Tabla \* ARABIC \s 1 </w:instrText>
      </w:r>
      <w:r w:rsidRPr="00B318D6">
        <w:rPr>
          <w:rFonts w:ascii="Trebuchet MS" w:hAnsi="Trebuchet MS"/>
        </w:rPr>
        <w:fldChar w:fldCharType="separate"/>
      </w:r>
      <w:r w:rsidR="00C944CB">
        <w:rPr>
          <w:rFonts w:ascii="Trebuchet MS" w:hAnsi="Trebuchet MS"/>
          <w:noProof/>
        </w:rPr>
        <w:t>12</w:t>
      </w:r>
      <w:r w:rsidRPr="00B318D6">
        <w:rPr>
          <w:rFonts w:ascii="Trebuchet MS" w:hAnsi="Trebuchet MS"/>
        </w:rPr>
        <w:fldChar w:fldCharType="end"/>
      </w:r>
      <w:bookmarkEnd w:id="146"/>
      <w:r w:rsidRPr="00B318D6">
        <w:rPr>
          <w:rFonts w:ascii="Trebuchet MS" w:hAnsi="Trebuchet MS"/>
        </w:rPr>
        <w:t xml:space="preserve">  </w:t>
      </w:r>
      <w:r w:rsidR="001C4313" w:rsidRPr="00B318D6">
        <w:rPr>
          <w:rFonts w:ascii="Trebuchet MS" w:hAnsi="Trebuchet MS"/>
        </w:rPr>
        <w:t xml:space="preserve">Metas </w:t>
      </w:r>
      <w:r w:rsidR="001C4313" w:rsidRPr="00A779AF">
        <w:rPr>
          <w:rFonts w:ascii="Trebuchet MS" w:hAnsi="Trebuchet MS"/>
        </w:rPr>
        <w:t xml:space="preserve">del indicador de duración de eventos, </w:t>
      </w:r>
      <w:r w:rsidR="004A1DF8" w:rsidRPr="00A779AF">
        <w:rPr>
          <w:rFonts w:ascii="Trebuchet MS" w:hAnsi="Trebuchet MS"/>
        </w:rPr>
        <w:t>[</w:t>
      </w:r>
      <w:r w:rsidR="001C4313" w:rsidRPr="00A779AF">
        <w:rPr>
          <w:rFonts w:ascii="Trebuchet MS" w:hAnsi="Trebuchet MS"/>
          <w:i/>
          <w:iCs/>
        </w:rPr>
        <w:t>valores en horas al año</w:t>
      </w:r>
      <w:r w:rsidR="004A1DF8" w:rsidRPr="00A779AF">
        <w:rPr>
          <w:rFonts w:ascii="Trebuchet MS" w:hAnsi="Trebuchet MS"/>
          <w:i/>
          <w:iCs/>
        </w:rPr>
        <w:t>]</w:t>
      </w:r>
      <w:r w:rsidR="001C4313" w:rsidRPr="00A779AF">
        <w:rPr>
          <w:rFonts w:ascii="Trebuchet MS" w:hAnsi="Trebuchet MS"/>
        </w:rPr>
        <w:t>.</w:t>
      </w:r>
      <w:bookmarkEnd w:id="147"/>
    </w:p>
    <w:tbl>
      <w:tblPr>
        <w:tblStyle w:val="Tablaconcuadrcula5oscura-nfasis1"/>
        <w:tblW w:w="6554" w:type="dxa"/>
        <w:jc w:val="center"/>
        <w:tblLook w:val="04A0" w:firstRow="1" w:lastRow="0" w:firstColumn="1" w:lastColumn="0" w:noHBand="0" w:noVBand="1"/>
      </w:tblPr>
      <w:tblGrid>
        <w:gridCol w:w="1343"/>
        <w:gridCol w:w="1913"/>
        <w:gridCol w:w="1467"/>
        <w:gridCol w:w="1831"/>
      </w:tblGrid>
      <w:tr w:rsidR="00B5587C" w:rsidRPr="00A933AA" w14:paraId="3C1B9FC1" w14:textId="77777777" w:rsidTr="00923FC1">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1343" w:type="dxa"/>
            <w:hideMark/>
          </w:tcPr>
          <w:p w14:paraId="6C279438" w14:textId="77777777" w:rsidR="00DC3471" w:rsidRPr="00A933AA" w:rsidRDefault="00DC3471" w:rsidP="00923FC1">
            <w:pPr>
              <w:rPr>
                <w:rFonts w:eastAsia="Times New Roman" w:cs="Calibri"/>
                <w:bCs w:val="0"/>
                <w:color w:val="auto"/>
                <w:sz w:val="18"/>
                <w:szCs w:val="18"/>
              </w:rPr>
            </w:pPr>
            <w:r w:rsidRPr="00A933AA">
              <w:rPr>
                <w:rFonts w:eastAsia="Times New Roman" w:cs="Calibri"/>
                <w:sz w:val="18"/>
                <w:szCs w:val="18"/>
              </w:rPr>
              <w:t>Año del periodo tarifario</w:t>
            </w:r>
          </w:p>
        </w:tc>
        <w:tc>
          <w:tcPr>
            <w:tcW w:w="1913" w:type="dxa"/>
            <w:hideMark/>
          </w:tcPr>
          <w:p w14:paraId="456E088D" w14:textId="77777777" w:rsidR="00DC3471" w:rsidRPr="00A933AA" w:rsidRDefault="00DC3471" w:rsidP="00923FC1">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A933AA">
              <w:rPr>
                <w:rFonts w:eastAsia="Times New Roman" w:cs="Calibri"/>
                <w:sz w:val="18"/>
                <w:szCs w:val="18"/>
              </w:rPr>
              <w:t>Límite inferior banda indiferencia</w:t>
            </w:r>
          </w:p>
        </w:tc>
        <w:tc>
          <w:tcPr>
            <w:tcW w:w="1467" w:type="dxa"/>
            <w:hideMark/>
          </w:tcPr>
          <w:p w14:paraId="294AEBC1" w14:textId="77777777" w:rsidR="00DC3471" w:rsidRPr="00A933AA" w:rsidRDefault="00DC3471" w:rsidP="00923FC1">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A933AA">
              <w:rPr>
                <w:rFonts w:eastAsia="Times New Roman" w:cs="Calibri"/>
                <w:sz w:val="18"/>
                <w:szCs w:val="18"/>
              </w:rPr>
              <w:t>SAIDI_M</w:t>
            </w:r>
            <w:r w:rsidRPr="00A933AA">
              <w:rPr>
                <w:rFonts w:eastAsia="Times New Roman" w:cs="Calibri"/>
                <w:i/>
                <w:iCs/>
                <w:sz w:val="18"/>
                <w:szCs w:val="18"/>
                <w:vertAlign w:val="subscript"/>
              </w:rPr>
              <w:t>j,t</w:t>
            </w:r>
          </w:p>
        </w:tc>
        <w:tc>
          <w:tcPr>
            <w:tcW w:w="0" w:type="auto"/>
            <w:hideMark/>
          </w:tcPr>
          <w:p w14:paraId="3A431F7C" w14:textId="77777777" w:rsidR="00DC3471" w:rsidRPr="00A933AA" w:rsidRDefault="00DC3471" w:rsidP="00923FC1">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A933AA">
              <w:rPr>
                <w:rFonts w:eastAsia="Times New Roman" w:cs="Calibri"/>
                <w:sz w:val="18"/>
                <w:szCs w:val="18"/>
              </w:rPr>
              <w:t>Límite superior banda indiferencia</w:t>
            </w:r>
          </w:p>
        </w:tc>
      </w:tr>
      <w:tr w:rsidR="00B5587C" w:rsidRPr="00A933AA" w14:paraId="744118CC" w14:textId="77777777" w:rsidTr="00923FC1">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343" w:type="dxa"/>
            <w:noWrap/>
            <w:hideMark/>
          </w:tcPr>
          <w:p w14:paraId="0ACC8270" w14:textId="77777777" w:rsidR="00DC3471" w:rsidRPr="00A933AA" w:rsidRDefault="00DC3471" w:rsidP="00923FC1">
            <w:pPr>
              <w:jc w:val="center"/>
              <w:rPr>
                <w:rFonts w:eastAsia="Times New Roman" w:cs="Calibri"/>
                <w:b w:val="0"/>
                <w:bCs w:val="0"/>
                <w:i/>
                <w:iCs/>
                <w:color w:val="auto"/>
                <w:sz w:val="18"/>
                <w:szCs w:val="18"/>
              </w:rPr>
            </w:pPr>
            <w:r w:rsidRPr="00A933AA">
              <w:rPr>
                <w:rFonts w:eastAsia="Times New Roman" w:cs="Calibri"/>
                <w:i/>
                <w:iCs/>
                <w:sz w:val="18"/>
                <w:szCs w:val="18"/>
              </w:rPr>
              <w:t>2019</w:t>
            </w:r>
          </w:p>
        </w:tc>
        <w:tc>
          <w:tcPr>
            <w:tcW w:w="1913" w:type="dxa"/>
            <w:noWrap/>
            <w:hideMark/>
          </w:tcPr>
          <w:p w14:paraId="62B4B590"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12.781</w:t>
            </w:r>
          </w:p>
        </w:tc>
        <w:tc>
          <w:tcPr>
            <w:tcW w:w="1467" w:type="dxa"/>
            <w:noWrap/>
            <w:hideMark/>
          </w:tcPr>
          <w:p w14:paraId="49A63BF7"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12.845</w:t>
            </w:r>
          </w:p>
        </w:tc>
        <w:tc>
          <w:tcPr>
            <w:tcW w:w="0" w:type="auto"/>
            <w:noWrap/>
            <w:hideMark/>
          </w:tcPr>
          <w:p w14:paraId="095746BB"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12.909</w:t>
            </w:r>
          </w:p>
        </w:tc>
      </w:tr>
      <w:tr w:rsidR="00DC3471" w:rsidRPr="00A933AA" w14:paraId="288BCDD4" w14:textId="77777777" w:rsidTr="00923FC1">
        <w:trPr>
          <w:cnfStyle w:val="000000010000" w:firstRow="0" w:lastRow="0" w:firstColumn="0" w:lastColumn="0" w:oddVBand="0" w:evenVBand="0" w:oddHBand="0" w:evenHBand="1"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343" w:type="dxa"/>
            <w:noWrap/>
          </w:tcPr>
          <w:p w14:paraId="0061320A" w14:textId="77777777" w:rsidR="00DC3471" w:rsidRPr="00A933AA" w:rsidRDefault="00DC3471" w:rsidP="00923FC1">
            <w:pPr>
              <w:jc w:val="center"/>
              <w:rPr>
                <w:rFonts w:eastAsia="Times New Roman" w:cs="Calibri"/>
                <w:b w:val="0"/>
                <w:bCs w:val="0"/>
                <w:i/>
                <w:iCs/>
                <w:color w:val="auto"/>
                <w:sz w:val="18"/>
                <w:szCs w:val="18"/>
              </w:rPr>
            </w:pPr>
            <w:r w:rsidRPr="00A933AA">
              <w:rPr>
                <w:rFonts w:eastAsia="Times New Roman" w:cs="Calibri"/>
                <w:i/>
                <w:iCs/>
                <w:sz w:val="18"/>
                <w:szCs w:val="18"/>
              </w:rPr>
              <w:t>2020</w:t>
            </w:r>
          </w:p>
        </w:tc>
        <w:tc>
          <w:tcPr>
            <w:tcW w:w="1913" w:type="dxa"/>
            <w:noWrap/>
          </w:tcPr>
          <w:p w14:paraId="2BC95AB6" w14:textId="77777777" w:rsidR="00DC3471" w:rsidRPr="00A933AA" w:rsidRDefault="00DC347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11.758</w:t>
            </w:r>
          </w:p>
        </w:tc>
        <w:tc>
          <w:tcPr>
            <w:tcW w:w="1467" w:type="dxa"/>
            <w:noWrap/>
          </w:tcPr>
          <w:p w14:paraId="66A9D0FB" w14:textId="77777777" w:rsidR="00DC3471" w:rsidRPr="00A933AA" w:rsidRDefault="00DC347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11.817</w:t>
            </w:r>
          </w:p>
        </w:tc>
        <w:tc>
          <w:tcPr>
            <w:tcW w:w="0" w:type="auto"/>
            <w:noWrap/>
          </w:tcPr>
          <w:p w14:paraId="1BC325BF" w14:textId="77777777" w:rsidR="00DC3471" w:rsidRPr="00A933AA" w:rsidRDefault="00DC347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11.876</w:t>
            </w:r>
          </w:p>
        </w:tc>
      </w:tr>
      <w:tr w:rsidR="00B5587C" w:rsidRPr="00A933AA" w14:paraId="64ED5728" w14:textId="77777777" w:rsidTr="00923FC1">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343" w:type="dxa"/>
            <w:noWrap/>
          </w:tcPr>
          <w:p w14:paraId="166415C2" w14:textId="77777777" w:rsidR="00DC3471" w:rsidRPr="00A933AA" w:rsidRDefault="00DC3471" w:rsidP="00923FC1">
            <w:pPr>
              <w:jc w:val="center"/>
              <w:rPr>
                <w:rFonts w:eastAsia="Times New Roman" w:cs="Calibri"/>
                <w:b w:val="0"/>
                <w:bCs w:val="0"/>
                <w:i/>
                <w:iCs/>
                <w:color w:val="auto"/>
                <w:sz w:val="18"/>
                <w:szCs w:val="18"/>
              </w:rPr>
            </w:pPr>
            <w:r w:rsidRPr="00A933AA">
              <w:rPr>
                <w:rFonts w:eastAsia="Times New Roman" w:cs="Calibri"/>
                <w:i/>
                <w:iCs/>
                <w:sz w:val="18"/>
                <w:szCs w:val="18"/>
              </w:rPr>
              <w:t>2021</w:t>
            </w:r>
          </w:p>
        </w:tc>
        <w:tc>
          <w:tcPr>
            <w:tcW w:w="1913" w:type="dxa"/>
            <w:noWrap/>
          </w:tcPr>
          <w:p w14:paraId="18A381DB"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10.818</w:t>
            </w:r>
          </w:p>
        </w:tc>
        <w:tc>
          <w:tcPr>
            <w:tcW w:w="1467" w:type="dxa"/>
            <w:noWrap/>
          </w:tcPr>
          <w:p w14:paraId="53B961E2"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10.872</w:t>
            </w:r>
          </w:p>
        </w:tc>
        <w:tc>
          <w:tcPr>
            <w:tcW w:w="0" w:type="auto"/>
            <w:noWrap/>
          </w:tcPr>
          <w:p w14:paraId="09ED0534"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10.926</w:t>
            </w:r>
          </w:p>
        </w:tc>
      </w:tr>
      <w:tr w:rsidR="00DC3471" w:rsidRPr="00A933AA" w14:paraId="4EEE8C77" w14:textId="77777777" w:rsidTr="00923FC1">
        <w:trPr>
          <w:cnfStyle w:val="000000010000" w:firstRow="0" w:lastRow="0" w:firstColumn="0" w:lastColumn="0" w:oddVBand="0" w:evenVBand="0" w:oddHBand="0" w:evenHBand="1"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343" w:type="dxa"/>
            <w:noWrap/>
          </w:tcPr>
          <w:p w14:paraId="00358D60" w14:textId="77777777" w:rsidR="00DC3471" w:rsidRPr="00A933AA" w:rsidRDefault="00DC3471" w:rsidP="00923FC1">
            <w:pPr>
              <w:jc w:val="center"/>
              <w:rPr>
                <w:rFonts w:eastAsia="Times New Roman" w:cs="Calibri"/>
                <w:b w:val="0"/>
                <w:bCs w:val="0"/>
                <w:i/>
                <w:iCs/>
                <w:color w:val="auto"/>
                <w:sz w:val="18"/>
                <w:szCs w:val="18"/>
              </w:rPr>
            </w:pPr>
            <w:r w:rsidRPr="00A933AA">
              <w:rPr>
                <w:rFonts w:eastAsia="Times New Roman" w:cs="Calibri"/>
                <w:i/>
                <w:iCs/>
                <w:sz w:val="18"/>
                <w:szCs w:val="18"/>
              </w:rPr>
              <w:t>2022</w:t>
            </w:r>
          </w:p>
        </w:tc>
        <w:tc>
          <w:tcPr>
            <w:tcW w:w="1913" w:type="dxa"/>
            <w:noWrap/>
          </w:tcPr>
          <w:p w14:paraId="217D484F" w14:textId="77777777" w:rsidR="00DC3471" w:rsidRPr="00A933AA" w:rsidRDefault="00DC347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9.952</w:t>
            </w:r>
          </w:p>
        </w:tc>
        <w:tc>
          <w:tcPr>
            <w:tcW w:w="1467" w:type="dxa"/>
            <w:noWrap/>
          </w:tcPr>
          <w:p w14:paraId="5E4BCD86" w14:textId="77777777" w:rsidR="00DC3471" w:rsidRPr="00A933AA" w:rsidRDefault="00DC347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10.002</w:t>
            </w:r>
          </w:p>
        </w:tc>
        <w:tc>
          <w:tcPr>
            <w:tcW w:w="0" w:type="auto"/>
            <w:noWrap/>
          </w:tcPr>
          <w:p w14:paraId="1D187934" w14:textId="77777777" w:rsidR="00DC3471" w:rsidRPr="00A933AA" w:rsidRDefault="00DC347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10.052</w:t>
            </w:r>
          </w:p>
        </w:tc>
      </w:tr>
      <w:tr w:rsidR="00B5587C" w:rsidRPr="009E0150" w14:paraId="128B58D7" w14:textId="77777777" w:rsidTr="00923FC1">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343" w:type="dxa"/>
            <w:noWrap/>
          </w:tcPr>
          <w:p w14:paraId="308FA37F" w14:textId="77777777" w:rsidR="00DC3471" w:rsidRPr="00A933AA" w:rsidRDefault="00DC3471" w:rsidP="00923FC1">
            <w:pPr>
              <w:jc w:val="center"/>
              <w:rPr>
                <w:rFonts w:eastAsia="Times New Roman" w:cs="Calibri"/>
                <w:b w:val="0"/>
                <w:bCs w:val="0"/>
                <w:i/>
                <w:iCs/>
                <w:color w:val="auto"/>
                <w:sz w:val="18"/>
                <w:szCs w:val="18"/>
              </w:rPr>
            </w:pPr>
            <w:r w:rsidRPr="00A933AA">
              <w:rPr>
                <w:rFonts w:eastAsia="Times New Roman" w:cs="Calibri"/>
                <w:i/>
                <w:iCs/>
                <w:sz w:val="18"/>
                <w:szCs w:val="18"/>
              </w:rPr>
              <w:t>2023</w:t>
            </w:r>
          </w:p>
        </w:tc>
        <w:tc>
          <w:tcPr>
            <w:tcW w:w="1913" w:type="dxa"/>
            <w:noWrap/>
          </w:tcPr>
          <w:p w14:paraId="1180190E"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9.156</w:t>
            </w:r>
          </w:p>
        </w:tc>
        <w:tc>
          <w:tcPr>
            <w:tcW w:w="1467" w:type="dxa"/>
            <w:noWrap/>
          </w:tcPr>
          <w:p w14:paraId="7A4DE05C"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9.202</w:t>
            </w:r>
          </w:p>
        </w:tc>
        <w:tc>
          <w:tcPr>
            <w:tcW w:w="0" w:type="auto"/>
            <w:noWrap/>
          </w:tcPr>
          <w:p w14:paraId="18A5250E"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9.248</w:t>
            </w:r>
          </w:p>
        </w:tc>
      </w:tr>
    </w:tbl>
    <w:p w14:paraId="0C340F12" w14:textId="58A2C6CA" w:rsidR="00130948" w:rsidRPr="00A933AA" w:rsidRDefault="00130948" w:rsidP="00DF29CB">
      <w:pPr>
        <w:ind w:left="360"/>
        <w:jc w:val="both"/>
        <w:rPr>
          <w:rFonts w:ascii="Trebuchet MS" w:hAnsi="Trebuchet MS"/>
          <w:szCs w:val="24"/>
        </w:rPr>
      </w:pPr>
    </w:p>
    <w:p w14:paraId="0CFDC1C1" w14:textId="0BFA94E3" w:rsidR="00C366EF" w:rsidRPr="00A933AA" w:rsidRDefault="00C366EF" w:rsidP="00DF29CB">
      <w:pPr>
        <w:ind w:left="1416" w:hanging="1056"/>
        <w:jc w:val="both"/>
        <w:rPr>
          <w:rFonts w:ascii="Trebuchet MS" w:hAnsi="Trebuchet MS"/>
        </w:rPr>
      </w:pPr>
      <w:bookmarkStart w:id="148" w:name="_Ref66959166"/>
      <w:bookmarkStart w:id="149" w:name="_Toc131032781"/>
      <w:r w:rsidRPr="00A933AA">
        <w:rPr>
          <w:rFonts w:ascii="Trebuchet MS" w:hAnsi="Trebuchet MS"/>
        </w:rPr>
        <w:t xml:space="preserve">Tabla </w:t>
      </w:r>
      <w:r w:rsidRPr="00A933AA">
        <w:rPr>
          <w:rFonts w:ascii="Trebuchet MS" w:hAnsi="Trebuchet MS"/>
        </w:rPr>
        <w:fldChar w:fldCharType="begin"/>
      </w:r>
      <w:r w:rsidRPr="00A933AA">
        <w:rPr>
          <w:rFonts w:ascii="Trebuchet MS" w:hAnsi="Trebuchet MS"/>
        </w:rPr>
        <w:instrText xml:space="preserve"> STYLEREF 1 \s </w:instrText>
      </w:r>
      <w:r w:rsidRPr="00A933AA">
        <w:rPr>
          <w:rFonts w:ascii="Trebuchet MS" w:hAnsi="Trebuchet MS"/>
        </w:rPr>
        <w:fldChar w:fldCharType="separate"/>
      </w:r>
      <w:r w:rsidR="00C944CB">
        <w:rPr>
          <w:rFonts w:ascii="Trebuchet MS" w:hAnsi="Trebuchet MS"/>
          <w:noProof/>
        </w:rPr>
        <w:t>2</w:t>
      </w:r>
      <w:r w:rsidRPr="00A933AA">
        <w:rPr>
          <w:rFonts w:ascii="Trebuchet MS" w:hAnsi="Trebuchet MS"/>
        </w:rPr>
        <w:fldChar w:fldCharType="end"/>
      </w:r>
      <w:r w:rsidRPr="00A933AA">
        <w:rPr>
          <w:rFonts w:ascii="Trebuchet MS" w:hAnsi="Trebuchet MS"/>
        </w:rPr>
        <w:t>.</w:t>
      </w:r>
      <w:r w:rsidRPr="00A933AA">
        <w:rPr>
          <w:rFonts w:ascii="Trebuchet MS" w:hAnsi="Trebuchet MS"/>
        </w:rPr>
        <w:fldChar w:fldCharType="begin"/>
      </w:r>
      <w:r w:rsidRPr="00A933AA">
        <w:rPr>
          <w:rFonts w:ascii="Trebuchet MS" w:hAnsi="Trebuchet MS"/>
        </w:rPr>
        <w:instrText xml:space="preserve"> SEQ Tabla \* ARABIC \s 1 </w:instrText>
      </w:r>
      <w:r w:rsidRPr="00A933AA">
        <w:rPr>
          <w:rFonts w:ascii="Trebuchet MS" w:hAnsi="Trebuchet MS"/>
        </w:rPr>
        <w:fldChar w:fldCharType="separate"/>
      </w:r>
      <w:r w:rsidR="00C944CB">
        <w:rPr>
          <w:rFonts w:ascii="Trebuchet MS" w:hAnsi="Trebuchet MS"/>
          <w:noProof/>
        </w:rPr>
        <w:t>13</w:t>
      </w:r>
      <w:r w:rsidRPr="00A933AA">
        <w:rPr>
          <w:rFonts w:ascii="Trebuchet MS" w:hAnsi="Trebuchet MS"/>
        </w:rPr>
        <w:fldChar w:fldCharType="end"/>
      </w:r>
      <w:bookmarkEnd w:id="148"/>
      <w:r w:rsidRPr="00A933AA">
        <w:rPr>
          <w:rFonts w:ascii="Trebuchet MS" w:hAnsi="Trebuchet MS"/>
        </w:rPr>
        <w:t xml:space="preserve">  </w:t>
      </w:r>
      <w:r w:rsidR="004A1DF8" w:rsidRPr="00A933AA">
        <w:rPr>
          <w:rFonts w:ascii="Trebuchet MS" w:hAnsi="Trebuchet MS"/>
        </w:rPr>
        <w:t>Metas del indicador de frecuencia de eventos, [</w:t>
      </w:r>
      <w:r w:rsidR="004A1DF8" w:rsidRPr="00A933AA">
        <w:rPr>
          <w:rFonts w:ascii="Trebuchet MS" w:hAnsi="Trebuchet MS"/>
          <w:i/>
          <w:iCs/>
        </w:rPr>
        <w:t>valores en cantidad de eventos al año].</w:t>
      </w:r>
      <w:bookmarkEnd w:id="149"/>
    </w:p>
    <w:tbl>
      <w:tblPr>
        <w:tblStyle w:val="Tablaconcuadrcula5oscura-nfasis1"/>
        <w:tblW w:w="6475" w:type="dxa"/>
        <w:jc w:val="center"/>
        <w:tblLook w:val="04A0" w:firstRow="1" w:lastRow="0" w:firstColumn="1" w:lastColumn="0" w:noHBand="0" w:noVBand="1"/>
      </w:tblPr>
      <w:tblGrid>
        <w:gridCol w:w="1327"/>
        <w:gridCol w:w="1929"/>
        <w:gridCol w:w="1411"/>
        <w:gridCol w:w="1808"/>
      </w:tblGrid>
      <w:tr w:rsidR="00B5587C" w:rsidRPr="00A933AA" w14:paraId="1579F334" w14:textId="77777777" w:rsidTr="00923FC1">
        <w:trPr>
          <w:cnfStyle w:val="100000000000" w:firstRow="1" w:lastRow="0" w:firstColumn="0" w:lastColumn="0" w:oddVBand="0" w:evenVBand="0" w:oddHBand="0" w:evenHBand="0" w:firstRowFirstColumn="0" w:firstRowLastColumn="0" w:lastRowFirstColumn="0" w:lastRowLastColumn="0"/>
          <w:trHeight w:val="490"/>
          <w:jc w:val="center"/>
        </w:trPr>
        <w:tc>
          <w:tcPr>
            <w:cnfStyle w:val="001000000000" w:firstRow="0" w:lastRow="0" w:firstColumn="1" w:lastColumn="0" w:oddVBand="0" w:evenVBand="0" w:oddHBand="0" w:evenHBand="0" w:firstRowFirstColumn="0" w:firstRowLastColumn="0" w:lastRowFirstColumn="0" w:lastRowLastColumn="0"/>
            <w:tcW w:w="1327" w:type="dxa"/>
            <w:hideMark/>
          </w:tcPr>
          <w:p w14:paraId="3CDE9643" w14:textId="77777777" w:rsidR="009D0101" w:rsidRPr="00A933AA" w:rsidRDefault="009D0101" w:rsidP="00923FC1">
            <w:pPr>
              <w:rPr>
                <w:rFonts w:eastAsia="Times New Roman" w:cs="Calibri"/>
                <w:bCs w:val="0"/>
                <w:color w:val="auto"/>
                <w:sz w:val="18"/>
                <w:szCs w:val="18"/>
              </w:rPr>
            </w:pPr>
            <w:r w:rsidRPr="00A933AA">
              <w:rPr>
                <w:rFonts w:eastAsia="Times New Roman" w:cs="Calibri"/>
                <w:sz w:val="18"/>
                <w:szCs w:val="18"/>
              </w:rPr>
              <w:t>Año del periodo tarifario</w:t>
            </w:r>
          </w:p>
        </w:tc>
        <w:tc>
          <w:tcPr>
            <w:tcW w:w="1929" w:type="dxa"/>
            <w:hideMark/>
          </w:tcPr>
          <w:p w14:paraId="42375D89" w14:textId="77777777" w:rsidR="009D0101" w:rsidRPr="00A933AA" w:rsidRDefault="009D0101" w:rsidP="00923FC1">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A933AA">
              <w:rPr>
                <w:rFonts w:eastAsia="Times New Roman" w:cs="Calibri"/>
                <w:sz w:val="18"/>
                <w:szCs w:val="18"/>
              </w:rPr>
              <w:t>Límite inferior banda indiferencia</w:t>
            </w:r>
          </w:p>
        </w:tc>
        <w:tc>
          <w:tcPr>
            <w:tcW w:w="1411" w:type="dxa"/>
            <w:hideMark/>
          </w:tcPr>
          <w:p w14:paraId="610C23DD" w14:textId="77777777" w:rsidR="009D0101" w:rsidRPr="00A933AA" w:rsidRDefault="009D0101" w:rsidP="00923FC1">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A933AA">
              <w:rPr>
                <w:rFonts w:eastAsia="Times New Roman" w:cs="Calibri"/>
                <w:sz w:val="18"/>
                <w:szCs w:val="18"/>
              </w:rPr>
              <w:t>SAIFI_M</w:t>
            </w:r>
            <w:r w:rsidRPr="00A933AA">
              <w:rPr>
                <w:rFonts w:eastAsia="Times New Roman" w:cs="Calibri"/>
                <w:i/>
                <w:iCs/>
                <w:sz w:val="18"/>
                <w:szCs w:val="18"/>
                <w:vertAlign w:val="subscript"/>
              </w:rPr>
              <w:t>j,t</w:t>
            </w:r>
          </w:p>
        </w:tc>
        <w:tc>
          <w:tcPr>
            <w:tcW w:w="0" w:type="auto"/>
            <w:hideMark/>
          </w:tcPr>
          <w:p w14:paraId="29C8BFFC" w14:textId="77777777" w:rsidR="009D0101" w:rsidRPr="00A933AA" w:rsidRDefault="009D0101" w:rsidP="00923FC1">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A933AA">
              <w:rPr>
                <w:rFonts w:eastAsia="Times New Roman" w:cs="Calibri"/>
                <w:sz w:val="18"/>
                <w:szCs w:val="18"/>
              </w:rPr>
              <w:t>Límite superior banda indiferencia</w:t>
            </w:r>
          </w:p>
        </w:tc>
      </w:tr>
      <w:tr w:rsidR="00B5587C" w:rsidRPr="00A933AA" w14:paraId="7B057D6B" w14:textId="77777777" w:rsidTr="00923FC1">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327" w:type="dxa"/>
            <w:noWrap/>
            <w:hideMark/>
          </w:tcPr>
          <w:p w14:paraId="0273BE67" w14:textId="77777777" w:rsidR="009D0101" w:rsidRPr="00A933AA" w:rsidRDefault="009D0101" w:rsidP="00923FC1">
            <w:pPr>
              <w:jc w:val="center"/>
              <w:rPr>
                <w:rFonts w:eastAsia="Times New Roman" w:cs="Calibri"/>
                <w:b w:val="0"/>
                <w:bCs w:val="0"/>
                <w:i/>
                <w:iCs/>
                <w:color w:val="auto"/>
                <w:sz w:val="18"/>
                <w:szCs w:val="18"/>
              </w:rPr>
            </w:pPr>
            <w:r w:rsidRPr="00A933AA">
              <w:rPr>
                <w:rFonts w:eastAsia="Times New Roman" w:cs="Calibri"/>
                <w:i/>
                <w:iCs/>
                <w:sz w:val="18"/>
                <w:szCs w:val="18"/>
              </w:rPr>
              <w:t>2019</w:t>
            </w:r>
          </w:p>
        </w:tc>
        <w:tc>
          <w:tcPr>
            <w:tcW w:w="1929" w:type="dxa"/>
            <w:noWrap/>
          </w:tcPr>
          <w:p w14:paraId="2D5C24D9"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8.955</w:t>
            </w:r>
          </w:p>
        </w:tc>
        <w:tc>
          <w:tcPr>
            <w:tcW w:w="1411" w:type="dxa"/>
            <w:noWrap/>
          </w:tcPr>
          <w:p w14:paraId="42FE71D9"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9.000</w:t>
            </w:r>
          </w:p>
        </w:tc>
        <w:tc>
          <w:tcPr>
            <w:tcW w:w="0" w:type="auto"/>
            <w:noWrap/>
          </w:tcPr>
          <w:p w14:paraId="36627A95"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9.045</w:t>
            </w:r>
          </w:p>
        </w:tc>
      </w:tr>
      <w:tr w:rsidR="009D0101" w:rsidRPr="00A933AA" w14:paraId="2068AAC8" w14:textId="77777777" w:rsidTr="00923FC1">
        <w:trPr>
          <w:cnfStyle w:val="000000010000" w:firstRow="0" w:lastRow="0" w:firstColumn="0" w:lastColumn="0" w:oddVBand="0" w:evenVBand="0" w:oddHBand="0" w:evenHBand="1"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327" w:type="dxa"/>
            <w:noWrap/>
          </w:tcPr>
          <w:p w14:paraId="1CA9632A" w14:textId="77777777" w:rsidR="009D0101" w:rsidRPr="00A933AA" w:rsidRDefault="009D0101" w:rsidP="00923FC1">
            <w:pPr>
              <w:jc w:val="center"/>
              <w:rPr>
                <w:rFonts w:eastAsia="Times New Roman" w:cs="Calibri"/>
                <w:b w:val="0"/>
                <w:bCs w:val="0"/>
                <w:i/>
                <w:iCs/>
                <w:color w:val="auto"/>
                <w:sz w:val="18"/>
                <w:szCs w:val="18"/>
              </w:rPr>
            </w:pPr>
            <w:r w:rsidRPr="00A933AA">
              <w:rPr>
                <w:rFonts w:eastAsia="Times New Roman" w:cs="Calibri"/>
                <w:i/>
                <w:iCs/>
                <w:sz w:val="18"/>
                <w:szCs w:val="18"/>
              </w:rPr>
              <w:t>2020</w:t>
            </w:r>
          </w:p>
        </w:tc>
        <w:tc>
          <w:tcPr>
            <w:tcW w:w="1929" w:type="dxa"/>
            <w:noWrap/>
          </w:tcPr>
          <w:p w14:paraId="294E0E50" w14:textId="77777777" w:rsidR="009D0101" w:rsidRPr="00A933AA" w:rsidRDefault="009D010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8.955</w:t>
            </w:r>
          </w:p>
        </w:tc>
        <w:tc>
          <w:tcPr>
            <w:tcW w:w="1411" w:type="dxa"/>
            <w:noWrap/>
          </w:tcPr>
          <w:p w14:paraId="3287D48D" w14:textId="77777777" w:rsidR="009D0101" w:rsidRPr="00A933AA" w:rsidRDefault="009D010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9.000</w:t>
            </w:r>
          </w:p>
        </w:tc>
        <w:tc>
          <w:tcPr>
            <w:tcW w:w="0" w:type="auto"/>
            <w:noWrap/>
          </w:tcPr>
          <w:p w14:paraId="1FF1F59F" w14:textId="77777777" w:rsidR="009D0101" w:rsidRPr="00A933AA" w:rsidRDefault="009D010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9.045</w:t>
            </w:r>
          </w:p>
        </w:tc>
      </w:tr>
      <w:tr w:rsidR="00B5587C" w:rsidRPr="00A933AA" w14:paraId="18CB5D59" w14:textId="77777777" w:rsidTr="00923FC1">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327" w:type="dxa"/>
            <w:noWrap/>
          </w:tcPr>
          <w:p w14:paraId="6A6C8236" w14:textId="77777777" w:rsidR="009D0101" w:rsidRPr="00A933AA" w:rsidRDefault="009D0101" w:rsidP="00923FC1">
            <w:pPr>
              <w:jc w:val="center"/>
              <w:rPr>
                <w:rFonts w:eastAsia="Times New Roman" w:cs="Calibri"/>
                <w:b w:val="0"/>
                <w:bCs w:val="0"/>
                <w:i/>
                <w:iCs/>
                <w:color w:val="auto"/>
                <w:sz w:val="18"/>
                <w:szCs w:val="18"/>
              </w:rPr>
            </w:pPr>
            <w:r w:rsidRPr="00A933AA">
              <w:rPr>
                <w:rFonts w:eastAsia="Times New Roman" w:cs="Calibri"/>
                <w:i/>
                <w:iCs/>
                <w:sz w:val="18"/>
                <w:szCs w:val="18"/>
              </w:rPr>
              <w:t>2021</w:t>
            </w:r>
          </w:p>
        </w:tc>
        <w:tc>
          <w:tcPr>
            <w:tcW w:w="1929" w:type="dxa"/>
            <w:noWrap/>
          </w:tcPr>
          <w:p w14:paraId="5FCC3D5D"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8.955</w:t>
            </w:r>
          </w:p>
        </w:tc>
        <w:tc>
          <w:tcPr>
            <w:tcW w:w="1411" w:type="dxa"/>
            <w:noWrap/>
          </w:tcPr>
          <w:p w14:paraId="395AFA45"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9.000</w:t>
            </w:r>
          </w:p>
        </w:tc>
        <w:tc>
          <w:tcPr>
            <w:tcW w:w="0" w:type="auto"/>
            <w:noWrap/>
          </w:tcPr>
          <w:p w14:paraId="723FE89A"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9.045</w:t>
            </w:r>
          </w:p>
        </w:tc>
      </w:tr>
      <w:tr w:rsidR="009D0101" w:rsidRPr="00A933AA" w14:paraId="7E25320E" w14:textId="77777777" w:rsidTr="00923FC1">
        <w:trPr>
          <w:cnfStyle w:val="000000010000" w:firstRow="0" w:lastRow="0" w:firstColumn="0" w:lastColumn="0" w:oddVBand="0" w:evenVBand="0" w:oddHBand="0" w:evenHBand="1"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327" w:type="dxa"/>
            <w:noWrap/>
          </w:tcPr>
          <w:p w14:paraId="4CC8ED7B" w14:textId="77777777" w:rsidR="009D0101" w:rsidRPr="00A933AA" w:rsidRDefault="009D0101" w:rsidP="00923FC1">
            <w:pPr>
              <w:jc w:val="center"/>
              <w:rPr>
                <w:rFonts w:eastAsia="Times New Roman" w:cs="Calibri"/>
                <w:b w:val="0"/>
                <w:bCs w:val="0"/>
                <w:i/>
                <w:iCs/>
                <w:color w:val="auto"/>
                <w:sz w:val="18"/>
                <w:szCs w:val="18"/>
              </w:rPr>
            </w:pPr>
            <w:r w:rsidRPr="00A933AA">
              <w:rPr>
                <w:rFonts w:eastAsia="Times New Roman" w:cs="Calibri"/>
                <w:i/>
                <w:iCs/>
                <w:sz w:val="18"/>
                <w:szCs w:val="18"/>
              </w:rPr>
              <w:t>2022</w:t>
            </w:r>
          </w:p>
        </w:tc>
        <w:tc>
          <w:tcPr>
            <w:tcW w:w="1929" w:type="dxa"/>
            <w:noWrap/>
          </w:tcPr>
          <w:p w14:paraId="534B72D5" w14:textId="77777777" w:rsidR="009D0101" w:rsidRPr="00A933AA" w:rsidRDefault="009D010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8.955</w:t>
            </w:r>
          </w:p>
        </w:tc>
        <w:tc>
          <w:tcPr>
            <w:tcW w:w="1411" w:type="dxa"/>
            <w:noWrap/>
          </w:tcPr>
          <w:p w14:paraId="1081257B" w14:textId="77777777" w:rsidR="009D0101" w:rsidRPr="00A933AA" w:rsidRDefault="009D010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9.000</w:t>
            </w:r>
          </w:p>
        </w:tc>
        <w:tc>
          <w:tcPr>
            <w:tcW w:w="0" w:type="auto"/>
            <w:noWrap/>
          </w:tcPr>
          <w:p w14:paraId="458799D4" w14:textId="77777777" w:rsidR="009D0101" w:rsidRPr="00A933AA" w:rsidRDefault="009D010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9.045</w:t>
            </w:r>
          </w:p>
        </w:tc>
      </w:tr>
      <w:tr w:rsidR="00B5587C" w:rsidRPr="009E0150" w14:paraId="7D076F29" w14:textId="77777777" w:rsidTr="00923FC1">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327" w:type="dxa"/>
            <w:noWrap/>
          </w:tcPr>
          <w:p w14:paraId="73FE2D55" w14:textId="77777777" w:rsidR="009D0101" w:rsidRPr="00A933AA" w:rsidRDefault="009D0101" w:rsidP="00923FC1">
            <w:pPr>
              <w:jc w:val="center"/>
              <w:rPr>
                <w:rFonts w:eastAsia="Times New Roman" w:cs="Calibri"/>
                <w:b w:val="0"/>
                <w:bCs w:val="0"/>
                <w:i/>
                <w:iCs/>
                <w:color w:val="auto"/>
                <w:sz w:val="18"/>
                <w:szCs w:val="18"/>
              </w:rPr>
            </w:pPr>
            <w:r w:rsidRPr="00A933AA">
              <w:rPr>
                <w:rFonts w:eastAsia="Times New Roman" w:cs="Calibri"/>
                <w:i/>
                <w:iCs/>
                <w:sz w:val="18"/>
                <w:szCs w:val="18"/>
              </w:rPr>
              <w:t>2023</w:t>
            </w:r>
          </w:p>
        </w:tc>
        <w:tc>
          <w:tcPr>
            <w:tcW w:w="1929" w:type="dxa"/>
            <w:noWrap/>
          </w:tcPr>
          <w:p w14:paraId="791E0598"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8.955</w:t>
            </w:r>
          </w:p>
        </w:tc>
        <w:tc>
          <w:tcPr>
            <w:tcW w:w="1411" w:type="dxa"/>
            <w:noWrap/>
          </w:tcPr>
          <w:p w14:paraId="0FC991D5"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9.000</w:t>
            </w:r>
          </w:p>
        </w:tc>
        <w:tc>
          <w:tcPr>
            <w:tcW w:w="0" w:type="auto"/>
            <w:noWrap/>
          </w:tcPr>
          <w:p w14:paraId="42EC445D"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9.045</w:t>
            </w:r>
          </w:p>
        </w:tc>
      </w:tr>
    </w:tbl>
    <w:p w14:paraId="3C29C323" w14:textId="0F9ADA2E" w:rsidR="00DC3471" w:rsidRPr="00EF3F98" w:rsidRDefault="00DC3471" w:rsidP="00DF29CB">
      <w:pPr>
        <w:ind w:left="360"/>
        <w:jc w:val="both"/>
        <w:rPr>
          <w:rFonts w:ascii="Trebuchet MS" w:hAnsi="Trebuchet MS"/>
          <w:szCs w:val="24"/>
          <w:highlight w:val="cyan"/>
        </w:rPr>
      </w:pPr>
    </w:p>
    <w:p w14:paraId="5DEEA6D6" w14:textId="39DFA44D" w:rsidR="00BE53C2" w:rsidRPr="00DE37D8" w:rsidRDefault="00D97B49" w:rsidP="00307E2B">
      <w:pPr>
        <w:spacing w:after="0"/>
        <w:ind w:left="360"/>
        <w:jc w:val="both"/>
        <w:rPr>
          <w:rFonts w:ascii="Trebuchet MS" w:hAnsi="Trebuchet MS"/>
          <w:szCs w:val="24"/>
        </w:rPr>
      </w:pPr>
      <w:r w:rsidRPr="00A933AA">
        <w:rPr>
          <w:rFonts w:ascii="Trebuchet MS" w:hAnsi="Trebuchet MS"/>
          <w:szCs w:val="24"/>
        </w:rPr>
        <w:t>La calidad individual que recibe cada usuario del sistema está medida por el indicador</w:t>
      </w:r>
      <w:r w:rsidR="00B232D8" w:rsidRPr="00A933AA">
        <w:rPr>
          <w:rFonts w:ascii="Trebuchet MS" w:hAnsi="Trebuchet MS"/>
          <w:szCs w:val="24"/>
        </w:rPr>
        <w:t xml:space="preserve"> </w:t>
      </w:r>
      <w:r w:rsidR="0016653B" w:rsidRPr="00A933AA">
        <w:rPr>
          <w:rFonts w:ascii="Trebuchet MS" w:hAnsi="Trebuchet MS"/>
          <w:szCs w:val="24"/>
        </w:rPr>
        <w:t>DIUG</w:t>
      </w:r>
      <w:r w:rsidRPr="00A933AA">
        <w:rPr>
          <w:rFonts w:ascii="Trebuchet MS" w:hAnsi="Trebuchet MS"/>
          <w:szCs w:val="24"/>
        </w:rPr>
        <w:t xml:space="preserve">, para la duración de eventos y por el indicador </w:t>
      </w:r>
      <w:r w:rsidR="0016653B" w:rsidRPr="00A933AA">
        <w:rPr>
          <w:rFonts w:ascii="Trebuchet MS" w:hAnsi="Trebuchet MS"/>
          <w:szCs w:val="24"/>
        </w:rPr>
        <w:t>FIUG</w:t>
      </w:r>
      <w:r w:rsidRPr="00A933AA">
        <w:rPr>
          <w:rFonts w:ascii="Trebuchet MS" w:hAnsi="Trebuchet MS"/>
          <w:szCs w:val="24"/>
        </w:rPr>
        <w:t>, para la frecuencia de los eventos. Para cada OR se establecen</w:t>
      </w:r>
      <w:r w:rsidR="00955361" w:rsidRPr="00A933AA">
        <w:rPr>
          <w:rFonts w:ascii="Trebuchet MS" w:hAnsi="Trebuchet MS"/>
          <w:szCs w:val="24"/>
        </w:rPr>
        <w:t xml:space="preserve"> como metas</w:t>
      </w:r>
      <w:r w:rsidRPr="00A933AA">
        <w:rPr>
          <w:rFonts w:ascii="Trebuchet MS" w:hAnsi="Trebuchet MS"/>
          <w:szCs w:val="24"/>
        </w:rPr>
        <w:t xml:space="preserve"> un</w:t>
      </w:r>
      <w:r w:rsidR="008777E8" w:rsidRPr="00A933AA">
        <w:rPr>
          <w:rFonts w:ascii="Trebuchet MS" w:hAnsi="Trebuchet MS"/>
          <w:szCs w:val="24"/>
        </w:rPr>
        <w:t>os indicadores de calidad mínima garantizada</w:t>
      </w:r>
      <w:r w:rsidR="00955361" w:rsidRPr="00A933AA">
        <w:rPr>
          <w:rFonts w:ascii="Trebuchet MS" w:hAnsi="Trebuchet MS"/>
          <w:szCs w:val="24"/>
        </w:rPr>
        <w:t xml:space="preserve"> que debe recibir cada usuario</w:t>
      </w:r>
      <w:r w:rsidR="00647890" w:rsidRPr="00A933AA">
        <w:rPr>
          <w:rFonts w:ascii="Trebuchet MS" w:hAnsi="Trebuchet MS"/>
          <w:szCs w:val="24"/>
        </w:rPr>
        <w:t>,</w:t>
      </w:r>
      <w:r w:rsidR="003A5577" w:rsidRPr="00A933AA">
        <w:rPr>
          <w:rFonts w:ascii="Trebuchet MS" w:hAnsi="Trebuchet MS"/>
          <w:szCs w:val="24"/>
        </w:rPr>
        <w:t xml:space="preserve"> </w:t>
      </w:r>
      <w:r w:rsidR="003A5577" w:rsidRPr="00A933AA">
        <w:rPr>
          <w:rFonts w:ascii="Trebuchet MS" w:hAnsi="Trebuchet MS"/>
          <w:i/>
          <w:iCs/>
          <w:szCs w:val="24"/>
        </w:rPr>
        <w:t>DIUG</w:t>
      </w:r>
      <w:r w:rsidR="003A5577" w:rsidRPr="00A933AA">
        <w:rPr>
          <w:rFonts w:ascii="Trebuchet MS" w:hAnsi="Trebuchet MS"/>
          <w:i/>
          <w:iCs/>
          <w:szCs w:val="24"/>
          <w:vertAlign w:val="subscript"/>
        </w:rPr>
        <w:t>j,n,q</w:t>
      </w:r>
      <w:r w:rsidR="003A5577" w:rsidRPr="00A933AA">
        <w:rPr>
          <w:rFonts w:ascii="Trebuchet MS" w:hAnsi="Trebuchet MS"/>
          <w:szCs w:val="24"/>
        </w:rPr>
        <w:t xml:space="preserve"> y </w:t>
      </w:r>
      <w:r w:rsidR="003A5577" w:rsidRPr="00A933AA">
        <w:rPr>
          <w:rFonts w:ascii="Trebuchet MS" w:hAnsi="Trebuchet MS"/>
          <w:i/>
          <w:iCs/>
          <w:szCs w:val="24"/>
        </w:rPr>
        <w:t>FIUG</w:t>
      </w:r>
      <w:r w:rsidR="003A5577" w:rsidRPr="00A933AA">
        <w:rPr>
          <w:rFonts w:ascii="Trebuchet MS" w:hAnsi="Trebuchet MS"/>
          <w:i/>
          <w:iCs/>
          <w:szCs w:val="24"/>
          <w:vertAlign w:val="subscript"/>
        </w:rPr>
        <w:t>j,n,q</w:t>
      </w:r>
      <w:r w:rsidR="003A5577" w:rsidRPr="00A933AA">
        <w:rPr>
          <w:rFonts w:ascii="Trebuchet MS" w:hAnsi="Trebuchet MS"/>
          <w:szCs w:val="24"/>
        </w:rPr>
        <w:t xml:space="preserve">, </w:t>
      </w:r>
      <w:r w:rsidR="00233A88" w:rsidRPr="00A933AA">
        <w:rPr>
          <w:rFonts w:ascii="Trebuchet MS" w:hAnsi="Trebuchet MS"/>
          <w:szCs w:val="24"/>
        </w:rPr>
        <w:t>cl</w:t>
      </w:r>
      <w:r w:rsidR="007A30F7" w:rsidRPr="00A933AA">
        <w:rPr>
          <w:rFonts w:ascii="Trebuchet MS" w:hAnsi="Trebuchet MS"/>
          <w:szCs w:val="24"/>
        </w:rPr>
        <w:t>a</w:t>
      </w:r>
      <w:r w:rsidR="00233A88" w:rsidRPr="00A933AA">
        <w:rPr>
          <w:rFonts w:ascii="Trebuchet MS" w:hAnsi="Trebuchet MS"/>
          <w:szCs w:val="24"/>
        </w:rPr>
        <w:t xml:space="preserve">sificados </w:t>
      </w:r>
      <w:r w:rsidR="007A30F7" w:rsidRPr="00A933AA">
        <w:rPr>
          <w:rFonts w:ascii="Trebuchet MS" w:hAnsi="Trebuchet MS"/>
          <w:szCs w:val="24"/>
        </w:rPr>
        <w:t xml:space="preserve">en grupos de calidad dados por el </w:t>
      </w:r>
      <w:r w:rsidR="00B63960" w:rsidRPr="00A933AA">
        <w:rPr>
          <w:rFonts w:ascii="Trebuchet MS" w:hAnsi="Trebuchet MS"/>
          <w:szCs w:val="24"/>
        </w:rPr>
        <w:t xml:space="preserve">nivel de riesgo de falla </w:t>
      </w:r>
      <w:r w:rsidR="007A30F7" w:rsidRPr="00A933AA">
        <w:rPr>
          <w:rFonts w:ascii="Trebuchet MS" w:hAnsi="Trebuchet MS"/>
          <w:szCs w:val="24"/>
        </w:rPr>
        <w:t>y nivel de ruralidad.</w:t>
      </w:r>
      <w:r w:rsidR="000679CB" w:rsidRPr="00A933AA">
        <w:rPr>
          <w:rFonts w:ascii="Trebuchet MS" w:hAnsi="Trebuchet MS"/>
          <w:szCs w:val="24"/>
        </w:rPr>
        <w:t xml:space="preserve"> Para cada usuario, se cumple con la calidad mínima garantizada</w:t>
      </w:r>
      <w:r w:rsidR="00A23108" w:rsidRPr="00A933AA">
        <w:rPr>
          <w:rFonts w:ascii="Trebuchet MS" w:hAnsi="Trebuchet MS"/>
          <w:szCs w:val="24"/>
        </w:rPr>
        <w:t xml:space="preserve"> si </w:t>
      </w:r>
      <w:r w:rsidR="00A01A24" w:rsidRPr="00A933AA">
        <w:rPr>
          <w:rFonts w:ascii="Trebuchet MS" w:hAnsi="Trebuchet MS"/>
          <w:szCs w:val="24"/>
        </w:rPr>
        <w:t xml:space="preserve">se obtienen indicadores iguales o </w:t>
      </w:r>
      <w:r w:rsidR="00A01A24" w:rsidRPr="00DE37D8">
        <w:rPr>
          <w:rFonts w:ascii="Trebuchet MS" w:hAnsi="Trebuchet MS"/>
          <w:szCs w:val="24"/>
        </w:rPr>
        <w:t>menores</w:t>
      </w:r>
      <w:r w:rsidR="006F71F9" w:rsidRPr="00DE37D8">
        <w:rPr>
          <w:rFonts w:ascii="Trebuchet MS" w:hAnsi="Trebuchet MS"/>
          <w:szCs w:val="24"/>
        </w:rPr>
        <w:t xml:space="preserve"> a los </w:t>
      </w:r>
      <w:r w:rsidR="00563CF6" w:rsidRPr="00DE37D8">
        <w:rPr>
          <w:rFonts w:ascii="Trebuchet MS" w:hAnsi="Trebuchet MS"/>
          <w:i/>
          <w:iCs/>
          <w:szCs w:val="24"/>
        </w:rPr>
        <w:t>DIUG</w:t>
      </w:r>
      <w:r w:rsidR="00563CF6" w:rsidRPr="00DE37D8">
        <w:rPr>
          <w:rFonts w:ascii="Trebuchet MS" w:hAnsi="Trebuchet MS"/>
          <w:i/>
          <w:iCs/>
          <w:szCs w:val="24"/>
          <w:vertAlign w:val="subscript"/>
        </w:rPr>
        <w:t>j,n,q</w:t>
      </w:r>
      <w:r w:rsidR="00563CF6" w:rsidRPr="00DE37D8">
        <w:rPr>
          <w:rFonts w:ascii="Trebuchet MS" w:hAnsi="Trebuchet MS"/>
          <w:szCs w:val="24"/>
        </w:rPr>
        <w:t xml:space="preserve"> y </w:t>
      </w:r>
      <w:r w:rsidR="00563CF6" w:rsidRPr="00DE37D8">
        <w:rPr>
          <w:rFonts w:ascii="Trebuchet MS" w:hAnsi="Trebuchet MS"/>
          <w:i/>
          <w:iCs/>
          <w:szCs w:val="24"/>
        </w:rPr>
        <w:t>FIUG</w:t>
      </w:r>
      <w:r w:rsidR="00563CF6" w:rsidRPr="00DE37D8">
        <w:rPr>
          <w:rFonts w:ascii="Trebuchet MS" w:hAnsi="Trebuchet MS"/>
          <w:szCs w:val="24"/>
          <w:vertAlign w:val="subscript"/>
        </w:rPr>
        <w:t>j,n,q</w:t>
      </w:r>
      <w:r w:rsidR="00563CF6" w:rsidRPr="00DE37D8">
        <w:rPr>
          <w:rFonts w:ascii="Trebuchet MS" w:hAnsi="Trebuchet MS"/>
          <w:szCs w:val="24"/>
        </w:rPr>
        <w:t xml:space="preserve"> aprobados</w:t>
      </w:r>
      <w:r w:rsidR="00C1454C" w:rsidRPr="00DE37D8">
        <w:rPr>
          <w:rFonts w:ascii="Trebuchet MS" w:hAnsi="Trebuchet MS"/>
          <w:szCs w:val="24"/>
        </w:rPr>
        <w:t xml:space="preserve"> para el OR</w:t>
      </w:r>
      <w:r w:rsidR="00563CF6" w:rsidRPr="00DE37D8">
        <w:rPr>
          <w:rFonts w:ascii="Trebuchet MS" w:hAnsi="Trebuchet MS"/>
          <w:szCs w:val="24"/>
        </w:rPr>
        <w:t>.</w:t>
      </w:r>
      <w:r w:rsidR="000275A6" w:rsidRPr="00DE37D8">
        <w:rPr>
          <w:rFonts w:ascii="Trebuchet MS" w:hAnsi="Trebuchet MS"/>
          <w:szCs w:val="24"/>
        </w:rPr>
        <w:t xml:space="preserve"> </w:t>
      </w:r>
      <w:r w:rsidRPr="00DE37D8">
        <w:rPr>
          <w:rFonts w:ascii="Trebuchet MS" w:hAnsi="Trebuchet MS"/>
          <w:szCs w:val="24"/>
        </w:rPr>
        <w:t>En el caso del OR EPM</w:t>
      </w:r>
      <w:r w:rsidR="00094979" w:rsidRPr="00DE37D8">
        <w:rPr>
          <w:rFonts w:ascii="Trebuchet MS" w:hAnsi="Trebuchet MS"/>
          <w:szCs w:val="24"/>
        </w:rPr>
        <w:t>,</w:t>
      </w:r>
      <w:r w:rsidRPr="00DE37D8">
        <w:rPr>
          <w:rFonts w:ascii="Trebuchet MS" w:hAnsi="Trebuchet MS"/>
          <w:szCs w:val="24"/>
        </w:rPr>
        <w:t xml:space="preserve"> l</w:t>
      </w:r>
      <w:r w:rsidR="00094979" w:rsidRPr="00DE37D8">
        <w:rPr>
          <w:rFonts w:ascii="Trebuchet MS" w:hAnsi="Trebuchet MS"/>
          <w:szCs w:val="24"/>
        </w:rPr>
        <w:t xml:space="preserve">os indicadores de calidad individual mínima garantizada </w:t>
      </w:r>
      <w:r w:rsidRPr="00DE37D8">
        <w:rPr>
          <w:rFonts w:ascii="Trebuchet MS" w:hAnsi="Trebuchet MS"/>
          <w:szCs w:val="24"/>
        </w:rPr>
        <w:t>aprobadas por la CREG en el plan 2019-2013</w:t>
      </w:r>
      <w:r w:rsidR="00F4164B" w:rsidRPr="00DE37D8">
        <w:rPr>
          <w:rFonts w:ascii="Trebuchet MS" w:hAnsi="Trebuchet MS"/>
          <w:szCs w:val="24"/>
        </w:rPr>
        <w:t xml:space="preserve"> </w:t>
      </w:r>
      <w:r w:rsidRPr="00DE37D8">
        <w:rPr>
          <w:rFonts w:ascii="Trebuchet MS" w:hAnsi="Trebuchet MS"/>
          <w:szCs w:val="24"/>
        </w:rPr>
        <w:t>se presentan en l</w:t>
      </w:r>
      <w:r w:rsidR="00F4164B" w:rsidRPr="00DE37D8">
        <w:rPr>
          <w:rFonts w:ascii="Trebuchet MS" w:hAnsi="Trebuchet MS"/>
          <w:szCs w:val="24"/>
        </w:rPr>
        <w:t>a</w:t>
      </w:r>
      <w:r w:rsidR="004B3D06" w:rsidRPr="00DE37D8">
        <w:rPr>
          <w:rFonts w:ascii="Trebuchet MS" w:hAnsi="Trebuchet MS"/>
          <w:szCs w:val="24"/>
        </w:rPr>
        <w:t xml:space="preserve"> </w:t>
      </w:r>
      <w:r w:rsidR="004B3D06" w:rsidRPr="00DE37D8">
        <w:rPr>
          <w:rFonts w:ascii="Trebuchet MS" w:hAnsi="Trebuchet MS"/>
          <w:szCs w:val="24"/>
        </w:rPr>
        <w:fldChar w:fldCharType="begin"/>
      </w:r>
      <w:r w:rsidR="004B3D06" w:rsidRPr="00DE37D8">
        <w:rPr>
          <w:rFonts w:ascii="Trebuchet MS" w:hAnsi="Trebuchet MS"/>
          <w:szCs w:val="24"/>
        </w:rPr>
        <w:instrText xml:space="preserve"> REF _Ref67386527 \h  \* MERGEFORMAT </w:instrText>
      </w:r>
      <w:r w:rsidR="004B3D06" w:rsidRPr="00DE37D8">
        <w:rPr>
          <w:rFonts w:ascii="Trebuchet MS" w:hAnsi="Trebuchet MS"/>
          <w:szCs w:val="24"/>
        </w:rPr>
      </w:r>
      <w:r w:rsidR="004B3D06" w:rsidRPr="00DE37D8">
        <w:rPr>
          <w:rFonts w:ascii="Trebuchet MS" w:hAnsi="Trebuchet MS"/>
          <w:szCs w:val="24"/>
        </w:rPr>
        <w:fldChar w:fldCharType="separate"/>
      </w:r>
      <w:r w:rsidR="00C944CB" w:rsidRPr="00C944CB">
        <w:rPr>
          <w:rFonts w:ascii="Trebuchet MS" w:hAnsi="Trebuchet MS"/>
          <w:szCs w:val="24"/>
        </w:rPr>
        <w:t>Tabla 2.14</w:t>
      </w:r>
      <w:r w:rsidR="004B3D06" w:rsidRPr="00DE37D8">
        <w:rPr>
          <w:rFonts w:ascii="Trebuchet MS" w:hAnsi="Trebuchet MS"/>
          <w:szCs w:val="24"/>
        </w:rPr>
        <w:fldChar w:fldCharType="end"/>
      </w:r>
      <w:r w:rsidR="004B3D06" w:rsidRPr="00DE37D8">
        <w:rPr>
          <w:rFonts w:ascii="Trebuchet MS" w:hAnsi="Trebuchet MS"/>
          <w:szCs w:val="24"/>
        </w:rPr>
        <w:t xml:space="preserve"> </w:t>
      </w:r>
      <w:r w:rsidRPr="00DE37D8">
        <w:rPr>
          <w:rFonts w:ascii="Trebuchet MS" w:hAnsi="Trebuchet MS"/>
          <w:szCs w:val="24"/>
        </w:rPr>
        <w:t xml:space="preserve">para el </w:t>
      </w:r>
      <w:r w:rsidR="002C2708" w:rsidRPr="00DE37D8">
        <w:rPr>
          <w:rFonts w:ascii="Trebuchet MS" w:hAnsi="Trebuchet MS"/>
          <w:i/>
          <w:iCs/>
          <w:szCs w:val="24"/>
        </w:rPr>
        <w:t>DIUG</w:t>
      </w:r>
      <w:r w:rsidR="002C2708" w:rsidRPr="00DE37D8">
        <w:rPr>
          <w:rFonts w:ascii="Trebuchet MS" w:hAnsi="Trebuchet MS"/>
          <w:i/>
          <w:iCs/>
          <w:szCs w:val="24"/>
          <w:vertAlign w:val="subscript"/>
        </w:rPr>
        <w:t>j,n,q</w:t>
      </w:r>
      <w:r w:rsidRPr="00DE37D8">
        <w:rPr>
          <w:rFonts w:ascii="Trebuchet MS" w:hAnsi="Trebuchet MS"/>
          <w:szCs w:val="24"/>
        </w:rPr>
        <w:t xml:space="preserve"> y en la</w:t>
      </w:r>
      <w:r w:rsidR="00954CDC" w:rsidRPr="00DE37D8">
        <w:rPr>
          <w:rFonts w:ascii="Trebuchet MS" w:hAnsi="Trebuchet MS"/>
          <w:szCs w:val="24"/>
        </w:rPr>
        <w:t xml:space="preserve"> </w:t>
      </w:r>
      <w:r w:rsidR="00954CDC" w:rsidRPr="00DE37D8">
        <w:rPr>
          <w:rFonts w:ascii="Trebuchet MS" w:hAnsi="Trebuchet MS"/>
          <w:szCs w:val="24"/>
        </w:rPr>
        <w:fldChar w:fldCharType="begin"/>
      </w:r>
      <w:r w:rsidR="00954CDC" w:rsidRPr="00DE37D8">
        <w:rPr>
          <w:rFonts w:ascii="Trebuchet MS" w:hAnsi="Trebuchet MS"/>
          <w:szCs w:val="24"/>
        </w:rPr>
        <w:instrText xml:space="preserve"> REF _Ref66961172 \h </w:instrText>
      </w:r>
      <w:r w:rsidR="004B3D06" w:rsidRPr="00DE37D8">
        <w:rPr>
          <w:rFonts w:ascii="Trebuchet MS" w:hAnsi="Trebuchet MS"/>
          <w:szCs w:val="24"/>
        </w:rPr>
        <w:instrText xml:space="preserve"> \* MERGEFORMAT </w:instrText>
      </w:r>
      <w:r w:rsidR="00954CDC" w:rsidRPr="00DE37D8">
        <w:rPr>
          <w:rFonts w:ascii="Trebuchet MS" w:hAnsi="Trebuchet MS"/>
          <w:szCs w:val="24"/>
        </w:rPr>
      </w:r>
      <w:r w:rsidR="00954CDC" w:rsidRPr="00DE37D8">
        <w:rPr>
          <w:rFonts w:ascii="Trebuchet MS" w:hAnsi="Trebuchet MS"/>
          <w:szCs w:val="24"/>
        </w:rPr>
        <w:fldChar w:fldCharType="separate"/>
      </w:r>
      <w:r w:rsidR="00C944CB" w:rsidRPr="00C944CB">
        <w:rPr>
          <w:rFonts w:ascii="Trebuchet MS" w:hAnsi="Trebuchet MS"/>
          <w:szCs w:val="24"/>
        </w:rPr>
        <w:t>Tabla 2.15</w:t>
      </w:r>
      <w:r w:rsidR="00954CDC" w:rsidRPr="00DE37D8">
        <w:rPr>
          <w:rFonts w:ascii="Trebuchet MS" w:hAnsi="Trebuchet MS"/>
          <w:szCs w:val="24"/>
        </w:rPr>
        <w:fldChar w:fldCharType="end"/>
      </w:r>
      <w:r w:rsidR="00954CDC" w:rsidRPr="00DE37D8">
        <w:rPr>
          <w:rFonts w:ascii="Trebuchet MS" w:hAnsi="Trebuchet MS"/>
          <w:szCs w:val="24"/>
        </w:rPr>
        <w:t xml:space="preserve"> </w:t>
      </w:r>
      <w:r w:rsidRPr="00DE37D8">
        <w:rPr>
          <w:rFonts w:ascii="Trebuchet MS" w:hAnsi="Trebuchet MS"/>
          <w:szCs w:val="24"/>
        </w:rPr>
        <w:t xml:space="preserve">para el </w:t>
      </w:r>
      <w:r w:rsidR="00954CDC" w:rsidRPr="00DE37D8">
        <w:rPr>
          <w:rFonts w:ascii="Trebuchet MS" w:hAnsi="Trebuchet MS"/>
          <w:i/>
          <w:iCs/>
          <w:szCs w:val="24"/>
        </w:rPr>
        <w:t>FIUG</w:t>
      </w:r>
      <w:r w:rsidR="00954CDC" w:rsidRPr="00DE37D8">
        <w:rPr>
          <w:rFonts w:ascii="Trebuchet MS" w:hAnsi="Trebuchet MS"/>
          <w:i/>
          <w:iCs/>
          <w:szCs w:val="24"/>
          <w:vertAlign w:val="subscript"/>
        </w:rPr>
        <w:t>j,n,q</w:t>
      </w:r>
      <w:r w:rsidRPr="00DE37D8">
        <w:rPr>
          <w:rFonts w:ascii="Trebuchet MS" w:hAnsi="Trebuchet MS"/>
          <w:szCs w:val="24"/>
        </w:rPr>
        <w:t>.</w:t>
      </w:r>
    </w:p>
    <w:p w14:paraId="0C60B143" w14:textId="06132269" w:rsidR="00064E31" w:rsidRPr="00DE37D8" w:rsidRDefault="00064E31" w:rsidP="00DF29CB">
      <w:pPr>
        <w:ind w:left="1416" w:hanging="1056"/>
        <w:jc w:val="both"/>
        <w:rPr>
          <w:rFonts w:ascii="Trebuchet MS" w:hAnsi="Trebuchet MS"/>
        </w:rPr>
      </w:pPr>
      <w:bookmarkStart w:id="150" w:name="_Ref66961107"/>
      <w:bookmarkStart w:id="151" w:name="_Ref67386527"/>
      <w:bookmarkStart w:id="152" w:name="_Toc131032782"/>
      <w:r w:rsidRPr="00DE37D8">
        <w:rPr>
          <w:rFonts w:ascii="Trebuchet MS" w:hAnsi="Trebuchet MS"/>
        </w:rPr>
        <w:t xml:space="preserve">Tabla </w:t>
      </w:r>
      <w:r w:rsidRPr="00DE37D8">
        <w:rPr>
          <w:rFonts w:ascii="Trebuchet MS" w:hAnsi="Trebuchet MS"/>
        </w:rPr>
        <w:fldChar w:fldCharType="begin"/>
      </w:r>
      <w:r w:rsidRPr="00DE37D8">
        <w:rPr>
          <w:rFonts w:ascii="Trebuchet MS" w:hAnsi="Trebuchet MS"/>
        </w:rPr>
        <w:instrText xml:space="preserve"> STYLEREF 1 \s </w:instrText>
      </w:r>
      <w:r w:rsidRPr="00DE37D8">
        <w:rPr>
          <w:rFonts w:ascii="Trebuchet MS" w:hAnsi="Trebuchet MS"/>
        </w:rPr>
        <w:fldChar w:fldCharType="separate"/>
      </w:r>
      <w:r w:rsidR="00C944CB">
        <w:rPr>
          <w:rFonts w:ascii="Trebuchet MS" w:hAnsi="Trebuchet MS"/>
          <w:noProof/>
        </w:rPr>
        <w:t>2</w:t>
      </w:r>
      <w:r w:rsidRPr="00DE37D8">
        <w:rPr>
          <w:rFonts w:ascii="Trebuchet MS" w:hAnsi="Trebuchet MS"/>
        </w:rPr>
        <w:fldChar w:fldCharType="end"/>
      </w:r>
      <w:r w:rsidRPr="00DE37D8">
        <w:rPr>
          <w:rFonts w:ascii="Trebuchet MS" w:hAnsi="Trebuchet MS"/>
        </w:rPr>
        <w:t>.</w:t>
      </w:r>
      <w:r w:rsidRPr="00DE37D8">
        <w:rPr>
          <w:rFonts w:ascii="Trebuchet MS" w:hAnsi="Trebuchet MS"/>
        </w:rPr>
        <w:fldChar w:fldCharType="begin"/>
      </w:r>
      <w:r w:rsidRPr="00DE37D8">
        <w:rPr>
          <w:rFonts w:ascii="Trebuchet MS" w:hAnsi="Trebuchet MS"/>
        </w:rPr>
        <w:instrText xml:space="preserve"> SEQ Tabla \* ARABIC \s 1 </w:instrText>
      </w:r>
      <w:r w:rsidRPr="00DE37D8">
        <w:rPr>
          <w:rFonts w:ascii="Trebuchet MS" w:hAnsi="Trebuchet MS"/>
        </w:rPr>
        <w:fldChar w:fldCharType="separate"/>
      </w:r>
      <w:r w:rsidR="00C944CB">
        <w:rPr>
          <w:rFonts w:ascii="Trebuchet MS" w:hAnsi="Trebuchet MS"/>
          <w:noProof/>
        </w:rPr>
        <w:t>14</w:t>
      </w:r>
      <w:r w:rsidRPr="00DE37D8">
        <w:rPr>
          <w:rFonts w:ascii="Trebuchet MS" w:hAnsi="Trebuchet MS"/>
        </w:rPr>
        <w:fldChar w:fldCharType="end"/>
      </w:r>
      <w:bookmarkEnd w:id="150"/>
      <w:bookmarkEnd w:id="151"/>
      <w:r w:rsidRPr="00DE37D8">
        <w:rPr>
          <w:rFonts w:ascii="Trebuchet MS" w:hAnsi="Trebuchet MS"/>
        </w:rPr>
        <w:t xml:space="preserve">  </w:t>
      </w:r>
      <w:r w:rsidR="00947AE6" w:rsidRPr="00DE37D8">
        <w:rPr>
          <w:rFonts w:ascii="Trebuchet MS" w:hAnsi="Trebuchet MS"/>
        </w:rPr>
        <w:t xml:space="preserve">Indicador de calidad </w:t>
      </w:r>
      <w:r w:rsidR="00644A45" w:rsidRPr="00DE37D8">
        <w:rPr>
          <w:rFonts w:ascii="Trebuchet MS" w:hAnsi="Trebuchet MS"/>
        </w:rPr>
        <w:t>mínima</w:t>
      </w:r>
      <w:r w:rsidR="00A30613" w:rsidRPr="00DE37D8">
        <w:rPr>
          <w:rFonts w:ascii="Trebuchet MS" w:hAnsi="Trebuchet MS"/>
        </w:rPr>
        <w:t xml:space="preserve"> garantizada</w:t>
      </w:r>
      <w:r w:rsidR="00644A45" w:rsidRPr="00DE37D8">
        <w:rPr>
          <w:rFonts w:ascii="Trebuchet MS" w:hAnsi="Trebuchet MS"/>
        </w:rPr>
        <w:t xml:space="preserve"> </w:t>
      </w:r>
      <w:r w:rsidR="00947AE6" w:rsidRPr="00DE37D8">
        <w:rPr>
          <w:rFonts w:ascii="Trebuchet MS" w:hAnsi="Trebuchet MS"/>
        </w:rPr>
        <w:t xml:space="preserve">individual </w:t>
      </w:r>
      <w:r w:rsidR="00BF4EF8" w:rsidRPr="00DE37D8">
        <w:rPr>
          <w:rFonts w:ascii="Trebuchet MS" w:hAnsi="Trebuchet MS"/>
        </w:rPr>
        <w:t xml:space="preserve">de </w:t>
      </w:r>
      <w:r w:rsidR="00947AE6" w:rsidRPr="00DE37D8">
        <w:rPr>
          <w:rFonts w:ascii="Trebuchet MS" w:hAnsi="Trebuchet MS"/>
        </w:rPr>
        <w:t>duración</w:t>
      </w:r>
      <w:r w:rsidR="001247B0" w:rsidRPr="00DE37D8">
        <w:rPr>
          <w:rFonts w:ascii="Trebuchet MS" w:hAnsi="Trebuchet MS"/>
        </w:rPr>
        <w:t xml:space="preserve"> de</w:t>
      </w:r>
      <w:r w:rsidR="005E096C" w:rsidRPr="00DE37D8">
        <w:rPr>
          <w:rFonts w:ascii="Trebuchet MS" w:hAnsi="Trebuchet MS"/>
        </w:rPr>
        <w:t xml:space="preserve"> </w:t>
      </w:r>
      <w:r w:rsidR="001247B0" w:rsidRPr="00DE37D8">
        <w:rPr>
          <w:rFonts w:ascii="Trebuchet MS" w:hAnsi="Trebuchet MS"/>
        </w:rPr>
        <w:t>eventos</w:t>
      </w:r>
      <w:r w:rsidR="00947AE6" w:rsidRPr="00DE37D8">
        <w:rPr>
          <w:rFonts w:ascii="Trebuchet MS" w:hAnsi="Trebuchet MS"/>
        </w:rPr>
        <w:t>, DIUG [</w:t>
      </w:r>
      <w:r w:rsidR="00947AE6" w:rsidRPr="00DE37D8">
        <w:rPr>
          <w:rFonts w:ascii="Trebuchet MS" w:hAnsi="Trebuchet MS"/>
          <w:i/>
          <w:iCs/>
        </w:rPr>
        <w:t>máximo horas-año</w:t>
      </w:r>
      <w:r w:rsidR="00947AE6" w:rsidRPr="00DE37D8">
        <w:rPr>
          <w:rFonts w:ascii="Trebuchet MS" w:hAnsi="Trebuchet MS"/>
        </w:rPr>
        <w:t>]. Referencia año 2016</w:t>
      </w:r>
      <w:r w:rsidR="008A2C7F" w:rsidRPr="00DE37D8">
        <w:rPr>
          <w:rFonts w:ascii="Trebuchet MS" w:hAnsi="Trebuchet MS"/>
        </w:rPr>
        <w:t>.</w:t>
      </w:r>
      <w:bookmarkEnd w:id="152"/>
    </w:p>
    <w:tbl>
      <w:tblPr>
        <w:tblStyle w:val="Tablaconcuadrcula5oscura-nfasis1"/>
        <w:tblW w:w="0" w:type="auto"/>
        <w:jc w:val="center"/>
        <w:tblLook w:val="04A0" w:firstRow="1" w:lastRow="0" w:firstColumn="1" w:lastColumn="0" w:noHBand="0" w:noVBand="1"/>
      </w:tblPr>
      <w:tblGrid>
        <w:gridCol w:w="928"/>
        <w:gridCol w:w="1148"/>
        <w:gridCol w:w="1148"/>
        <w:gridCol w:w="1148"/>
        <w:gridCol w:w="1148"/>
        <w:gridCol w:w="1148"/>
        <w:gridCol w:w="1148"/>
      </w:tblGrid>
      <w:tr w:rsidR="006F56FC" w:rsidRPr="00DE37D8" w14:paraId="62C1FA78" w14:textId="77777777" w:rsidTr="00434EA8">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03D99BE" w14:textId="77777777" w:rsidR="006F56FC" w:rsidRPr="00DE37D8" w:rsidRDefault="006F56FC" w:rsidP="00434EA8">
            <w:pPr>
              <w:rPr>
                <w:rFonts w:eastAsia="Times New Roman" w:cs="Calibri"/>
                <w:bCs w:val="0"/>
                <w:color w:val="auto"/>
                <w:sz w:val="18"/>
                <w:szCs w:val="18"/>
              </w:rPr>
            </w:pPr>
          </w:p>
        </w:tc>
        <w:tc>
          <w:tcPr>
            <w:tcW w:w="0" w:type="auto"/>
            <w:gridSpan w:val="3"/>
            <w:hideMark/>
          </w:tcPr>
          <w:p w14:paraId="763FD1FB" w14:textId="77777777" w:rsidR="006F56FC" w:rsidRPr="00DE37D8" w:rsidRDefault="006F56FC" w:rsidP="00434EA8">
            <w:pPr>
              <w:cnfStyle w:val="100000000000" w:firstRow="1" w:lastRow="0" w:firstColumn="0" w:lastColumn="0" w:oddVBand="0" w:evenVBand="0" w:oddHBand="0" w:evenHBand="0" w:firstRowFirstColumn="0" w:firstRowLastColumn="0" w:lastRowFirstColumn="0" w:lastRowLastColumn="0"/>
              <w:rPr>
                <w:rFonts w:eastAsia="Times New Roman" w:cs="Calibri"/>
                <w:bCs w:val="0"/>
                <w:sz w:val="18"/>
                <w:szCs w:val="18"/>
              </w:rPr>
            </w:pPr>
            <w:r w:rsidRPr="00DE37D8">
              <w:rPr>
                <w:rFonts w:eastAsia="Times New Roman" w:cs="Calibri"/>
                <w:sz w:val="18"/>
                <w:szCs w:val="18"/>
              </w:rPr>
              <w:t>DIUG nivel de tensión 2 y 3</w:t>
            </w:r>
          </w:p>
        </w:tc>
        <w:tc>
          <w:tcPr>
            <w:tcW w:w="0" w:type="auto"/>
            <w:gridSpan w:val="3"/>
          </w:tcPr>
          <w:p w14:paraId="096780B9" w14:textId="77777777" w:rsidR="006F56FC" w:rsidRPr="00DE37D8" w:rsidRDefault="006F56FC" w:rsidP="00434EA8">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DE37D8">
              <w:rPr>
                <w:rFonts w:eastAsia="Times New Roman" w:cs="Calibri"/>
                <w:sz w:val="18"/>
                <w:szCs w:val="18"/>
              </w:rPr>
              <w:t>DIUG nivel de tensión 1</w:t>
            </w:r>
          </w:p>
        </w:tc>
      </w:tr>
      <w:tr w:rsidR="00D4480A" w:rsidRPr="00DE37D8" w14:paraId="299CC17D" w14:textId="77777777" w:rsidTr="00434EA8">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B2AF73" w14:textId="77777777" w:rsidR="006F56FC" w:rsidRPr="00DE37D8" w:rsidRDefault="006F56FC" w:rsidP="00434EA8">
            <w:pPr>
              <w:jc w:val="center"/>
              <w:rPr>
                <w:rFonts w:eastAsia="Times New Roman" w:cs="Calibri"/>
                <w:bCs w:val="0"/>
                <w:sz w:val="18"/>
                <w:szCs w:val="18"/>
              </w:rPr>
            </w:pPr>
          </w:p>
        </w:tc>
        <w:tc>
          <w:tcPr>
            <w:tcW w:w="0" w:type="auto"/>
          </w:tcPr>
          <w:p w14:paraId="5001B128" w14:textId="77777777" w:rsidR="006F56FC" w:rsidRPr="00DE37D8" w:rsidRDefault="006F56FC"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1</w:t>
            </w:r>
          </w:p>
        </w:tc>
        <w:tc>
          <w:tcPr>
            <w:tcW w:w="0" w:type="auto"/>
          </w:tcPr>
          <w:p w14:paraId="6BF63853" w14:textId="77777777" w:rsidR="006F56FC" w:rsidRPr="00DE37D8" w:rsidRDefault="006F56FC"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2</w:t>
            </w:r>
          </w:p>
        </w:tc>
        <w:tc>
          <w:tcPr>
            <w:tcW w:w="0" w:type="auto"/>
          </w:tcPr>
          <w:p w14:paraId="5FDBBE76" w14:textId="77777777" w:rsidR="006F56FC" w:rsidRPr="00DE37D8" w:rsidRDefault="006F56FC"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3</w:t>
            </w:r>
          </w:p>
        </w:tc>
        <w:tc>
          <w:tcPr>
            <w:tcW w:w="0" w:type="auto"/>
          </w:tcPr>
          <w:p w14:paraId="0C26ADE1" w14:textId="77777777" w:rsidR="006F56FC" w:rsidRPr="00DE37D8" w:rsidRDefault="006F56FC"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1</w:t>
            </w:r>
          </w:p>
        </w:tc>
        <w:tc>
          <w:tcPr>
            <w:tcW w:w="0" w:type="auto"/>
          </w:tcPr>
          <w:p w14:paraId="42E951A0" w14:textId="77777777" w:rsidR="006F56FC" w:rsidRPr="00DE37D8" w:rsidRDefault="006F56FC"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2</w:t>
            </w:r>
          </w:p>
        </w:tc>
        <w:tc>
          <w:tcPr>
            <w:tcW w:w="0" w:type="auto"/>
          </w:tcPr>
          <w:p w14:paraId="0BED4C82" w14:textId="77777777" w:rsidR="006F56FC" w:rsidRPr="00DE37D8" w:rsidRDefault="006F56FC"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3</w:t>
            </w:r>
          </w:p>
        </w:tc>
      </w:tr>
      <w:tr w:rsidR="006F56FC" w:rsidRPr="00DE37D8" w14:paraId="056C3C50" w14:textId="77777777" w:rsidTr="00434EA8">
        <w:trPr>
          <w:cnfStyle w:val="000000010000" w:firstRow="0" w:lastRow="0" w:firstColumn="0" w:lastColumn="0" w:oddVBand="0" w:evenVBand="0" w:oddHBand="0" w:evenHBand="1"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DB79CF7" w14:textId="77777777" w:rsidR="006F56FC" w:rsidRPr="00DE37D8" w:rsidRDefault="006F56FC" w:rsidP="00434EA8">
            <w:pPr>
              <w:jc w:val="center"/>
              <w:rPr>
                <w:rFonts w:eastAsia="Times New Roman" w:cs="Calibri"/>
                <w:b w:val="0"/>
                <w:bCs w:val="0"/>
                <w:i/>
                <w:iCs/>
                <w:color w:val="auto"/>
                <w:sz w:val="18"/>
                <w:szCs w:val="18"/>
              </w:rPr>
            </w:pPr>
            <w:r w:rsidRPr="00DE37D8">
              <w:rPr>
                <w:rFonts w:eastAsia="Times New Roman" w:cs="Calibri"/>
                <w:i/>
                <w:iCs/>
                <w:sz w:val="18"/>
                <w:szCs w:val="18"/>
              </w:rPr>
              <w:t>Riesgo 1</w:t>
            </w:r>
          </w:p>
        </w:tc>
        <w:tc>
          <w:tcPr>
            <w:tcW w:w="0" w:type="auto"/>
            <w:noWrap/>
          </w:tcPr>
          <w:p w14:paraId="080DB7A7" w14:textId="77777777" w:rsidR="006F56FC" w:rsidRPr="00DE37D8" w:rsidRDefault="006F56FC" w:rsidP="00434EA8">
            <w:pPr>
              <w:jc w:val="cente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w:t>
            </w:r>
          </w:p>
        </w:tc>
        <w:tc>
          <w:tcPr>
            <w:tcW w:w="0" w:type="auto"/>
            <w:noWrap/>
          </w:tcPr>
          <w:p w14:paraId="114B4854" w14:textId="77777777" w:rsidR="006F56FC" w:rsidRPr="00DE37D8" w:rsidRDefault="006F56FC"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6.99</w:t>
            </w:r>
          </w:p>
        </w:tc>
        <w:tc>
          <w:tcPr>
            <w:tcW w:w="0" w:type="auto"/>
          </w:tcPr>
          <w:p w14:paraId="10227D02" w14:textId="77777777" w:rsidR="006F56FC" w:rsidRPr="00DE37D8" w:rsidRDefault="006F56FC"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15.38</w:t>
            </w:r>
          </w:p>
        </w:tc>
        <w:tc>
          <w:tcPr>
            <w:tcW w:w="0" w:type="auto"/>
          </w:tcPr>
          <w:p w14:paraId="16227BF0" w14:textId="77777777" w:rsidR="006F56FC" w:rsidRPr="00DE37D8" w:rsidRDefault="006F56FC" w:rsidP="00434EA8">
            <w:pPr>
              <w:jc w:val="cente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w:t>
            </w:r>
          </w:p>
        </w:tc>
        <w:tc>
          <w:tcPr>
            <w:tcW w:w="0" w:type="auto"/>
          </w:tcPr>
          <w:p w14:paraId="43F9613B" w14:textId="77777777" w:rsidR="006F56FC" w:rsidRPr="00DE37D8" w:rsidRDefault="006F56FC"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11.14</w:t>
            </w:r>
          </w:p>
        </w:tc>
        <w:tc>
          <w:tcPr>
            <w:tcW w:w="0" w:type="auto"/>
            <w:noWrap/>
          </w:tcPr>
          <w:p w14:paraId="5113F35E" w14:textId="77777777" w:rsidR="006F56FC" w:rsidRPr="00DE37D8" w:rsidRDefault="006F56FC"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38.15</w:t>
            </w:r>
          </w:p>
        </w:tc>
      </w:tr>
      <w:tr w:rsidR="00AB11D3" w:rsidRPr="00DE37D8" w14:paraId="28378D43" w14:textId="77777777" w:rsidTr="00434EA8">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24527067" w14:textId="77777777" w:rsidR="006F56FC" w:rsidRPr="00DE37D8" w:rsidRDefault="006F56FC" w:rsidP="00434EA8">
            <w:pPr>
              <w:jc w:val="center"/>
              <w:rPr>
                <w:rFonts w:eastAsia="Times New Roman" w:cs="Calibri"/>
                <w:b w:val="0"/>
                <w:bCs w:val="0"/>
                <w:i/>
                <w:iCs/>
                <w:color w:val="auto"/>
                <w:sz w:val="18"/>
                <w:szCs w:val="18"/>
              </w:rPr>
            </w:pPr>
            <w:r w:rsidRPr="00DE37D8">
              <w:rPr>
                <w:rFonts w:eastAsia="Times New Roman" w:cs="Calibri"/>
                <w:i/>
                <w:iCs/>
                <w:sz w:val="18"/>
                <w:szCs w:val="18"/>
              </w:rPr>
              <w:t>Riesgo 2</w:t>
            </w:r>
          </w:p>
        </w:tc>
        <w:tc>
          <w:tcPr>
            <w:tcW w:w="0" w:type="auto"/>
            <w:noWrap/>
          </w:tcPr>
          <w:p w14:paraId="09AEE0C2" w14:textId="77777777" w:rsidR="006F56FC" w:rsidRPr="00DE37D8" w:rsidRDefault="006F56FC" w:rsidP="00434EA8">
            <w:pPr>
              <w:cnfStyle w:val="000000100000" w:firstRow="0" w:lastRow="0" w:firstColumn="0" w:lastColumn="0" w:oddVBand="0" w:evenVBand="0" w:oddHBand="1" w:evenHBand="0" w:firstRowFirstColumn="0" w:firstRowLastColumn="0" w:lastRowFirstColumn="0" w:lastRowLastColumn="0"/>
              <w:rPr>
                <w:sz w:val="18"/>
                <w:szCs w:val="18"/>
              </w:rPr>
            </w:pPr>
            <w:r w:rsidRPr="00DE37D8">
              <w:rPr>
                <w:sz w:val="18"/>
                <w:szCs w:val="18"/>
              </w:rPr>
              <w:t>4.73</w:t>
            </w:r>
          </w:p>
        </w:tc>
        <w:tc>
          <w:tcPr>
            <w:tcW w:w="0" w:type="auto"/>
            <w:noWrap/>
          </w:tcPr>
          <w:p w14:paraId="14F134F1" w14:textId="77777777" w:rsidR="006F56FC" w:rsidRPr="00DE37D8" w:rsidRDefault="006F56FC" w:rsidP="00434EA8">
            <w:pPr>
              <w:cnfStyle w:val="000000100000" w:firstRow="0" w:lastRow="0" w:firstColumn="0" w:lastColumn="0" w:oddVBand="0" w:evenVBand="0" w:oddHBand="1" w:evenHBand="0" w:firstRowFirstColumn="0" w:firstRowLastColumn="0" w:lastRowFirstColumn="0" w:lastRowLastColumn="0"/>
              <w:rPr>
                <w:sz w:val="18"/>
                <w:szCs w:val="18"/>
              </w:rPr>
            </w:pPr>
            <w:r w:rsidRPr="00DE37D8">
              <w:rPr>
                <w:sz w:val="18"/>
                <w:szCs w:val="18"/>
              </w:rPr>
              <w:t>12.12</w:t>
            </w:r>
          </w:p>
        </w:tc>
        <w:tc>
          <w:tcPr>
            <w:tcW w:w="0" w:type="auto"/>
          </w:tcPr>
          <w:p w14:paraId="0488B974" w14:textId="77777777" w:rsidR="006F56FC" w:rsidRPr="00DE37D8" w:rsidRDefault="006F56FC" w:rsidP="00434EA8">
            <w:pPr>
              <w:cnfStyle w:val="000000100000" w:firstRow="0" w:lastRow="0" w:firstColumn="0" w:lastColumn="0" w:oddVBand="0" w:evenVBand="0" w:oddHBand="1" w:evenHBand="0" w:firstRowFirstColumn="0" w:firstRowLastColumn="0" w:lastRowFirstColumn="0" w:lastRowLastColumn="0"/>
              <w:rPr>
                <w:sz w:val="18"/>
                <w:szCs w:val="18"/>
              </w:rPr>
            </w:pPr>
            <w:r w:rsidRPr="00DE37D8">
              <w:rPr>
                <w:sz w:val="18"/>
                <w:szCs w:val="18"/>
              </w:rPr>
              <w:t>12.48</w:t>
            </w:r>
          </w:p>
        </w:tc>
        <w:tc>
          <w:tcPr>
            <w:tcW w:w="0" w:type="auto"/>
          </w:tcPr>
          <w:p w14:paraId="0C3F3797" w14:textId="77777777" w:rsidR="006F56FC" w:rsidRPr="00DE37D8" w:rsidRDefault="006F56FC" w:rsidP="00434EA8">
            <w:pPr>
              <w:cnfStyle w:val="000000100000" w:firstRow="0" w:lastRow="0" w:firstColumn="0" w:lastColumn="0" w:oddVBand="0" w:evenVBand="0" w:oddHBand="1" w:evenHBand="0" w:firstRowFirstColumn="0" w:firstRowLastColumn="0" w:lastRowFirstColumn="0" w:lastRowLastColumn="0"/>
              <w:rPr>
                <w:sz w:val="18"/>
                <w:szCs w:val="18"/>
              </w:rPr>
            </w:pPr>
            <w:r w:rsidRPr="00DE37D8">
              <w:rPr>
                <w:sz w:val="18"/>
                <w:szCs w:val="18"/>
              </w:rPr>
              <w:t>8.08</w:t>
            </w:r>
          </w:p>
        </w:tc>
        <w:tc>
          <w:tcPr>
            <w:tcW w:w="0" w:type="auto"/>
          </w:tcPr>
          <w:p w14:paraId="704441EB" w14:textId="77777777" w:rsidR="006F56FC" w:rsidRPr="00DE37D8" w:rsidRDefault="006F56FC" w:rsidP="00434EA8">
            <w:pPr>
              <w:cnfStyle w:val="000000100000" w:firstRow="0" w:lastRow="0" w:firstColumn="0" w:lastColumn="0" w:oddVBand="0" w:evenVBand="0" w:oddHBand="1" w:evenHBand="0" w:firstRowFirstColumn="0" w:firstRowLastColumn="0" w:lastRowFirstColumn="0" w:lastRowLastColumn="0"/>
              <w:rPr>
                <w:sz w:val="18"/>
                <w:szCs w:val="18"/>
              </w:rPr>
            </w:pPr>
            <w:r w:rsidRPr="00DE37D8">
              <w:rPr>
                <w:sz w:val="18"/>
                <w:szCs w:val="18"/>
              </w:rPr>
              <w:t>15.71</w:t>
            </w:r>
          </w:p>
        </w:tc>
        <w:tc>
          <w:tcPr>
            <w:tcW w:w="0" w:type="auto"/>
            <w:noWrap/>
          </w:tcPr>
          <w:p w14:paraId="05A1B8B4" w14:textId="77777777" w:rsidR="006F56FC" w:rsidRPr="00DE37D8" w:rsidRDefault="006F56FC" w:rsidP="00434EA8">
            <w:pPr>
              <w:cnfStyle w:val="000000100000" w:firstRow="0" w:lastRow="0" w:firstColumn="0" w:lastColumn="0" w:oddVBand="0" w:evenVBand="0" w:oddHBand="1" w:evenHBand="0" w:firstRowFirstColumn="0" w:firstRowLastColumn="0" w:lastRowFirstColumn="0" w:lastRowLastColumn="0"/>
              <w:rPr>
                <w:sz w:val="18"/>
                <w:szCs w:val="18"/>
              </w:rPr>
            </w:pPr>
            <w:r w:rsidRPr="00DE37D8">
              <w:rPr>
                <w:sz w:val="18"/>
                <w:szCs w:val="18"/>
              </w:rPr>
              <w:t>45.40</w:t>
            </w:r>
          </w:p>
        </w:tc>
      </w:tr>
      <w:tr w:rsidR="006F56FC" w:rsidRPr="009E0150" w14:paraId="1549704F" w14:textId="77777777" w:rsidTr="00434EA8">
        <w:trPr>
          <w:cnfStyle w:val="000000010000" w:firstRow="0" w:lastRow="0" w:firstColumn="0" w:lastColumn="0" w:oddVBand="0" w:evenVBand="0" w:oddHBand="0" w:evenHBand="1"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7632FBD5" w14:textId="77777777" w:rsidR="006F56FC" w:rsidRPr="00DE37D8" w:rsidRDefault="006F56FC" w:rsidP="00434EA8">
            <w:pPr>
              <w:jc w:val="center"/>
              <w:rPr>
                <w:rFonts w:eastAsia="Times New Roman" w:cs="Calibri"/>
                <w:b w:val="0"/>
                <w:bCs w:val="0"/>
                <w:i/>
                <w:iCs/>
                <w:color w:val="auto"/>
                <w:sz w:val="18"/>
                <w:szCs w:val="18"/>
              </w:rPr>
            </w:pPr>
            <w:r w:rsidRPr="00DE37D8">
              <w:rPr>
                <w:rFonts w:eastAsia="Times New Roman" w:cs="Calibri"/>
                <w:i/>
                <w:iCs/>
                <w:sz w:val="18"/>
                <w:szCs w:val="18"/>
              </w:rPr>
              <w:t>Riesgo 3</w:t>
            </w:r>
          </w:p>
        </w:tc>
        <w:tc>
          <w:tcPr>
            <w:tcW w:w="0" w:type="auto"/>
            <w:noWrap/>
          </w:tcPr>
          <w:p w14:paraId="1CF418EF" w14:textId="77777777" w:rsidR="006F56FC" w:rsidRPr="00DE37D8" w:rsidRDefault="006F56FC"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18.62</w:t>
            </w:r>
          </w:p>
        </w:tc>
        <w:tc>
          <w:tcPr>
            <w:tcW w:w="0" w:type="auto"/>
            <w:noWrap/>
          </w:tcPr>
          <w:p w14:paraId="5B6D5AB8" w14:textId="77777777" w:rsidR="006F56FC" w:rsidRPr="00DE37D8" w:rsidRDefault="006F56FC"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6.32</w:t>
            </w:r>
          </w:p>
        </w:tc>
        <w:tc>
          <w:tcPr>
            <w:tcW w:w="0" w:type="auto"/>
          </w:tcPr>
          <w:p w14:paraId="0D3E3324" w14:textId="77777777" w:rsidR="006F56FC" w:rsidRPr="00DE37D8" w:rsidRDefault="006F56FC"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16.68</w:t>
            </w:r>
          </w:p>
        </w:tc>
        <w:tc>
          <w:tcPr>
            <w:tcW w:w="0" w:type="auto"/>
          </w:tcPr>
          <w:p w14:paraId="263CADF1" w14:textId="77777777" w:rsidR="006F56FC" w:rsidRPr="00DE37D8" w:rsidRDefault="006F56FC"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22.22</w:t>
            </w:r>
          </w:p>
        </w:tc>
        <w:tc>
          <w:tcPr>
            <w:tcW w:w="0" w:type="auto"/>
          </w:tcPr>
          <w:p w14:paraId="00E9C36E" w14:textId="77777777" w:rsidR="006F56FC" w:rsidRPr="00DE37D8" w:rsidRDefault="006F56FC"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21.61</w:t>
            </w:r>
          </w:p>
        </w:tc>
        <w:tc>
          <w:tcPr>
            <w:tcW w:w="0" w:type="auto"/>
            <w:noWrap/>
          </w:tcPr>
          <w:p w14:paraId="22FB1460" w14:textId="77777777" w:rsidR="006F56FC" w:rsidRPr="00DE37D8" w:rsidRDefault="006F56FC"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98.65</w:t>
            </w:r>
          </w:p>
        </w:tc>
      </w:tr>
    </w:tbl>
    <w:p w14:paraId="5ED0A6A3" w14:textId="149B4538" w:rsidR="006F56FC" w:rsidRPr="00EF3F98" w:rsidRDefault="006F56FC" w:rsidP="00DF29CB">
      <w:pPr>
        <w:ind w:left="360"/>
        <w:jc w:val="both"/>
        <w:rPr>
          <w:rFonts w:ascii="Trebuchet MS" w:hAnsi="Trebuchet MS"/>
          <w:szCs w:val="24"/>
          <w:highlight w:val="cyan"/>
        </w:rPr>
      </w:pPr>
    </w:p>
    <w:p w14:paraId="33C56D93" w14:textId="0AA274B9" w:rsidR="004C3CAA" w:rsidRPr="00EF3F98" w:rsidRDefault="004C3CAA" w:rsidP="00DF29CB">
      <w:pPr>
        <w:ind w:left="1416" w:hanging="1056"/>
        <w:jc w:val="both"/>
        <w:rPr>
          <w:rFonts w:ascii="Trebuchet MS" w:hAnsi="Trebuchet MS"/>
          <w:highlight w:val="cyan"/>
        </w:rPr>
      </w:pPr>
      <w:bookmarkStart w:id="153" w:name="_Ref66961172"/>
      <w:bookmarkStart w:id="154" w:name="_Toc131032783"/>
      <w:r w:rsidRPr="00B318D6">
        <w:rPr>
          <w:rFonts w:ascii="Trebuchet MS" w:hAnsi="Trebuchet MS"/>
        </w:rPr>
        <w:t xml:space="preserve">Tabla </w:t>
      </w:r>
      <w:r w:rsidRPr="00B318D6">
        <w:rPr>
          <w:rFonts w:ascii="Trebuchet MS" w:hAnsi="Trebuchet MS"/>
        </w:rPr>
        <w:fldChar w:fldCharType="begin"/>
      </w:r>
      <w:r w:rsidRPr="00B318D6">
        <w:rPr>
          <w:rFonts w:ascii="Trebuchet MS" w:hAnsi="Trebuchet MS"/>
        </w:rPr>
        <w:instrText xml:space="preserve"> STYLEREF 1 \s </w:instrText>
      </w:r>
      <w:r w:rsidRPr="00B318D6">
        <w:rPr>
          <w:rFonts w:ascii="Trebuchet MS" w:hAnsi="Trebuchet MS"/>
        </w:rPr>
        <w:fldChar w:fldCharType="separate"/>
      </w:r>
      <w:r w:rsidR="00C944CB">
        <w:rPr>
          <w:rFonts w:ascii="Trebuchet MS" w:hAnsi="Trebuchet MS"/>
          <w:noProof/>
        </w:rPr>
        <w:t>2</w:t>
      </w:r>
      <w:r w:rsidRPr="00B318D6">
        <w:rPr>
          <w:rFonts w:ascii="Trebuchet MS" w:hAnsi="Trebuchet MS"/>
        </w:rPr>
        <w:fldChar w:fldCharType="end"/>
      </w:r>
      <w:r w:rsidRPr="00B318D6">
        <w:rPr>
          <w:rFonts w:ascii="Trebuchet MS" w:hAnsi="Trebuchet MS"/>
        </w:rPr>
        <w:t>.</w:t>
      </w:r>
      <w:r w:rsidRPr="00B318D6">
        <w:rPr>
          <w:rFonts w:ascii="Trebuchet MS" w:hAnsi="Trebuchet MS"/>
        </w:rPr>
        <w:fldChar w:fldCharType="begin"/>
      </w:r>
      <w:r w:rsidRPr="00B318D6">
        <w:rPr>
          <w:rFonts w:ascii="Trebuchet MS" w:hAnsi="Trebuchet MS"/>
        </w:rPr>
        <w:instrText xml:space="preserve"> SEQ Tabla \* ARABIC \s 1 </w:instrText>
      </w:r>
      <w:r w:rsidRPr="00B318D6">
        <w:rPr>
          <w:rFonts w:ascii="Trebuchet MS" w:hAnsi="Trebuchet MS"/>
        </w:rPr>
        <w:fldChar w:fldCharType="separate"/>
      </w:r>
      <w:r w:rsidR="00C944CB">
        <w:rPr>
          <w:rFonts w:ascii="Trebuchet MS" w:hAnsi="Trebuchet MS"/>
          <w:noProof/>
        </w:rPr>
        <w:t>15</w:t>
      </w:r>
      <w:r w:rsidRPr="00B318D6">
        <w:rPr>
          <w:rFonts w:ascii="Trebuchet MS" w:hAnsi="Trebuchet MS"/>
        </w:rPr>
        <w:fldChar w:fldCharType="end"/>
      </w:r>
      <w:bookmarkEnd w:id="153"/>
      <w:r w:rsidRPr="00B318D6">
        <w:rPr>
          <w:rFonts w:ascii="Trebuchet MS" w:hAnsi="Trebuchet MS"/>
        </w:rPr>
        <w:t xml:space="preserve">  </w:t>
      </w:r>
      <w:r w:rsidR="00BF4EF8" w:rsidRPr="00B318D6">
        <w:rPr>
          <w:rFonts w:ascii="Trebuchet MS" w:hAnsi="Trebuchet MS"/>
        </w:rPr>
        <w:t xml:space="preserve">Indicador de calidad </w:t>
      </w:r>
      <w:r w:rsidR="00644A45" w:rsidRPr="00B318D6">
        <w:rPr>
          <w:rFonts w:ascii="Trebuchet MS" w:hAnsi="Trebuchet MS"/>
        </w:rPr>
        <w:t>mínima</w:t>
      </w:r>
      <w:r w:rsidR="00A30613" w:rsidRPr="00B318D6">
        <w:rPr>
          <w:rFonts w:ascii="Trebuchet MS" w:hAnsi="Trebuchet MS"/>
        </w:rPr>
        <w:t xml:space="preserve"> garantizada</w:t>
      </w:r>
      <w:r w:rsidR="00644A45" w:rsidRPr="00B318D6">
        <w:rPr>
          <w:rFonts w:ascii="Trebuchet MS" w:hAnsi="Trebuchet MS"/>
        </w:rPr>
        <w:t xml:space="preserve"> </w:t>
      </w:r>
      <w:r w:rsidR="00BF4EF8" w:rsidRPr="00B318D6">
        <w:rPr>
          <w:rFonts w:ascii="Trebuchet MS" w:hAnsi="Trebuchet MS"/>
        </w:rPr>
        <w:t>individual de frecuencia</w:t>
      </w:r>
      <w:r w:rsidR="00644A45" w:rsidRPr="00B318D6">
        <w:rPr>
          <w:rFonts w:ascii="Trebuchet MS" w:hAnsi="Trebuchet MS"/>
        </w:rPr>
        <w:t xml:space="preserve"> de eventos</w:t>
      </w:r>
      <w:r w:rsidR="00BF4EF8" w:rsidRPr="00B318D6">
        <w:rPr>
          <w:rFonts w:ascii="Trebuchet MS" w:hAnsi="Trebuchet MS"/>
        </w:rPr>
        <w:t xml:space="preserve">, </w:t>
      </w:r>
      <w:r w:rsidR="00BF4EF8" w:rsidRPr="00407448">
        <w:rPr>
          <w:rFonts w:ascii="Trebuchet MS" w:hAnsi="Trebuchet MS"/>
        </w:rPr>
        <w:t>FIUG [</w:t>
      </w:r>
      <w:r w:rsidR="00BF4EF8" w:rsidRPr="00407448">
        <w:rPr>
          <w:rFonts w:ascii="Trebuchet MS" w:hAnsi="Trebuchet MS"/>
          <w:i/>
          <w:iCs/>
        </w:rPr>
        <w:t>máximo veces-año</w:t>
      </w:r>
      <w:r w:rsidR="00BF4EF8" w:rsidRPr="00407448">
        <w:rPr>
          <w:rFonts w:ascii="Trebuchet MS" w:hAnsi="Trebuchet MS"/>
        </w:rPr>
        <w:t>]. Referencia año 2016</w:t>
      </w:r>
      <w:r w:rsidR="008A2C7F" w:rsidRPr="00407448">
        <w:rPr>
          <w:rFonts w:ascii="Trebuchet MS" w:hAnsi="Trebuchet MS"/>
        </w:rPr>
        <w:t>.</w:t>
      </w:r>
      <w:bookmarkEnd w:id="154"/>
    </w:p>
    <w:tbl>
      <w:tblPr>
        <w:tblStyle w:val="Tablaconcuadrcula5oscura-nfasis1"/>
        <w:tblW w:w="0" w:type="auto"/>
        <w:jc w:val="center"/>
        <w:tblLook w:val="04A0" w:firstRow="1" w:lastRow="0" w:firstColumn="1" w:lastColumn="0" w:noHBand="0" w:noVBand="1"/>
      </w:tblPr>
      <w:tblGrid>
        <w:gridCol w:w="928"/>
        <w:gridCol w:w="1148"/>
        <w:gridCol w:w="1148"/>
        <w:gridCol w:w="1148"/>
        <w:gridCol w:w="1148"/>
        <w:gridCol w:w="1148"/>
        <w:gridCol w:w="1148"/>
      </w:tblGrid>
      <w:tr w:rsidR="0027672E" w:rsidRPr="00DE37D8" w14:paraId="4037EBFC" w14:textId="77777777" w:rsidTr="00434EA8">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1AE8E05" w14:textId="77777777" w:rsidR="0027672E" w:rsidRPr="00DE37D8" w:rsidRDefault="0027672E" w:rsidP="00DF29CB">
            <w:pPr>
              <w:jc w:val="both"/>
              <w:rPr>
                <w:rFonts w:eastAsia="Times New Roman" w:cs="Calibri"/>
                <w:bCs w:val="0"/>
                <w:color w:val="auto"/>
                <w:sz w:val="18"/>
                <w:szCs w:val="18"/>
              </w:rPr>
            </w:pPr>
          </w:p>
        </w:tc>
        <w:tc>
          <w:tcPr>
            <w:tcW w:w="0" w:type="auto"/>
            <w:gridSpan w:val="3"/>
            <w:hideMark/>
          </w:tcPr>
          <w:p w14:paraId="108B33A1" w14:textId="77777777" w:rsidR="0027672E" w:rsidRPr="00DE37D8" w:rsidRDefault="0027672E" w:rsidP="00434EA8">
            <w:pPr>
              <w:cnfStyle w:val="100000000000" w:firstRow="1" w:lastRow="0" w:firstColumn="0" w:lastColumn="0" w:oddVBand="0" w:evenVBand="0" w:oddHBand="0" w:evenHBand="0" w:firstRowFirstColumn="0" w:firstRowLastColumn="0" w:lastRowFirstColumn="0" w:lastRowLastColumn="0"/>
              <w:rPr>
                <w:rFonts w:eastAsia="Times New Roman" w:cs="Calibri"/>
                <w:bCs w:val="0"/>
                <w:sz w:val="18"/>
                <w:szCs w:val="18"/>
              </w:rPr>
            </w:pPr>
            <w:r w:rsidRPr="00DE37D8">
              <w:rPr>
                <w:rFonts w:eastAsia="Times New Roman" w:cs="Calibri"/>
                <w:sz w:val="18"/>
                <w:szCs w:val="18"/>
              </w:rPr>
              <w:t>FIUG nivel de tensión 2 y 3</w:t>
            </w:r>
          </w:p>
        </w:tc>
        <w:tc>
          <w:tcPr>
            <w:tcW w:w="3444" w:type="dxa"/>
            <w:gridSpan w:val="3"/>
          </w:tcPr>
          <w:p w14:paraId="47486AD9" w14:textId="77777777" w:rsidR="0027672E" w:rsidRPr="00DE37D8" w:rsidRDefault="0027672E" w:rsidP="00434EA8">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DE37D8">
              <w:rPr>
                <w:rFonts w:eastAsia="Times New Roman" w:cs="Calibri"/>
                <w:sz w:val="18"/>
                <w:szCs w:val="18"/>
              </w:rPr>
              <w:t>FIUG nivel de tensión 1</w:t>
            </w:r>
          </w:p>
        </w:tc>
      </w:tr>
      <w:tr w:rsidR="00D4480A" w:rsidRPr="00DE37D8" w14:paraId="3A39A63C" w14:textId="77777777" w:rsidTr="00434EA8">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C6504A1" w14:textId="77777777" w:rsidR="0027672E" w:rsidRPr="00DE37D8" w:rsidRDefault="0027672E" w:rsidP="00DF29CB">
            <w:pPr>
              <w:jc w:val="both"/>
              <w:rPr>
                <w:rFonts w:eastAsia="Times New Roman" w:cs="Calibri"/>
                <w:bCs w:val="0"/>
                <w:sz w:val="18"/>
                <w:szCs w:val="18"/>
              </w:rPr>
            </w:pPr>
          </w:p>
        </w:tc>
        <w:tc>
          <w:tcPr>
            <w:tcW w:w="0" w:type="auto"/>
          </w:tcPr>
          <w:p w14:paraId="0A6F656A" w14:textId="77777777" w:rsidR="0027672E" w:rsidRPr="00DE37D8" w:rsidRDefault="0027672E"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1</w:t>
            </w:r>
          </w:p>
        </w:tc>
        <w:tc>
          <w:tcPr>
            <w:tcW w:w="0" w:type="auto"/>
          </w:tcPr>
          <w:p w14:paraId="6E924D93" w14:textId="77777777" w:rsidR="0027672E" w:rsidRPr="00DE37D8" w:rsidRDefault="0027672E"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2</w:t>
            </w:r>
          </w:p>
        </w:tc>
        <w:tc>
          <w:tcPr>
            <w:tcW w:w="0" w:type="auto"/>
          </w:tcPr>
          <w:p w14:paraId="7DB6F7D6" w14:textId="77777777" w:rsidR="0027672E" w:rsidRPr="00DE37D8" w:rsidRDefault="0027672E"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3</w:t>
            </w:r>
          </w:p>
        </w:tc>
        <w:tc>
          <w:tcPr>
            <w:tcW w:w="0" w:type="auto"/>
          </w:tcPr>
          <w:p w14:paraId="6F4EBB42" w14:textId="77777777" w:rsidR="0027672E" w:rsidRPr="00DE37D8" w:rsidRDefault="0027672E"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1</w:t>
            </w:r>
          </w:p>
        </w:tc>
        <w:tc>
          <w:tcPr>
            <w:tcW w:w="0" w:type="auto"/>
          </w:tcPr>
          <w:p w14:paraId="3A72D02F" w14:textId="77777777" w:rsidR="0027672E" w:rsidRPr="00DE37D8" w:rsidRDefault="0027672E"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2</w:t>
            </w:r>
          </w:p>
        </w:tc>
        <w:tc>
          <w:tcPr>
            <w:tcW w:w="1148" w:type="dxa"/>
          </w:tcPr>
          <w:p w14:paraId="61A962A1" w14:textId="77777777" w:rsidR="0027672E" w:rsidRPr="00DE37D8" w:rsidRDefault="0027672E"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3</w:t>
            </w:r>
          </w:p>
        </w:tc>
      </w:tr>
      <w:tr w:rsidR="0027672E" w:rsidRPr="00DE37D8" w14:paraId="1D5676F0" w14:textId="77777777" w:rsidTr="00434EA8">
        <w:trPr>
          <w:cnfStyle w:val="000000010000" w:firstRow="0" w:lastRow="0" w:firstColumn="0" w:lastColumn="0" w:oddVBand="0" w:evenVBand="0" w:oddHBand="0" w:evenHBand="1"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0AB2D47" w14:textId="77777777" w:rsidR="0027672E" w:rsidRPr="00DE37D8" w:rsidRDefault="0027672E" w:rsidP="00434EA8">
            <w:pPr>
              <w:jc w:val="center"/>
              <w:rPr>
                <w:rFonts w:eastAsia="Times New Roman" w:cs="Calibri"/>
                <w:b w:val="0"/>
                <w:bCs w:val="0"/>
                <w:i/>
                <w:iCs/>
                <w:color w:val="auto"/>
                <w:sz w:val="18"/>
                <w:szCs w:val="18"/>
              </w:rPr>
            </w:pPr>
            <w:r w:rsidRPr="00DE37D8">
              <w:rPr>
                <w:rFonts w:eastAsia="Times New Roman" w:cs="Calibri"/>
                <w:i/>
                <w:iCs/>
                <w:sz w:val="18"/>
                <w:szCs w:val="18"/>
              </w:rPr>
              <w:t>Riesgo 1</w:t>
            </w:r>
          </w:p>
        </w:tc>
        <w:tc>
          <w:tcPr>
            <w:tcW w:w="0" w:type="auto"/>
            <w:noWrap/>
          </w:tcPr>
          <w:p w14:paraId="51F4E2B2" w14:textId="77777777" w:rsidR="0027672E" w:rsidRPr="00395C9B" w:rsidRDefault="0027672E" w:rsidP="00434EA8">
            <w:pPr>
              <w:jc w:val="center"/>
              <w:cnfStyle w:val="000000010000" w:firstRow="0" w:lastRow="0" w:firstColumn="0" w:lastColumn="0" w:oddVBand="0" w:evenVBand="0" w:oddHBand="0" w:evenHBand="1" w:firstRowFirstColumn="0" w:firstRowLastColumn="0" w:lastRowFirstColumn="0" w:lastRowLastColumn="0"/>
              <w:rPr>
                <w:sz w:val="18"/>
                <w:szCs w:val="18"/>
              </w:rPr>
            </w:pPr>
            <w:r w:rsidRPr="00395C9B">
              <w:rPr>
                <w:sz w:val="18"/>
                <w:szCs w:val="18"/>
              </w:rPr>
              <w:t>-</w:t>
            </w:r>
          </w:p>
        </w:tc>
        <w:tc>
          <w:tcPr>
            <w:tcW w:w="0" w:type="auto"/>
            <w:noWrap/>
          </w:tcPr>
          <w:p w14:paraId="3AA9A1B4" w14:textId="77777777" w:rsidR="0027672E" w:rsidRPr="00395C9B" w:rsidRDefault="0027672E" w:rsidP="00434EA8">
            <w:pPr>
              <w:cnfStyle w:val="000000010000" w:firstRow="0" w:lastRow="0" w:firstColumn="0" w:lastColumn="0" w:oddVBand="0" w:evenVBand="0" w:oddHBand="0" w:evenHBand="1" w:firstRowFirstColumn="0" w:firstRowLastColumn="0" w:lastRowFirstColumn="0" w:lastRowLastColumn="0"/>
              <w:rPr>
                <w:sz w:val="18"/>
                <w:szCs w:val="18"/>
              </w:rPr>
            </w:pPr>
            <w:r w:rsidRPr="00395C9B">
              <w:rPr>
                <w:sz w:val="18"/>
                <w:szCs w:val="18"/>
              </w:rPr>
              <w:t>8.00</w:t>
            </w:r>
          </w:p>
        </w:tc>
        <w:tc>
          <w:tcPr>
            <w:tcW w:w="0" w:type="auto"/>
          </w:tcPr>
          <w:p w14:paraId="18AD4478" w14:textId="77777777" w:rsidR="0027672E" w:rsidRPr="00DE37D8" w:rsidRDefault="0027672E"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8.00</w:t>
            </w:r>
          </w:p>
        </w:tc>
        <w:tc>
          <w:tcPr>
            <w:tcW w:w="0" w:type="auto"/>
          </w:tcPr>
          <w:p w14:paraId="4A286D69" w14:textId="77777777" w:rsidR="0027672E" w:rsidRPr="00DE37D8" w:rsidRDefault="0027672E" w:rsidP="00434EA8">
            <w:pPr>
              <w:jc w:val="cente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w:t>
            </w:r>
          </w:p>
        </w:tc>
        <w:tc>
          <w:tcPr>
            <w:tcW w:w="0" w:type="auto"/>
          </w:tcPr>
          <w:p w14:paraId="0BFA295E" w14:textId="77777777" w:rsidR="0027672E" w:rsidRPr="00DE37D8" w:rsidRDefault="0027672E"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10.00</w:t>
            </w:r>
          </w:p>
        </w:tc>
        <w:tc>
          <w:tcPr>
            <w:tcW w:w="1148" w:type="dxa"/>
            <w:noWrap/>
          </w:tcPr>
          <w:p w14:paraId="1711B4EC" w14:textId="77777777" w:rsidR="0027672E" w:rsidRPr="00DE37D8" w:rsidRDefault="0027672E"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19.00</w:t>
            </w:r>
          </w:p>
        </w:tc>
      </w:tr>
      <w:tr w:rsidR="00AB11D3" w:rsidRPr="00DE37D8" w14:paraId="4E6EB0BC" w14:textId="77777777" w:rsidTr="00434EA8">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191D8751" w14:textId="77777777" w:rsidR="0027672E" w:rsidRPr="00DE37D8" w:rsidRDefault="0027672E" w:rsidP="00434EA8">
            <w:pPr>
              <w:jc w:val="center"/>
              <w:rPr>
                <w:rFonts w:eastAsia="Times New Roman" w:cs="Calibri"/>
                <w:b w:val="0"/>
                <w:bCs w:val="0"/>
                <w:i/>
                <w:iCs/>
                <w:color w:val="auto"/>
                <w:sz w:val="18"/>
                <w:szCs w:val="18"/>
              </w:rPr>
            </w:pPr>
            <w:r w:rsidRPr="00DE37D8">
              <w:rPr>
                <w:rFonts w:eastAsia="Times New Roman" w:cs="Calibri"/>
                <w:i/>
                <w:iCs/>
                <w:sz w:val="18"/>
                <w:szCs w:val="18"/>
              </w:rPr>
              <w:t>Riesgo 2</w:t>
            </w:r>
          </w:p>
        </w:tc>
        <w:tc>
          <w:tcPr>
            <w:tcW w:w="0" w:type="auto"/>
            <w:noWrap/>
          </w:tcPr>
          <w:p w14:paraId="1CDCF5C3" w14:textId="77777777" w:rsidR="0027672E" w:rsidRPr="00395C9B" w:rsidRDefault="0027672E" w:rsidP="00434EA8">
            <w:pPr>
              <w:cnfStyle w:val="000000100000" w:firstRow="0" w:lastRow="0" w:firstColumn="0" w:lastColumn="0" w:oddVBand="0" w:evenVBand="0" w:oddHBand="1" w:evenHBand="0" w:firstRowFirstColumn="0" w:firstRowLastColumn="0" w:lastRowFirstColumn="0" w:lastRowLastColumn="0"/>
              <w:rPr>
                <w:sz w:val="18"/>
                <w:szCs w:val="18"/>
              </w:rPr>
            </w:pPr>
            <w:r w:rsidRPr="00395C9B">
              <w:rPr>
                <w:sz w:val="18"/>
                <w:szCs w:val="18"/>
              </w:rPr>
              <w:t>3.00</w:t>
            </w:r>
          </w:p>
        </w:tc>
        <w:tc>
          <w:tcPr>
            <w:tcW w:w="0" w:type="auto"/>
            <w:noWrap/>
          </w:tcPr>
          <w:p w14:paraId="63CCEA51" w14:textId="77777777" w:rsidR="0027672E" w:rsidRPr="00395C9B" w:rsidRDefault="0027672E" w:rsidP="00434EA8">
            <w:pPr>
              <w:cnfStyle w:val="000000100000" w:firstRow="0" w:lastRow="0" w:firstColumn="0" w:lastColumn="0" w:oddVBand="0" w:evenVBand="0" w:oddHBand="1" w:evenHBand="0" w:firstRowFirstColumn="0" w:firstRowLastColumn="0" w:lastRowFirstColumn="0" w:lastRowLastColumn="0"/>
              <w:rPr>
                <w:sz w:val="18"/>
                <w:szCs w:val="18"/>
              </w:rPr>
            </w:pPr>
            <w:r w:rsidRPr="00395C9B">
              <w:rPr>
                <w:sz w:val="18"/>
                <w:szCs w:val="18"/>
              </w:rPr>
              <w:t>9.00</w:t>
            </w:r>
          </w:p>
        </w:tc>
        <w:tc>
          <w:tcPr>
            <w:tcW w:w="0" w:type="auto"/>
          </w:tcPr>
          <w:p w14:paraId="47461345" w14:textId="77777777" w:rsidR="0027672E" w:rsidRPr="00DE37D8" w:rsidRDefault="0027672E" w:rsidP="00434EA8">
            <w:pPr>
              <w:cnfStyle w:val="000000100000" w:firstRow="0" w:lastRow="0" w:firstColumn="0" w:lastColumn="0" w:oddVBand="0" w:evenVBand="0" w:oddHBand="1" w:evenHBand="0" w:firstRowFirstColumn="0" w:firstRowLastColumn="0" w:lastRowFirstColumn="0" w:lastRowLastColumn="0"/>
              <w:rPr>
                <w:sz w:val="18"/>
                <w:szCs w:val="18"/>
              </w:rPr>
            </w:pPr>
            <w:r w:rsidRPr="00DE37D8">
              <w:rPr>
                <w:sz w:val="18"/>
                <w:szCs w:val="18"/>
              </w:rPr>
              <w:t>10.00</w:t>
            </w:r>
          </w:p>
        </w:tc>
        <w:tc>
          <w:tcPr>
            <w:tcW w:w="0" w:type="auto"/>
          </w:tcPr>
          <w:p w14:paraId="665E22D8" w14:textId="77777777" w:rsidR="0027672E" w:rsidRPr="00DE37D8" w:rsidRDefault="0027672E" w:rsidP="00434EA8">
            <w:pPr>
              <w:cnfStyle w:val="000000100000" w:firstRow="0" w:lastRow="0" w:firstColumn="0" w:lastColumn="0" w:oddVBand="0" w:evenVBand="0" w:oddHBand="1" w:evenHBand="0" w:firstRowFirstColumn="0" w:firstRowLastColumn="0" w:lastRowFirstColumn="0" w:lastRowLastColumn="0"/>
              <w:rPr>
                <w:sz w:val="18"/>
                <w:szCs w:val="18"/>
              </w:rPr>
            </w:pPr>
            <w:r w:rsidRPr="00DE37D8">
              <w:rPr>
                <w:sz w:val="18"/>
                <w:szCs w:val="18"/>
              </w:rPr>
              <w:t>5.00</w:t>
            </w:r>
          </w:p>
        </w:tc>
        <w:tc>
          <w:tcPr>
            <w:tcW w:w="0" w:type="auto"/>
          </w:tcPr>
          <w:p w14:paraId="446B9E12" w14:textId="77777777" w:rsidR="0027672E" w:rsidRPr="00DE37D8" w:rsidRDefault="0027672E" w:rsidP="00434EA8">
            <w:pPr>
              <w:cnfStyle w:val="000000100000" w:firstRow="0" w:lastRow="0" w:firstColumn="0" w:lastColumn="0" w:oddVBand="0" w:evenVBand="0" w:oddHBand="1" w:evenHBand="0" w:firstRowFirstColumn="0" w:firstRowLastColumn="0" w:lastRowFirstColumn="0" w:lastRowLastColumn="0"/>
              <w:rPr>
                <w:sz w:val="18"/>
                <w:szCs w:val="18"/>
              </w:rPr>
            </w:pPr>
            <w:r w:rsidRPr="00DE37D8">
              <w:rPr>
                <w:sz w:val="18"/>
                <w:szCs w:val="18"/>
              </w:rPr>
              <w:t>13.00</w:t>
            </w:r>
          </w:p>
        </w:tc>
        <w:tc>
          <w:tcPr>
            <w:tcW w:w="1148" w:type="dxa"/>
            <w:noWrap/>
          </w:tcPr>
          <w:p w14:paraId="6F9BFE10" w14:textId="77777777" w:rsidR="0027672E" w:rsidRPr="00DE37D8" w:rsidRDefault="0027672E" w:rsidP="00434EA8">
            <w:pPr>
              <w:cnfStyle w:val="000000100000" w:firstRow="0" w:lastRow="0" w:firstColumn="0" w:lastColumn="0" w:oddVBand="0" w:evenVBand="0" w:oddHBand="1" w:evenHBand="0" w:firstRowFirstColumn="0" w:firstRowLastColumn="0" w:lastRowFirstColumn="0" w:lastRowLastColumn="0"/>
              <w:rPr>
                <w:sz w:val="18"/>
                <w:szCs w:val="18"/>
              </w:rPr>
            </w:pPr>
            <w:r w:rsidRPr="00DE37D8">
              <w:rPr>
                <w:sz w:val="18"/>
                <w:szCs w:val="18"/>
              </w:rPr>
              <w:t>20.00</w:t>
            </w:r>
          </w:p>
        </w:tc>
      </w:tr>
      <w:tr w:rsidR="0027672E" w:rsidRPr="002946A9" w14:paraId="01283A0E" w14:textId="77777777" w:rsidTr="00434EA8">
        <w:trPr>
          <w:cnfStyle w:val="000000010000" w:firstRow="0" w:lastRow="0" w:firstColumn="0" w:lastColumn="0" w:oddVBand="0" w:evenVBand="0" w:oddHBand="0" w:evenHBand="1"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077EFF22" w14:textId="77777777" w:rsidR="0027672E" w:rsidRPr="00DE37D8" w:rsidRDefault="0027672E" w:rsidP="00434EA8">
            <w:pPr>
              <w:jc w:val="center"/>
              <w:rPr>
                <w:rFonts w:eastAsia="Times New Roman" w:cs="Calibri"/>
                <w:b w:val="0"/>
                <w:bCs w:val="0"/>
                <w:i/>
                <w:iCs/>
                <w:color w:val="auto"/>
                <w:sz w:val="18"/>
                <w:szCs w:val="18"/>
              </w:rPr>
            </w:pPr>
            <w:r w:rsidRPr="00DE37D8">
              <w:rPr>
                <w:rFonts w:eastAsia="Times New Roman" w:cs="Calibri"/>
                <w:i/>
                <w:iCs/>
                <w:sz w:val="18"/>
                <w:szCs w:val="18"/>
              </w:rPr>
              <w:t>Riesgo 3</w:t>
            </w:r>
          </w:p>
        </w:tc>
        <w:tc>
          <w:tcPr>
            <w:tcW w:w="0" w:type="auto"/>
            <w:noWrap/>
          </w:tcPr>
          <w:p w14:paraId="2E0E5EDE" w14:textId="77777777" w:rsidR="0027672E" w:rsidRPr="00395C9B" w:rsidRDefault="0027672E" w:rsidP="00434EA8">
            <w:pPr>
              <w:cnfStyle w:val="000000010000" w:firstRow="0" w:lastRow="0" w:firstColumn="0" w:lastColumn="0" w:oddVBand="0" w:evenVBand="0" w:oddHBand="0" w:evenHBand="1" w:firstRowFirstColumn="0" w:firstRowLastColumn="0" w:lastRowFirstColumn="0" w:lastRowLastColumn="0"/>
              <w:rPr>
                <w:sz w:val="18"/>
                <w:szCs w:val="18"/>
              </w:rPr>
            </w:pPr>
            <w:r w:rsidRPr="00395C9B">
              <w:rPr>
                <w:sz w:val="18"/>
                <w:szCs w:val="18"/>
              </w:rPr>
              <w:t>20.00</w:t>
            </w:r>
          </w:p>
        </w:tc>
        <w:tc>
          <w:tcPr>
            <w:tcW w:w="0" w:type="auto"/>
            <w:noWrap/>
          </w:tcPr>
          <w:p w14:paraId="785A483B" w14:textId="77777777" w:rsidR="0027672E" w:rsidRPr="00395C9B" w:rsidRDefault="0027672E" w:rsidP="00434EA8">
            <w:pPr>
              <w:cnfStyle w:val="000000010000" w:firstRow="0" w:lastRow="0" w:firstColumn="0" w:lastColumn="0" w:oddVBand="0" w:evenVBand="0" w:oddHBand="0" w:evenHBand="1" w:firstRowFirstColumn="0" w:firstRowLastColumn="0" w:lastRowFirstColumn="0" w:lastRowLastColumn="0"/>
              <w:rPr>
                <w:sz w:val="18"/>
                <w:szCs w:val="18"/>
              </w:rPr>
            </w:pPr>
            <w:r w:rsidRPr="00395C9B">
              <w:rPr>
                <w:sz w:val="18"/>
                <w:szCs w:val="18"/>
              </w:rPr>
              <w:t>6.00</w:t>
            </w:r>
          </w:p>
        </w:tc>
        <w:tc>
          <w:tcPr>
            <w:tcW w:w="0" w:type="auto"/>
          </w:tcPr>
          <w:p w14:paraId="3A91FA9E" w14:textId="77777777" w:rsidR="0027672E" w:rsidRPr="00DE37D8" w:rsidRDefault="0027672E"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13.00</w:t>
            </w:r>
          </w:p>
        </w:tc>
        <w:tc>
          <w:tcPr>
            <w:tcW w:w="0" w:type="auto"/>
          </w:tcPr>
          <w:p w14:paraId="0D484A8E" w14:textId="77777777" w:rsidR="0027672E" w:rsidRPr="00DE37D8" w:rsidRDefault="0027672E"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21.00</w:t>
            </w:r>
          </w:p>
        </w:tc>
        <w:tc>
          <w:tcPr>
            <w:tcW w:w="0" w:type="auto"/>
          </w:tcPr>
          <w:p w14:paraId="2960E42E" w14:textId="77777777" w:rsidR="0027672E" w:rsidRPr="00DE37D8" w:rsidRDefault="0027672E"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21.00</w:t>
            </w:r>
          </w:p>
        </w:tc>
        <w:tc>
          <w:tcPr>
            <w:tcW w:w="1148" w:type="dxa"/>
            <w:noWrap/>
          </w:tcPr>
          <w:p w14:paraId="051E9434" w14:textId="77777777" w:rsidR="0027672E" w:rsidRPr="002946A9" w:rsidRDefault="0027672E"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39.00</w:t>
            </w:r>
          </w:p>
        </w:tc>
      </w:tr>
    </w:tbl>
    <w:p w14:paraId="642FDEF9" w14:textId="7F6AA897" w:rsidR="005B39DC" w:rsidRPr="002946A9" w:rsidRDefault="005B39DC" w:rsidP="00DF29CB">
      <w:pPr>
        <w:ind w:left="360"/>
        <w:jc w:val="both"/>
        <w:rPr>
          <w:rFonts w:ascii="Trebuchet MS" w:hAnsi="Trebuchet MS"/>
          <w:szCs w:val="24"/>
        </w:rPr>
      </w:pPr>
    </w:p>
    <w:p w14:paraId="2E4E662B" w14:textId="53F6D3C9" w:rsidR="00F414FC" w:rsidRPr="008B1C51" w:rsidRDefault="00F414FC" w:rsidP="00DF29CB">
      <w:pPr>
        <w:pStyle w:val="Prrafodelista"/>
        <w:numPr>
          <w:ilvl w:val="0"/>
          <w:numId w:val="6"/>
        </w:numPr>
        <w:jc w:val="both"/>
        <w:rPr>
          <w:rFonts w:ascii="Trebuchet MS" w:hAnsi="Trebuchet MS"/>
          <w:b/>
          <w:bCs/>
          <w:szCs w:val="24"/>
        </w:rPr>
      </w:pPr>
      <w:r w:rsidRPr="008B1C51">
        <w:rPr>
          <w:rFonts w:ascii="Trebuchet MS" w:hAnsi="Trebuchet MS"/>
          <w:b/>
          <w:bCs/>
          <w:szCs w:val="24"/>
        </w:rPr>
        <w:t>Reducción y Mantenimiento de pérdidas</w:t>
      </w:r>
      <w:r w:rsidR="00317A93" w:rsidRPr="008B1C51">
        <w:rPr>
          <w:rFonts w:ascii="Trebuchet MS" w:hAnsi="Trebuchet MS"/>
          <w:b/>
          <w:bCs/>
          <w:szCs w:val="24"/>
        </w:rPr>
        <w:t xml:space="preserve"> de energía</w:t>
      </w:r>
    </w:p>
    <w:p w14:paraId="65BECE50" w14:textId="77777777" w:rsidR="00C944CB" w:rsidRPr="008B1C51" w:rsidRDefault="00A175C3" w:rsidP="00DF29CB">
      <w:pPr>
        <w:ind w:left="360"/>
        <w:jc w:val="both"/>
        <w:rPr>
          <w:rFonts w:ascii="Trebuchet MS" w:hAnsi="Trebuchet MS"/>
        </w:rPr>
      </w:pPr>
      <w:r w:rsidRPr="008B1C51">
        <w:rPr>
          <w:rFonts w:ascii="Trebuchet MS" w:hAnsi="Trebuchet MS"/>
          <w:szCs w:val="24"/>
        </w:rPr>
        <w:t>EPM</w:t>
      </w:r>
      <w:r w:rsidR="00B02FC7" w:rsidRPr="008B1C51">
        <w:rPr>
          <w:rFonts w:ascii="Trebuchet MS" w:hAnsi="Trebuchet MS"/>
          <w:szCs w:val="24"/>
        </w:rPr>
        <w:t xml:space="preserve"> </w:t>
      </w:r>
      <w:r w:rsidR="0042421C" w:rsidRPr="008B1C51">
        <w:rPr>
          <w:rFonts w:ascii="Trebuchet MS" w:hAnsi="Trebuchet MS"/>
          <w:szCs w:val="24"/>
        </w:rPr>
        <w:t xml:space="preserve">se encuentra dentro de los índices de pérdidas </w:t>
      </w:r>
      <w:r w:rsidR="00BC6CE3" w:rsidRPr="008B1C51">
        <w:rPr>
          <w:rFonts w:ascii="Trebuchet MS" w:hAnsi="Trebuchet MS"/>
          <w:szCs w:val="24"/>
        </w:rPr>
        <w:t xml:space="preserve">eficientes, por lo </w:t>
      </w:r>
      <w:r w:rsidR="00611168" w:rsidRPr="008B1C51">
        <w:rPr>
          <w:rFonts w:ascii="Trebuchet MS" w:hAnsi="Trebuchet MS"/>
          <w:szCs w:val="24"/>
        </w:rPr>
        <w:t>tanto,</w:t>
      </w:r>
      <w:r w:rsidR="00BC6CE3" w:rsidRPr="008B1C51">
        <w:rPr>
          <w:rFonts w:ascii="Trebuchet MS" w:hAnsi="Trebuchet MS"/>
          <w:szCs w:val="24"/>
        </w:rPr>
        <w:t xml:space="preserve"> no está obligado a presentar </w:t>
      </w:r>
      <w:r w:rsidR="00317A93" w:rsidRPr="008B1C51">
        <w:rPr>
          <w:rFonts w:ascii="Trebuchet MS" w:hAnsi="Trebuchet MS"/>
          <w:szCs w:val="24"/>
        </w:rPr>
        <w:t xml:space="preserve">plan de reducción de pérdidas. </w:t>
      </w:r>
      <w:r w:rsidR="00165823" w:rsidRPr="008B1C51">
        <w:rPr>
          <w:rFonts w:ascii="Trebuchet MS" w:hAnsi="Trebuchet MS"/>
          <w:szCs w:val="24"/>
        </w:rPr>
        <w:t xml:space="preserve">Los </w:t>
      </w:r>
      <w:r w:rsidR="005F4328" w:rsidRPr="008B1C51">
        <w:rPr>
          <w:rFonts w:ascii="Trebuchet MS" w:hAnsi="Trebuchet MS"/>
          <w:szCs w:val="24"/>
        </w:rPr>
        <w:t xml:space="preserve">índices de pérdidas eficientes </w:t>
      </w:r>
      <w:r w:rsidR="003035CF" w:rsidRPr="008B1C51">
        <w:rPr>
          <w:rFonts w:ascii="Trebuchet MS" w:hAnsi="Trebuchet MS"/>
          <w:szCs w:val="24"/>
        </w:rPr>
        <w:t xml:space="preserve">aprobados para el mantenimiento de </w:t>
      </w:r>
      <w:r w:rsidR="00652DF3" w:rsidRPr="008B1C51">
        <w:rPr>
          <w:rFonts w:ascii="Trebuchet MS" w:hAnsi="Trebuchet MS"/>
          <w:szCs w:val="24"/>
        </w:rPr>
        <w:t xml:space="preserve">las </w:t>
      </w:r>
      <w:r w:rsidR="003035CF" w:rsidRPr="008B1C51">
        <w:rPr>
          <w:rFonts w:ascii="Trebuchet MS" w:hAnsi="Trebuchet MS"/>
          <w:szCs w:val="24"/>
        </w:rPr>
        <w:t>pérdidas</w:t>
      </w:r>
      <w:r w:rsidR="00652DF3" w:rsidRPr="008B1C51">
        <w:rPr>
          <w:rFonts w:ascii="Trebuchet MS" w:hAnsi="Trebuchet MS"/>
          <w:szCs w:val="24"/>
        </w:rPr>
        <w:t xml:space="preserve"> en el sistema de EPM, se presentan en la</w:t>
      </w:r>
      <w:r w:rsidR="00F6790B" w:rsidRPr="008B1C51">
        <w:rPr>
          <w:rFonts w:ascii="Trebuchet MS" w:hAnsi="Trebuchet MS"/>
          <w:szCs w:val="24"/>
        </w:rPr>
        <w:t xml:space="preserve"> </w:t>
      </w:r>
      <w:r w:rsidR="00F6790B" w:rsidRPr="008B1C51">
        <w:rPr>
          <w:rFonts w:ascii="Trebuchet MS" w:hAnsi="Trebuchet MS"/>
          <w:szCs w:val="24"/>
        </w:rPr>
        <w:fldChar w:fldCharType="begin"/>
      </w:r>
      <w:r w:rsidR="00F6790B" w:rsidRPr="008B1C51">
        <w:rPr>
          <w:rFonts w:ascii="Trebuchet MS" w:hAnsi="Trebuchet MS"/>
          <w:szCs w:val="24"/>
        </w:rPr>
        <w:instrText xml:space="preserve"> REF _Ref66982486 \h </w:instrText>
      </w:r>
      <w:r w:rsidR="00DF29CB" w:rsidRPr="008B1C51">
        <w:rPr>
          <w:rFonts w:ascii="Trebuchet MS" w:hAnsi="Trebuchet MS"/>
          <w:szCs w:val="24"/>
        </w:rPr>
        <w:instrText xml:space="preserve"> \* MERGEFORMAT </w:instrText>
      </w:r>
      <w:r w:rsidR="00F6790B" w:rsidRPr="008B1C51">
        <w:rPr>
          <w:rFonts w:ascii="Trebuchet MS" w:hAnsi="Trebuchet MS"/>
          <w:szCs w:val="24"/>
        </w:rPr>
      </w:r>
      <w:r w:rsidR="00F6790B" w:rsidRPr="008B1C51">
        <w:rPr>
          <w:rFonts w:ascii="Trebuchet MS" w:hAnsi="Trebuchet MS"/>
          <w:szCs w:val="24"/>
        </w:rPr>
        <w:fldChar w:fldCharType="separate"/>
      </w:r>
    </w:p>
    <w:p w14:paraId="4A85D583" w14:textId="17EA140E" w:rsidR="00CC5DB8" w:rsidRPr="008B1C51" w:rsidRDefault="00C944CB" w:rsidP="008B1C51">
      <w:pPr>
        <w:ind w:left="360"/>
        <w:jc w:val="both"/>
        <w:rPr>
          <w:rFonts w:ascii="Trebuchet MS" w:hAnsi="Trebuchet MS"/>
          <w:szCs w:val="24"/>
        </w:rPr>
      </w:pPr>
      <w:r w:rsidRPr="008B1C51">
        <w:rPr>
          <w:rFonts w:ascii="Trebuchet MS" w:hAnsi="Trebuchet MS"/>
          <w:noProof/>
        </w:rPr>
        <w:t xml:space="preserve">Figura </w:t>
      </w:r>
      <w:r>
        <w:rPr>
          <w:rFonts w:ascii="Trebuchet MS" w:hAnsi="Trebuchet MS"/>
          <w:noProof/>
        </w:rPr>
        <w:t>2</w:t>
      </w:r>
      <w:r w:rsidRPr="008B1C51">
        <w:rPr>
          <w:rFonts w:ascii="Trebuchet MS" w:hAnsi="Trebuchet MS"/>
          <w:noProof/>
        </w:rPr>
        <w:t>.</w:t>
      </w:r>
      <w:r>
        <w:rPr>
          <w:rFonts w:ascii="Trebuchet MS" w:hAnsi="Trebuchet MS"/>
          <w:noProof/>
        </w:rPr>
        <w:t>1</w:t>
      </w:r>
      <w:r w:rsidR="00F6790B" w:rsidRPr="008B1C51">
        <w:rPr>
          <w:rFonts w:ascii="Trebuchet MS" w:hAnsi="Trebuchet MS"/>
          <w:szCs w:val="24"/>
        </w:rPr>
        <w:fldChar w:fldCharType="end"/>
      </w:r>
      <w:r w:rsidR="00F6790B" w:rsidRPr="008B1C51">
        <w:rPr>
          <w:rFonts w:ascii="Trebuchet MS" w:hAnsi="Trebuchet MS"/>
          <w:szCs w:val="24"/>
        </w:rPr>
        <w:t>.</w:t>
      </w:r>
      <w:r w:rsidR="00652DF3" w:rsidRPr="008B1C51">
        <w:rPr>
          <w:rFonts w:ascii="Trebuchet MS" w:hAnsi="Trebuchet MS"/>
          <w:szCs w:val="24"/>
        </w:rPr>
        <w:t xml:space="preserve"> </w:t>
      </w:r>
    </w:p>
    <w:p w14:paraId="7039DBBD" w14:textId="77777777" w:rsidR="00405118" w:rsidRPr="008B1C51" w:rsidRDefault="00405118" w:rsidP="00DF29CB">
      <w:pPr>
        <w:ind w:left="360"/>
        <w:jc w:val="both"/>
        <w:rPr>
          <w:rFonts w:ascii="Trebuchet MS" w:hAnsi="Trebuchet MS"/>
        </w:rPr>
      </w:pPr>
      <w:bookmarkStart w:id="155" w:name="_Ref66982486"/>
    </w:p>
    <w:p w14:paraId="580CE0AC" w14:textId="757B849B" w:rsidR="00CC5DB8" w:rsidRPr="008B1C51" w:rsidRDefault="00CC5DB8" w:rsidP="00DF29CB">
      <w:pPr>
        <w:ind w:left="360"/>
        <w:jc w:val="both"/>
        <w:rPr>
          <w:rFonts w:ascii="Trebuchet MS" w:hAnsi="Trebuchet MS"/>
        </w:rPr>
      </w:pPr>
      <w:bookmarkStart w:id="156" w:name="_Toc131031368"/>
      <w:r w:rsidRPr="008B1C51">
        <w:rPr>
          <w:rFonts w:ascii="Trebuchet MS" w:hAnsi="Trebuchet MS"/>
        </w:rPr>
        <w:t xml:space="preserve">Figura </w:t>
      </w:r>
      <w:r w:rsidRPr="008B1C51">
        <w:rPr>
          <w:rFonts w:ascii="Trebuchet MS" w:hAnsi="Trebuchet MS"/>
        </w:rPr>
        <w:fldChar w:fldCharType="begin"/>
      </w:r>
      <w:r w:rsidRPr="008B1C51">
        <w:rPr>
          <w:rFonts w:ascii="Trebuchet MS" w:hAnsi="Trebuchet MS"/>
        </w:rPr>
        <w:instrText xml:space="preserve"> STYLEREF 1 \s </w:instrText>
      </w:r>
      <w:r w:rsidRPr="008B1C51">
        <w:rPr>
          <w:rFonts w:ascii="Trebuchet MS" w:hAnsi="Trebuchet MS"/>
        </w:rPr>
        <w:fldChar w:fldCharType="separate"/>
      </w:r>
      <w:r w:rsidR="00C944CB">
        <w:rPr>
          <w:rFonts w:ascii="Trebuchet MS" w:hAnsi="Trebuchet MS"/>
          <w:noProof/>
        </w:rPr>
        <w:t>2</w:t>
      </w:r>
      <w:r w:rsidRPr="008B1C51">
        <w:rPr>
          <w:rFonts w:ascii="Trebuchet MS" w:hAnsi="Trebuchet MS"/>
        </w:rPr>
        <w:fldChar w:fldCharType="end"/>
      </w:r>
      <w:r w:rsidRPr="008B1C51">
        <w:rPr>
          <w:rFonts w:ascii="Trebuchet MS" w:hAnsi="Trebuchet MS"/>
        </w:rPr>
        <w:t>.</w:t>
      </w:r>
      <w:r w:rsidRPr="008B1C51">
        <w:rPr>
          <w:rFonts w:ascii="Trebuchet MS" w:hAnsi="Trebuchet MS"/>
        </w:rPr>
        <w:fldChar w:fldCharType="begin"/>
      </w:r>
      <w:r w:rsidRPr="008B1C51">
        <w:rPr>
          <w:rFonts w:ascii="Trebuchet MS" w:hAnsi="Trebuchet MS"/>
        </w:rPr>
        <w:instrText xml:space="preserve"> SEQ Figura \* ARABIC \s 1 </w:instrText>
      </w:r>
      <w:r w:rsidRPr="008B1C51">
        <w:rPr>
          <w:rFonts w:ascii="Trebuchet MS" w:hAnsi="Trebuchet MS"/>
        </w:rPr>
        <w:fldChar w:fldCharType="separate"/>
      </w:r>
      <w:r w:rsidR="00C944CB">
        <w:rPr>
          <w:rFonts w:ascii="Trebuchet MS" w:hAnsi="Trebuchet MS"/>
          <w:noProof/>
        </w:rPr>
        <w:t>1</w:t>
      </w:r>
      <w:r w:rsidRPr="008B1C51">
        <w:rPr>
          <w:rFonts w:ascii="Trebuchet MS" w:hAnsi="Trebuchet MS"/>
        </w:rPr>
        <w:fldChar w:fldCharType="end"/>
      </w:r>
      <w:bookmarkEnd w:id="155"/>
      <w:r w:rsidR="008E7FD5" w:rsidRPr="008B1C51">
        <w:rPr>
          <w:rFonts w:ascii="Trebuchet MS" w:hAnsi="Trebuchet MS"/>
        </w:rPr>
        <w:t xml:space="preserve"> </w:t>
      </w:r>
      <w:r w:rsidR="00C93C82" w:rsidRPr="008B1C51">
        <w:rPr>
          <w:rFonts w:ascii="Trebuchet MS" w:hAnsi="Trebuchet MS"/>
        </w:rPr>
        <w:t xml:space="preserve"> Í</w:t>
      </w:r>
      <w:r w:rsidR="008E7FD5" w:rsidRPr="008B1C51">
        <w:rPr>
          <w:rFonts w:ascii="Trebuchet MS" w:hAnsi="Trebuchet MS"/>
        </w:rPr>
        <w:t>ndices de pérdidas eficientes aprobados para EPM</w:t>
      </w:r>
      <w:r w:rsidR="00C93C82" w:rsidRPr="008B1C51">
        <w:rPr>
          <w:rFonts w:ascii="Trebuchet MS" w:hAnsi="Trebuchet MS"/>
        </w:rPr>
        <w:t xml:space="preserve"> en el </w:t>
      </w:r>
      <w:r w:rsidR="005300A7" w:rsidRPr="008B1C51">
        <w:rPr>
          <w:rFonts w:ascii="Trebuchet MS" w:hAnsi="Trebuchet MS"/>
        </w:rPr>
        <w:t>periodo</w:t>
      </w:r>
      <w:r w:rsidR="00C93C82" w:rsidRPr="008B1C51">
        <w:rPr>
          <w:rFonts w:ascii="Trebuchet MS" w:hAnsi="Trebuchet MS"/>
        </w:rPr>
        <w:t xml:space="preserve"> 2019-2023.</w:t>
      </w:r>
      <w:bookmarkEnd w:id="156"/>
    </w:p>
    <w:p w14:paraId="7B989D92" w14:textId="0987A504" w:rsidR="00C678F7" w:rsidRPr="002946A9" w:rsidRDefault="00CC5DB8" w:rsidP="009F74E2">
      <w:pPr>
        <w:ind w:left="360"/>
        <w:jc w:val="center"/>
        <w:rPr>
          <w:rFonts w:ascii="Trebuchet MS" w:hAnsi="Trebuchet MS"/>
          <w:szCs w:val="24"/>
        </w:rPr>
      </w:pPr>
      <w:r w:rsidRPr="00814EF7">
        <w:rPr>
          <w:noProof/>
        </w:rPr>
        <w:drawing>
          <wp:inline distT="0" distB="0" distL="0" distR="0" wp14:anchorId="78EB1965" wp14:editId="47B38B01">
            <wp:extent cx="4640829" cy="2723574"/>
            <wp:effectExtent l="0" t="0" r="762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92079" cy="2753651"/>
                    </a:xfrm>
                    <a:prstGeom prst="rect">
                      <a:avLst/>
                    </a:prstGeom>
                  </pic:spPr>
                </pic:pic>
              </a:graphicData>
            </a:graphic>
          </wp:inline>
        </w:drawing>
      </w:r>
    </w:p>
    <w:p w14:paraId="392D39B0" w14:textId="4AEADD49" w:rsidR="00712EFF" w:rsidRDefault="00712EFF" w:rsidP="00DF29CB">
      <w:pPr>
        <w:ind w:left="360"/>
        <w:jc w:val="both"/>
        <w:rPr>
          <w:rFonts w:ascii="Trebuchet MS" w:hAnsi="Trebuchet MS"/>
          <w:szCs w:val="24"/>
        </w:rPr>
      </w:pPr>
    </w:p>
    <w:p w14:paraId="444900E7" w14:textId="77777777" w:rsidR="00BF7136" w:rsidRPr="002946A9" w:rsidRDefault="00BF7136" w:rsidP="00DF29CB">
      <w:pPr>
        <w:ind w:left="360"/>
        <w:jc w:val="both"/>
        <w:rPr>
          <w:rFonts w:ascii="Trebuchet MS" w:hAnsi="Trebuchet MS"/>
          <w:szCs w:val="24"/>
        </w:rPr>
      </w:pPr>
    </w:p>
    <w:p w14:paraId="63411B2F" w14:textId="2456A8EE" w:rsidR="00F81CCE" w:rsidRPr="002946A9" w:rsidRDefault="00F81CCE" w:rsidP="00DF29CB">
      <w:pPr>
        <w:pStyle w:val="Prrafodelista"/>
        <w:numPr>
          <w:ilvl w:val="0"/>
          <w:numId w:val="6"/>
        </w:numPr>
        <w:jc w:val="both"/>
        <w:rPr>
          <w:rFonts w:ascii="Trebuchet MS" w:hAnsi="Trebuchet MS"/>
          <w:b/>
          <w:bCs/>
          <w:szCs w:val="24"/>
        </w:rPr>
      </w:pPr>
      <w:r w:rsidRPr="002946A9">
        <w:rPr>
          <w:rFonts w:ascii="Trebuchet MS" w:hAnsi="Trebuchet MS"/>
          <w:b/>
          <w:bCs/>
          <w:szCs w:val="24"/>
        </w:rPr>
        <w:t>Metas anuales en inversiones a ejecutar.</w:t>
      </w:r>
    </w:p>
    <w:p w14:paraId="51623085" w14:textId="7582BFC7" w:rsidR="00405118" w:rsidRPr="002946A9" w:rsidRDefault="00962D83" w:rsidP="00E402A8">
      <w:pPr>
        <w:ind w:left="360"/>
        <w:jc w:val="both"/>
        <w:rPr>
          <w:rFonts w:ascii="Trebuchet MS" w:hAnsi="Trebuchet MS"/>
          <w:szCs w:val="24"/>
        </w:rPr>
      </w:pPr>
      <w:r w:rsidRPr="002946A9">
        <w:rPr>
          <w:rFonts w:ascii="Trebuchet MS" w:hAnsi="Trebuchet MS"/>
          <w:szCs w:val="24"/>
        </w:rPr>
        <w:t>Los montos</w:t>
      </w:r>
      <w:r w:rsidR="00283A8E" w:rsidRPr="002946A9">
        <w:rPr>
          <w:rFonts w:ascii="Trebuchet MS" w:hAnsi="Trebuchet MS"/>
          <w:szCs w:val="24"/>
        </w:rPr>
        <w:t xml:space="preserve"> de inversión </w:t>
      </w:r>
      <w:r w:rsidR="00B36CEE" w:rsidRPr="002946A9">
        <w:rPr>
          <w:rFonts w:ascii="Trebuchet MS" w:hAnsi="Trebuchet MS"/>
          <w:szCs w:val="24"/>
        </w:rPr>
        <w:t>planead</w:t>
      </w:r>
      <w:r w:rsidR="00412A2C" w:rsidRPr="002946A9">
        <w:rPr>
          <w:rFonts w:ascii="Trebuchet MS" w:hAnsi="Trebuchet MS"/>
          <w:szCs w:val="24"/>
        </w:rPr>
        <w:t xml:space="preserve">os y </w:t>
      </w:r>
      <w:r w:rsidR="00241867" w:rsidRPr="002946A9">
        <w:rPr>
          <w:rFonts w:ascii="Trebuchet MS" w:hAnsi="Trebuchet MS"/>
          <w:szCs w:val="24"/>
        </w:rPr>
        <w:t>aprobados para EPM en el</w:t>
      </w:r>
      <w:r w:rsidR="00A67DEC" w:rsidRPr="002946A9">
        <w:rPr>
          <w:rFonts w:ascii="Trebuchet MS" w:hAnsi="Trebuchet MS"/>
          <w:szCs w:val="24"/>
        </w:rPr>
        <w:t xml:space="preserve"> </w:t>
      </w:r>
      <w:r w:rsidR="00384DBD" w:rsidRPr="002946A9">
        <w:rPr>
          <w:rFonts w:ascii="Trebuchet MS" w:hAnsi="Trebuchet MS"/>
          <w:szCs w:val="24"/>
        </w:rPr>
        <w:t>periodo 20</w:t>
      </w:r>
      <w:r w:rsidR="000D348C" w:rsidRPr="002946A9">
        <w:rPr>
          <w:rFonts w:ascii="Trebuchet MS" w:hAnsi="Trebuchet MS"/>
          <w:szCs w:val="24"/>
        </w:rPr>
        <w:t>20</w:t>
      </w:r>
      <w:r w:rsidR="00384DBD" w:rsidRPr="002946A9">
        <w:rPr>
          <w:rFonts w:ascii="Trebuchet MS" w:hAnsi="Trebuchet MS"/>
          <w:szCs w:val="24"/>
        </w:rPr>
        <w:t>-202</w:t>
      </w:r>
      <w:r w:rsidR="000D348C" w:rsidRPr="002946A9">
        <w:rPr>
          <w:rFonts w:ascii="Trebuchet MS" w:hAnsi="Trebuchet MS"/>
          <w:szCs w:val="24"/>
        </w:rPr>
        <w:t>5</w:t>
      </w:r>
      <w:r w:rsidR="00384DBD" w:rsidRPr="002946A9">
        <w:rPr>
          <w:rFonts w:ascii="Trebuchet MS" w:hAnsi="Trebuchet MS"/>
          <w:szCs w:val="24"/>
        </w:rPr>
        <w:t xml:space="preserve"> se </w:t>
      </w:r>
      <w:r w:rsidR="00B36CEE" w:rsidRPr="002946A9">
        <w:rPr>
          <w:rFonts w:ascii="Trebuchet MS" w:hAnsi="Trebuchet MS"/>
          <w:szCs w:val="24"/>
        </w:rPr>
        <w:t>presentan en</w:t>
      </w:r>
      <w:r w:rsidR="00B946B5" w:rsidRPr="002946A9">
        <w:rPr>
          <w:rFonts w:ascii="Trebuchet MS" w:hAnsi="Trebuchet MS"/>
          <w:szCs w:val="24"/>
        </w:rPr>
        <w:t xml:space="preserve"> la </w:t>
      </w:r>
      <w:r w:rsidR="00B946B5" w:rsidRPr="002946A9">
        <w:rPr>
          <w:rFonts w:ascii="Trebuchet MS" w:hAnsi="Trebuchet MS"/>
          <w:szCs w:val="24"/>
        </w:rPr>
        <w:fldChar w:fldCharType="begin"/>
      </w:r>
      <w:r w:rsidR="00B946B5" w:rsidRPr="002946A9">
        <w:rPr>
          <w:rFonts w:ascii="Trebuchet MS" w:hAnsi="Trebuchet MS"/>
          <w:szCs w:val="24"/>
        </w:rPr>
        <w:instrText xml:space="preserve"> REF _Ref66982821 \h </w:instrText>
      </w:r>
      <w:r w:rsidR="00DF29CB" w:rsidRPr="002946A9">
        <w:rPr>
          <w:rFonts w:ascii="Trebuchet MS" w:hAnsi="Trebuchet MS"/>
          <w:szCs w:val="24"/>
        </w:rPr>
        <w:instrText xml:space="preserve"> \* MERGEFORMAT </w:instrText>
      </w:r>
      <w:r w:rsidR="00B946B5" w:rsidRPr="002946A9">
        <w:rPr>
          <w:rFonts w:ascii="Trebuchet MS" w:hAnsi="Trebuchet MS"/>
          <w:szCs w:val="24"/>
        </w:rPr>
      </w:r>
      <w:r w:rsidR="00B946B5"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2</w:t>
      </w:r>
      <w:r w:rsidR="00C944CB" w:rsidRPr="002946A9">
        <w:rPr>
          <w:rFonts w:ascii="Trebuchet MS" w:hAnsi="Trebuchet MS"/>
          <w:noProof/>
        </w:rPr>
        <w:t>.</w:t>
      </w:r>
      <w:r w:rsidR="00C944CB">
        <w:rPr>
          <w:rFonts w:ascii="Trebuchet MS" w:hAnsi="Trebuchet MS"/>
          <w:noProof/>
        </w:rPr>
        <w:t>16</w:t>
      </w:r>
      <w:r w:rsidR="00B946B5" w:rsidRPr="002946A9">
        <w:rPr>
          <w:rFonts w:ascii="Trebuchet MS" w:hAnsi="Trebuchet MS"/>
          <w:szCs w:val="24"/>
        </w:rPr>
        <w:fldChar w:fldCharType="end"/>
      </w:r>
      <w:r w:rsidR="00D56F04" w:rsidRPr="002946A9">
        <w:rPr>
          <w:rFonts w:ascii="Trebuchet MS" w:hAnsi="Trebuchet MS"/>
          <w:szCs w:val="24"/>
        </w:rPr>
        <w:t>, por año,</w:t>
      </w:r>
      <w:r w:rsidR="00FE4AC9" w:rsidRPr="002946A9">
        <w:rPr>
          <w:rFonts w:ascii="Trebuchet MS" w:hAnsi="Trebuchet MS"/>
          <w:szCs w:val="24"/>
        </w:rPr>
        <w:t xml:space="preserve"> </w:t>
      </w:r>
      <w:r w:rsidR="00D56F04" w:rsidRPr="002946A9">
        <w:rPr>
          <w:rFonts w:ascii="Trebuchet MS" w:hAnsi="Trebuchet MS"/>
          <w:szCs w:val="24"/>
        </w:rPr>
        <w:t>nivel de tensión y categoría de activos</w:t>
      </w:r>
      <w:r w:rsidR="009D4D41" w:rsidRPr="002946A9">
        <w:rPr>
          <w:rFonts w:ascii="Trebuchet MS" w:hAnsi="Trebuchet MS"/>
          <w:szCs w:val="24"/>
        </w:rPr>
        <w:t xml:space="preserve"> (</w:t>
      </w:r>
      <w:r w:rsidR="009D4D41" w:rsidRPr="002946A9">
        <w:rPr>
          <w:rFonts w:ascii="Bookman Old Style" w:eastAsia="Times New Roman" w:hAnsi="Bookman Old Style" w:cs="Calibri"/>
          <w:i/>
          <w:iCs/>
          <w:color w:val="000000"/>
        </w:rPr>
        <w:t>l</w:t>
      </w:r>
      <w:r w:rsidR="009D4D41" w:rsidRPr="002946A9">
        <w:rPr>
          <w:rFonts w:ascii="Trebuchet MS" w:hAnsi="Trebuchet MS"/>
          <w:szCs w:val="24"/>
        </w:rPr>
        <w:t>)</w:t>
      </w:r>
      <w:r w:rsidR="009E5B86" w:rsidRPr="002946A9">
        <w:rPr>
          <w:rFonts w:ascii="Trebuchet MS" w:hAnsi="Trebuchet MS"/>
          <w:szCs w:val="24"/>
        </w:rPr>
        <w:t>.</w:t>
      </w:r>
    </w:p>
    <w:p w14:paraId="25529B84" w14:textId="77777777" w:rsidR="00405118" w:rsidRPr="002946A9" w:rsidRDefault="00405118" w:rsidP="00DF29CB">
      <w:pPr>
        <w:spacing w:after="0"/>
        <w:ind w:left="360"/>
        <w:jc w:val="both"/>
        <w:rPr>
          <w:rFonts w:ascii="Trebuchet MS" w:hAnsi="Trebuchet MS"/>
          <w:szCs w:val="24"/>
        </w:rPr>
      </w:pPr>
    </w:p>
    <w:p w14:paraId="35614DD4" w14:textId="01D6C7E0" w:rsidR="00412A2C" w:rsidRPr="002946A9" w:rsidRDefault="00412A2C" w:rsidP="00DF29CB">
      <w:pPr>
        <w:ind w:left="1416" w:hanging="1056"/>
        <w:jc w:val="both"/>
        <w:rPr>
          <w:rFonts w:ascii="Trebuchet MS" w:hAnsi="Trebuchet MS"/>
        </w:rPr>
      </w:pPr>
      <w:bookmarkStart w:id="157" w:name="_Ref66982821"/>
      <w:bookmarkStart w:id="158" w:name="_Toc131032784"/>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16</w:t>
      </w:r>
      <w:r w:rsidRPr="002946A9">
        <w:rPr>
          <w:rFonts w:ascii="Trebuchet MS" w:hAnsi="Trebuchet MS"/>
        </w:rPr>
        <w:fldChar w:fldCharType="end"/>
      </w:r>
      <w:bookmarkEnd w:id="157"/>
      <w:r w:rsidRPr="002946A9">
        <w:rPr>
          <w:rFonts w:ascii="Trebuchet MS" w:hAnsi="Trebuchet MS"/>
        </w:rPr>
        <w:t xml:space="preserve">  </w:t>
      </w:r>
      <w:r w:rsidR="00101A6C" w:rsidRPr="002946A9">
        <w:rPr>
          <w:rFonts w:ascii="Trebuchet MS" w:hAnsi="Trebuchet MS"/>
        </w:rPr>
        <w:t>Inversiones proyectadas para el periodo 20</w:t>
      </w:r>
      <w:r w:rsidR="00951945" w:rsidRPr="002946A9">
        <w:rPr>
          <w:rFonts w:ascii="Trebuchet MS" w:hAnsi="Trebuchet MS"/>
        </w:rPr>
        <w:t>20</w:t>
      </w:r>
      <w:r w:rsidR="00101A6C" w:rsidRPr="002946A9">
        <w:rPr>
          <w:rFonts w:ascii="Trebuchet MS" w:hAnsi="Trebuchet MS"/>
        </w:rPr>
        <w:t xml:space="preserve"> – 202</w:t>
      </w:r>
      <w:r w:rsidR="00951945" w:rsidRPr="002946A9">
        <w:rPr>
          <w:rFonts w:ascii="Trebuchet MS" w:hAnsi="Trebuchet MS"/>
        </w:rPr>
        <w:t>5</w:t>
      </w:r>
      <w:r w:rsidR="00101A6C" w:rsidRPr="002946A9">
        <w:rPr>
          <w:rFonts w:ascii="Trebuchet MS" w:hAnsi="Trebuchet MS"/>
        </w:rPr>
        <w:t xml:space="preserve"> </w:t>
      </w:r>
      <w:r w:rsidR="00101A6C" w:rsidRPr="002946A9">
        <w:rPr>
          <w:rFonts w:ascii="Trebuchet MS" w:hAnsi="Trebuchet MS"/>
          <w:i/>
          <w:iCs/>
        </w:rPr>
        <w:t>[$ - dic 2017].</w:t>
      </w:r>
      <w:bookmarkEnd w:id="158"/>
    </w:p>
    <w:tbl>
      <w:tblPr>
        <w:tblW w:w="4679" w:type="pct"/>
        <w:jc w:val="center"/>
        <w:tblCellMar>
          <w:left w:w="70" w:type="dxa"/>
          <w:right w:w="70" w:type="dxa"/>
        </w:tblCellMar>
        <w:tblLook w:val="04A0" w:firstRow="1" w:lastRow="0" w:firstColumn="1" w:lastColumn="0" w:noHBand="0" w:noVBand="1"/>
      </w:tblPr>
      <w:tblGrid>
        <w:gridCol w:w="506"/>
        <w:gridCol w:w="1279"/>
        <w:gridCol w:w="1279"/>
        <w:gridCol w:w="1279"/>
        <w:gridCol w:w="1360"/>
        <w:gridCol w:w="1279"/>
        <w:gridCol w:w="1279"/>
      </w:tblGrid>
      <w:tr w:rsidR="00E8603D" w:rsidRPr="002946A9" w14:paraId="51633A00" w14:textId="77777777" w:rsidTr="00BF7136">
        <w:trPr>
          <w:trHeight w:val="20"/>
          <w:jc w:val="center"/>
        </w:trPr>
        <w:tc>
          <w:tcPr>
            <w:tcW w:w="306" w:type="pct"/>
            <w:vMerge w:val="restart"/>
            <w:tcBorders>
              <w:top w:val="single" w:sz="8" w:space="0" w:color="FFFFFF"/>
              <w:left w:val="single" w:sz="8" w:space="0" w:color="FFFFFF"/>
              <w:bottom w:val="single" w:sz="8" w:space="0" w:color="FFFFFF"/>
              <w:right w:val="single" w:sz="8" w:space="0" w:color="FFFFFF"/>
            </w:tcBorders>
            <w:shd w:val="clear" w:color="000000" w:fill="BFE2A8"/>
            <w:vAlign w:val="center"/>
            <w:hideMark/>
          </w:tcPr>
          <w:p w14:paraId="641E599E" w14:textId="77777777" w:rsidR="00E8603D" w:rsidRPr="002946A9" w:rsidRDefault="00E8603D" w:rsidP="00E8603D">
            <w:pPr>
              <w:spacing w:after="0" w:line="240" w:lineRule="auto"/>
              <w:jc w:val="center"/>
              <w:rPr>
                <w:rFonts w:ascii="Bookman Old Style" w:eastAsia="Times New Roman" w:hAnsi="Bookman Old Style" w:cs="Calibri"/>
                <w:b/>
                <w:bCs/>
                <w:i/>
                <w:iCs/>
                <w:color w:val="000000"/>
                <w:sz w:val="14"/>
                <w:szCs w:val="14"/>
                <w:lang w:eastAsia="es-CO"/>
              </w:rPr>
            </w:pPr>
            <w:r w:rsidRPr="002946A9">
              <w:rPr>
                <w:rFonts w:ascii="Bookman Old Style" w:eastAsia="Times New Roman" w:hAnsi="Bookman Old Style" w:cs="Calibri"/>
                <w:b/>
                <w:bCs/>
                <w:i/>
                <w:iCs/>
                <w:color w:val="000000"/>
                <w:sz w:val="14"/>
                <w:szCs w:val="14"/>
                <w:lang w:eastAsia="es-CO"/>
              </w:rPr>
              <w:t>l</w:t>
            </w:r>
          </w:p>
        </w:tc>
        <w:tc>
          <w:tcPr>
            <w:tcW w:w="4694" w:type="pct"/>
            <w:gridSpan w:val="6"/>
            <w:tcBorders>
              <w:top w:val="single" w:sz="8" w:space="0" w:color="FFFFFF"/>
              <w:left w:val="nil"/>
              <w:bottom w:val="single" w:sz="8" w:space="0" w:color="FFFFFF"/>
              <w:right w:val="nil"/>
            </w:tcBorders>
            <w:shd w:val="clear" w:color="000000" w:fill="BFE2A8"/>
            <w:noWrap/>
            <w:vAlign w:val="center"/>
            <w:hideMark/>
          </w:tcPr>
          <w:p w14:paraId="7B60F350" w14:textId="77777777" w:rsidR="00E8603D" w:rsidRPr="002946A9" w:rsidRDefault="00E8603D" w:rsidP="00E8603D">
            <w:pPr>
              <w:spacing w:after="0" w:line="240" w:lineRule="auto"/>
              <w:jc w:val="center"/>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Nivel de tensión 4</w:t>
            </w:r>
          </w:p>
        </w:tc>
      </w:tr>
      <w:tr w:rsidR="00E8603D" w:rsidRPr="002946A9" w14:paraId="631E72BB" w14:textId="77777777" w:rsidTr="00BF7136">
        <w:trPr>
          <w:trHeight w:val="20"/>
          <w:jc w:val="center"/>
        </w:trPr>
        <w:tc>
          <w:tcPr>
            <w:tcW w:w="306" w:type="pct"/>
            <w:vMerge/>
            <w:tcBorders>
              <w:top w:val="single" w:sz="8" w:space="0" w:color="FFFFFF"/>
              <w:left w:val="single" w:sz="8" w:space="0" w:color="FFFFFF"/>
              <w:bottom w:val="single" w:sz="8" w:space="0" w:color="FFFFFF"/>
              <w:right w:val="single" w:sz="8" w:space="0" w:color="FFFFFF"/>
            </w:tcBorders>
            <w:vAlign w:val="center"/>
            <w:hideMark/>
          </w:tcPr>
          <w:p w14:paraId="66B4E83E" w14:textId="77777777" w:rsidR="00E8603D" w:rsidRPr="002946A9" w:rsidRDefault="00E8603D" w:rsidP="00E8603D">
            <w:pPr>
              <w:spacing w:after="0" w:line="240" w:lineRule="auto"/>
              <w:rPr>
                <w:rFonts w:ascii="Bookman Old Style" w:eastAsia="Times New Roman" w:hAnsi="Bookman Old Style" w:cs="Calibri"/>
                <w:b/>
                <w:bCs/>
                <w:i/>
                <w:iCs/>
                <w:color w:val="000000"/>
                <w:sz w:val="14"/>
                <w:szCs w:val="14"/>
                <w:lang w:eastAsia="es-CO"/>
              </w:rPr>
            </w:pPr>
          </w:p>
        </w:tc>
        <w:tc>
          <w:tcPr>
            <w:tcW w:w="774" w:type="pct"/>
            <w:tcBorders>
              <w:top w:val="nil"/>
              <w:left w:val="nil"/>
              <w:bottom w:val="single" w:sz="8" w:space="0" w:color="FFFFFF"/>
              <w:right w:val="single" w:sz="8" w:space="0" w:color="FFFFFF"/>
            </w:tcBorders>
            <w:shd w:val="clear" w:color="000000" w:fill="BFE2A8"/>
            <w:noWrap/>
            <w:vAlign w:val="center"/>
            <w:hideMark/>
          </w:tcPr>
          <w:p w14:paraId="453E6EFC"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2020</w:t>
            </w:r>
          </w:p>
        </w:tc>
        <w:tc>
          <w:tcPr>
            <w:tcW w:w="774" w:type="pct"/>
            <w:tcBorders>
              <w:top w:val="nil"/>
              <w:left w:val="nil"/>
              <w:bottom w:val="single" w:sz="8" w:space="0" w:color="FFFFFF"/>
              <w:right w:val="single" w:sz="8" w:space="0" w:color="FFFFFF"/>
            </w:tcBorders>
            <w:shd w:val="clear" w:color="000000" w:fill="BFE2A8"/>
            <w:noWrap/>
            <w:vAlign w:val="center"/>
            <w:hideMark/>
          </w:tcPr>
          <w:p w14:paraId="073498EF"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2021</w:t>
            </w:r>
          </w:p>
        </w:tc>
        <w:tc>
          <w:tcPr>
            <w:tcW w:w="774" w:type="pct"/>
            <w:tcBorders>
              <w:top w:val="nil"/>
              <w:left w:val="nil"/>
              <w:bottom w:val="single" w:sz="8" w:space="0" w:color="FFFFFF"/>
              <w:right w:val="single" w:sz="8" w:space="0" w:color="FFFFFF"/>
            </w:tcBorders>
            <w:shd w:val="clear" w:color="000000" w:fill="BFE2A8"/>
            <w:noWrap/>
            <w:vAlign w:val="center"/>
            <w:hideMark/>
          </w:tcPr>
          <w:p w14:paraId="07DBC512"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2022</w:t>
            </w:r>
          </w:p>
        </w:tc>
        <w:tc>
          <w:tcPr>
            <w:tcW w:w="824" w:type="pct"/>
            <w:tcBorders>
              <w:top w:val="nil"/>
              <w:left w:val="nil"/>
              <w:bottom w:val="single" w:sz="8" w:space="0" w:color="FFFFFF"/>
              <w:right w:val="single" w:sz="8" w:space="0" w:color="FFFFFF"/>
            </w:tcBorders>
            <w:shd w:val="clear" w:color="000000" w:fill="BFE2A8"/>
            <w:noWrap/>
            <w:vAlign w:val="center"/>
            <w:hideMark/>
          </w:tcPr>
          <w:p w14:paraId="1523F884"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2023</w:t>
            </w:r>
          </w:p>
        </w:tc>
        <w:tc>
          <w:tcPr>
            <w:tcW w:w="774" w:type="pct"/>
            <w:tcBorders>
              <w:top w:val="nil"/>
              <w:left w:val="nil"/>
              <w:bottom w:val="single" w:sz="8" w:space="0" w:color="FFFFFF"/>
              <w:right w:val="single" w:sz="8" w:space="0" w:color="FFFFFF"/>
            </w:tcBorders>
            <w:shd w:val="clear" w:color="000000" w:fill="BFE2A8"/>
            <w:noWrap/>
            <w:vAlign w:val="center"/>
            <w:hideMark/>
          </w:tcPr>
          <w:p w14:paraId="2001A38A"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2024</w:t>
            </w:r>
          </w:p>
        </w:tc>
        <w:tc>
          <w:tcPr>
            <w:tcW w:w="774" w:type="pct"/>
            <w:tcBorders>
              <w:top w:val="nil"/>
              <w:left w:val="nil"/>
              <w:bottom w:val="single" w:sz="8" w:space="0" w:color="FFFFFF"/>
              <w:right w:val="single" w:sz="8" w:space="0" w:color="FFFFFF"/>
            </w:tcBorders>
            <w:shd w:val="clear" w:color="000000" w:fill="BFE2A8"/>
            <w:noWrap/>
            <w:vAlign w:val="center"/>
            <w:hideMark/>
          </w:tcPr>
          <w:p w14:paraId="79EBB8D3"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2025</w:t>
            </w:r>
          </w:p>
        </w:tc>
      </w:tr>
      <w:tr w:rsidR="00E8603D" w:rsidRPr="002946A9" w14:paraId="13A9ED5A"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22246858"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1</w:t>
            </w:r>
          </w:p>
        </w:tc>
        <w:tc>
          <w:tcPr>
            <w:tcW w:w="774" w:type="pct"/>
            <w:tcBorders>
              <w:top w:val="nil"/>
              <w:left w:val="nil"/>
              <w:bottom w:val="single" w:sz="8" w:space="0" w:color="FFFFFF"/>
              <w:right w:val="single" w:sz="8" w:space="0" w:color="FFFFFF"/>
            </w:tcBorders>
            <w:shd w:val="clear" w:color="000000" w:fill="D6EAAF"/>
            <w:noWrap/>
            <w:vAlign w:val="center"/>
            <w:hideMark/>
          </w:tcPr>
          <w:p w14:paraId="69C3CDD6"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29,356,377,000</w:t>
            </w:r>
          </w:p>
        </w:tc>
        <w:tc>
          <w:tcPr>
            <w:tcW w:w="774" w:type="pct"/>
            <w:tcBorders>
              <w:top w:val="nil"/>
              <w:left w:val="nil"/>
              <w:bottom w:val="single" w:sz="8" w:space="0" w:color="FFFFFF"/>
              <w:right w:val="single" w:sz="8" w:space="0" w:color="FFFFFF"/>
            </w:tcBorders>
            <w:shd w:val="clear" w:color="000000" w:fill="D6EAAF"/>
            <w:noWrap/>
            <w:vAlign w:val="center"/>
            <w:hideMark/>
          </w:tcPr>
          <w:p w14:paraId="17BC6ABA"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D6EAAF"/>
            <w:noWrap/>
            <w:vAlign w:val="center"/>
            <w:hideMark/>
          </w:tcPr>
          <w:p w14:paraId="32572F32"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824" w:type="pct"/>
            <w:tcBorders>
              <w:top w:val="nil"/>
              <w:left w:val="nil"/>
              <w:bottom w:val="single" w:sz="8" w:space="0" w:color="FFFFFF"/>
              <w:right w:val="single" w:sz="8" w:space="0" w:color="FFFFFF"/>
            </w:tcBorders>
            <w:shd w:val="clear" w:color="000000" w:fill="D6EAAF"/>
            <w:noWrap/>
            <w:vAlign w:val="center"/>
            <w:hideMark/>
          </w:tcPr>
          <w:p w14:paraId="55BA71E5"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D6EAAF"/>
            <w:noWrap/>
            <w:vAlign w:val="center"/>
            <w:hideMark/>
          </w:tcPr>
          <w:p w14:paraId="6CB04B22"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D6EAAF"/>
            <w:noWrap/>
            <w:vAlign w:val="center"/>
            <w:hideMark/>
          </w:tcPr>
          <w:p w14:paraId="423F5B9A"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r>
      <w:tr w:rsidR="00E8603D" w:rsidRPr="002946A9" w14:paraId="1FC2AF64"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79035754"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2</w:t>
            </w:r>
          </w:p>
        </w:tc>
        <w:tc>
          <w:tcPr>
            <w:tcW w:w="774" w:type="pct"/>
            <w:tcBorders>
              <w:top w:val="nil"/>
              <w:left w:val="nil"/>
              <w:bottom w:val="single" w:sz="8" w:space="0" w:color="FFFFFF"/>
              <w:right w:val="single" w:sz="8" w:space="0" w:color="FFFFFF"/>
            </w:tcBorders>
            <w:shd w:val="clear" w:color="000000" w:fill="EAF4D7"/>
            <w:noWrap/>
            <w:vAlign w:val="center"/>
            <w:hideMark/>
          </w:tcPr>
          <w:p w14:paraId="103A3638"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EAF4D7"/>
            <w:noWrap/>
            <w:vAlign w:val="center"/>
            <w:hideMark/>
          </w:tcPr>
          <w:p w14:paraId="243EA9D5"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EAF4D7"/>
            <w:noWrap/>
            <w:vAlign w:val="center"/>
            <w:hideMark/>
          </w:tcPr>
          <w:p w14:paraId="13061FA8"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824" w:type="pct"/>
            <w:tcBorders>
              <w:top w:val="nil"/>
              <w:left w:val="nil"/>
              <w:bottom w:val="single" w:sz="8" w:space="0" w:color="FFFFFF"/>
              <w:right w:val="single" w:sz="8" w:space="0" w:color="FFFFFF"/>
            </w:tcBorders>
            <w:shd w:val="clear" w:color="000000" w:fill="EAF4D7"/>
            <w:noWrap/>
            <w:vAlign w:val="center"/>
            <w:hideMark/>
          </w:tcPr>
          <w:p w14:paraId="6CF92A40"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EAF4D7"/>
            <w:noWrap/>
            <w:vAlign w:val="center"/>
            <w:hideMark/>
          </w:tcPr>
          <w:p w14:paraId="2DD6B843"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EAF4D7"/>
            <w:noWrap/>
            <w:vAlign w:val="center"/>
            <w:hideMark/>
          </w:tcPr>
          <w:p w14:paraId="2167A21B"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r>
      <w:tr w:rsidR="00E8603D" w:rsidRPr="002946A9" w14:paraId="4D3091B2"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0ACF510B"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3</w:t>
            </w:r>
          </w:p>
        </w:tc>
        <w:tc>
          <w:tcPr>
            <w:tcW w:w="774" w:type="pct"/>
            <w:tcBorders>
              <w:top w:val="nil"/>
              <w:left w:val="nil"/>
              <w:bottom w:val="single" w:sz="8" w:space="0" w:color="FFFFFF"/>
              <w:right w:val="single" w:sz="8" w:space="0" w:color="FFFFFF"/>
            </w:tcBorders>
            <w:shd w:val="clear" w:color="000000" w:fill="D6EAAF"/>
            <w:noWrap/>
            <w:vAlign w:val="center"/>
            <w:hideMark/>
          </w:tcPr>
          <w:p w14:paraId="4E64D1EF"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7,446,977,547</w:t>
            </w:r>
          </w:p>
        </w:tc>
        <w:tc>
          <w:tcPr>
            <w:tcW w:w="774" w:type="pct"/>
            <w:tcBorders>
              <w:top w:val="nil"/>
              <w:left w:val="nil"/>
              <w:bottom w:val="single" w:sz="8" w:space="0" w:color="FFFFFF"/>
              <w:right w:val="single" w:sz="8" w:space="0" w:color="FFFFFF"/>
            </w:tcBorders>
            <w:shd w:val="clear" w:color="000000" w:fill="D6EAAF"/>
            <w:noWrap/>
            <w:vAlign w:val="center"/>
            <w:hideMark/>
          </w:tcPr>
          <w:p w14:paraId="0CD6ADD8"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3,337,366,297</w:t>
            </w:r>
          </w:p>
        </w:tc>
        <w:tc>
          <w:tcPr>
            <w:tcW w:w="774" w:type="pct"/>
            <w:tcBorders>
              <w:top w:val="nil"/>
              <w:left w:val="nil"/>
              <w:bottom w:val="single" w:sz="8" w:space="0" w:color="FFFFFF"/>
              <w:right w:val="single" w:sz="8" w:space="0" w:color="FFFFFF"/>
            </w:tcBorders>
            <w:shd w:val="clear" w:color="000000" w:fill="D6EAAF"/>
            <w:noWrap/>
            <w:vAlign w:val="center"/>
            <w:hideMark/>
          </w:tcPr>
          <w:p w14:paraId="22D80027"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13,969,869,380</w:t>
            </w:r>
          </w:p>
        </w:tc>
        <w:tc>
          <w:tcPr>
            <w:tcW w:w="824" w:type="pct"/>
            <w:tcBorders>
              <w:top w:val="nil"/>
              <w:left w:val="nil"/>
              <w:bottom w:val="single" w:sz="8" w:space="0" w:color="FFFFFF"/>
              <w:right w:val="single" w:sz="8" w:space="0" w:color="FFFFFF"/>
            </w:tcBorders>
            <w:shd w:val="clear" w:color="000000" w:fill="D6EAAF"/>
            <w:noWrap/>
            <w:vAlign w:val="center"/>
            <w:hideMark/>
          </w:tcPr>
          <w:p w14:paraId="538A92FC"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2,753,326,916</w:t>
            </w:r>
          </w:p>
        </w:tc>
        <w:tc>
          <w:tcPr>
            <w:tcW w:w="774" w:type="pct"/>
            <w:tcBorders>
              <w:top w:val="nil"/>
              <w:left w:val="nil"/>
              <w:bottom w:val="single" w:sz="8" w:space="0" w:color="FFFFFF"/>
              <w:right w:val="single" w:sz="8" w:space="0" w:color="FFFFFF"/>
            </w:tcBorders>
            <w:shd w:val="clear" w:color="000000" w:fill="D6EAAF"/>
            <w:noWrap/>
            <w:vAlign w:val="center"/>
            <w:hideMark/>
          </w:tcPr>
          <w:p w14:paraId="0635BDF1"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4,485,521,746</w:t>
            </w:r>
          </w:p>
        </w:tc>
        <w:tc>
          <w:tcPr>
            <w:tcW w:w="774" w:type="pct"/>
            <w:tcBorders>
              <w:top w:val="nil"/>
              <w:left w:val="nil"/>
              <w:bottom w:val="single" w:sz="8" w:space="0" w:color="FFFFFF"/>
              <w:right w:val="single" w:sz="8" w:space="0" w:color="FFFFFF"/>
            </w:tcBorders>
            <w:shd w:val="clear" w:color="000000" w:fill="D6EAAF"/>
            <w:noWrap/>
            <w:vAlign w:val="center"/>
            <w:hideMark/>
          </w:tcPr>
          <w:p w14:paraId="56C48BB5"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3,206,700,680</w:t>
            </w:r>
          </w:p>
        </w:tc>
      </w:tr>
      <w:tr w:rsidR="00E8603D" w:rsidRPr="002946A9" w14:paraId="78DD3D70"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5B522591"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4</w:t>
            </w:r>
          </w:p>
        </w:tc>
        <w:tc>
          <w:tcPr>
            <w:tcW w:w="774" w:type="pct"/>
            <w:tcBorders>
              <w:top w:val="nil"/>
              <w:left w:val="nil"/>
              <w:bottom w:val="single" w:sz="8" w:space="0" w:color="FFFFFF"/>
              <w:right w:val="single" w:sz="8" w:space="0" w:color="FFFFFF"/>
            </w:tcBorders>
            <w:shd w:val="clear" w:color="000000" w:fill="EAF4D7"/>
            <w:noWrap/>
            <w:vAlign w:val="center"/>
            <w:hideMark/>
          </w:tcPr>
          <w:p w14:paraId="79780596"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2,429,225,468</w:t>
            </w:r>
          </w:p>
        </w:tc>
        <w:tc>
          <w:tcPr>
            <w:tcW w:w="774" w:type="pct"/>
            <w:tcBorders>
              <w:top w:val="nil"/>
              <w:left w:val="nil"/>
              <w:bottom w:val="single" w:sz="8" w:space="0" w:color="FFFFFF"/>
              <w:right w:val="single" w:sz="8" w:space="0" w:color="FFFFFF"/>
            </w:tcBorders>
            <w:shd w:val="clear" w:color="000000" w:fill="EAF4D7"/>
            <w:noWrap/>
            <w:vAlign w:val="center"/>
            <w:hideMark/>
          </w:tcPr>
          <w:p w14:paraId="0C7B4A80"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1,015,221,978</w:t>
            </w:r>
          </w:p>
        </w:tc>
        <w:tc>
          <w:tcPr>
            <w:tcW w:w="774" w:type="pct"/>
            <w:tcBorders>
              <w:top w:val="nil"/>
              <w:left w:val="nil"/>
              <w:bottom w:val="single" w:sz="8" w:space="0" w:color="FFFFFF"/>
              <w:right w:val="single" w:sz="8" w:space="0" w:color="FFFFFF"/>
            </w:tcBorders>
            <w:shd w:val="clear" w:color="000000" w:fill="EAF4D7"/>
            <w:noWrap/>
            <w:vAlign w:val="center"/>
            <w:hideMark/>
          </w:tcPr>
          <w:p w14:paraId="70E5BF7A"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3,106,801,690</w:t>
            </w:r>
          </w:p>
        </w:tc>
        <w:tc>
          <w:tcPr>
            <w:tcW w:w="824" w:type="pct"/>
            <w:tcBorders>
              <w:top w:val="nil"/>
              <w:left w:val="nil"/>
              <w:bottom w:val="single" w:sz="8" w:space="0" w:color="FFFFFF"/>
              <w:right w:val="single" w:sz="8" w:space="0" w:color="FFFFFF"/>
            </w:tcBorders>
            <w:shd w:val="clear" w:color="000000" w:fill="EAF4D7"/>
            <w:noWrap/>
            <w:vAlign w:val="center"/>
            <w:hideMark/>
          </w:tcPr>
          <w:p w14:paraId="38EFA741"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1,245,678,450</w:t>
            </w:r>
          </w:p>
        </w:tc>
        <w:tc>
          <w:tcPr>
            <w:tcW w:w="774" w:type="pct"/>
            <w:tcBorders>
              <w:top w:val="nil"/>
              <w:left w:val="nil"/>
              <w:bottom w:val="single" w:sz="8" w:space="0" w:color="FFFFFF"/>
              <w:right w:val="single" w:sz="8" w:space="0" w:color="FFFFFF"/>
            </w:tcBorders>
            <w:shd w:val="clear" w:color="000000" w:fill="EAF4D7"/>
            <w:noWrap/>
            <w:vAlign w:val="center"/>
            <w:hideMark/>
          </w:tcPr>
          <w:p w14:paraId="5CF02CDF"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2,182,594,000</w:t>
            </w:r>
          </w:p>
        </w:tc>
        <w:tc>
          <w:tcPr>
            <w:tcW w:w="774" w:type="pct"/>
            <w:tcBorders>
              <w:top w:val="nil"/>
              <w:left w:val="nil"/>
              <w:bottom w:val="single" w:sz="8" w:space="0" w:color="FFFFFF"/>
              <w:right w:val="single" w:sz="8" w:space="0" w:color="FFFFFF"/>
            </w:tcBorders>
            <w:shd w:val="clear" w:color="000000" w:fill="EAF4D7"/>
            <w:noWrap/>
            <w:vAlign w:val="center"/>
            <w:hideMark/>
          </w:tcPr>
          <w:p w14:paraId="04F65310"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1,115,428,000</w:t>
            </w:r>
          </w:p>
        </w:tc>
      </w:tr>
      <w:tr w:rsidR="00E8603D" w:rsidRPr="002946A9" w14:paraId="51616684"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5A8AED78"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5</w:t>
            </w:r>
          </w:p>
        </w:tc>
        <w:tc>
          <w:tcPr>
            <w:tcW w:w="774" w:type="pct"/>
            <w:tcBorders>
              <w:top w:val="nil"/>
              <w:left w:val="nil"/>
              <w:bottom w:val="single" w:sz="8" w:space="0" w:color="FFFFFF"/>
              <w:right w:val="single" w:sz="8" w:space="0" w:color="FFFFFF"/>
            </w:tcBorders>
            <w:shd w:val="clear" w:color="000000" w:fill="D6EAAF"/>
            <w:noWrap/>
            <w:vAlign w:val="center"/>
            <w:hideMark/>
          </w:tcPr>
          <w:p w14:paraId="1EC4F122"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528,741,000</w:t>
            </w:r>
          </w:p>
        </w:tc>
        <w:tc>
          <w:tcPr>
            <w:tcW w:w="774" w:type="pct"/>
            <w:tcBorders>
              <w:top w:val="nil"/>
              <w:left w:val="nil"/>
              <w:bottom w:val="single" w:sz="8" w:space="0" w:color="FFFFFF"/>
              <w:right w:val="single" w:sz="8" w:space="0" w:color="FFFFFF"/>
            </w:tcBorders>
            <w:shd w:val="clear" w:color="000000" w:fill="D6EAAF"/>
            <w:noWrap/>
            <w:vAlign w:val="center"/>
            <w:hideMark/>
          </w:tcPr>
          <w:p w14:paraId="04636558"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372,702,000</w:t>
            </w:r>
          </w:p>
        </w:tc>
        <w:tc>
          <w:tcPr>
            <w:tcW w:w="774" w:type="pct"/>
            <w:tcBorders>
              <w:top w:val="nil"/>
              <w:left w:val="nil"/>
              <w:bottom w:val="single" w:sz="8" w:space="0" w:color="FFFFFF"/>
              <w:right w:val="single" w:sz="8" w:space="0" w:color="FFFFFF"/>
            </w:tcBorders>
            <w:shd w:val="clear" w:color="000000" w:fill="D6EAAF"/>
            <w:noWrap/>
            <w:vAlign w:val="center"/>
            <w:hideMark/>
          </w:tcPr>
          <w:p w14:paraId="74339916"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1,626,336,000</w:t>
            </w:r>
          </w:p>
        </w:tc>
        <w:tc>
          <w:tcPr>
            <w:tcW w:w="824" w:type="pct"/>
            <w:tcBorders>
              <w:top w:val="nil"/>
              <w:left w:val="nil"/>
              <w:bottom w:val="single" w:sz="8" w:space="0" w:color="FFFFFF"/>
              <w:right w:val="single" w:sz="8" w:space="0" w:color="FFFFFF"/>
            </w:tcBorders>
            <w:shd w:val="clear" w:color="000000" w:fill="D6EAAF"/>
            <w:noWrap/>
            <w:vAlign w:val="center"/>
            <w:hideMark/>
          </w:tcPr>
          <w:p w14:paraId="7A84E310"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203,292,000</w:t>
            </w:r>
          </w:p>
        </w:tc>
        <w:tc>
          <w:tcPr>
            <w:tcW w:w="774" w:type="pct"/>
            <w:tcBorders>
              <w:top w:val="nil"/>
              <w:left w:val="nil"/>
              <w:bottom w:val="single" w:sz="8" w:space="0" w:color="FFFFFF"/>
              <w:right w:val="single" w:sz="8" w:space="0" w:color="FFFFFF"/>
            </w:tcBorders>
            <w:shd w:val="clear" w:color="000000" w:fill="D6EAAF"/>
            <w:noWrap/>
            <w:vAlign w:val="center"/>
            <w:hideMark/>
          </w:tcPr>
          <w:p w14:paraId="5707E99A"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508,230,000</w:t>
            </w:r>
          </w:p>
        </w:tc>
        <w:tc>
          <w:tcPr>
            <w:tcW w:w="774" w:type="pct"/>
            <w:tcBorders>
              <w:top w:val="nil"/>
              <w:left w:val="nil"/>
              <w:bottom w:val="single" w:sz="8" w:space="0" w:color="FFFFFF"/>
              <w:right w:val="single" w:sz="8" w:space="0" w:color="FFFFFF"/>
            </w:tcBorders>
            <w:shd w:val="clear" w:color="000000" w:fill="D6EAAF"/>
            <w:noWrap/>
            <w:vAlign w:val="center"/>
            <w:hideMark/>
          </w:tcPr>
          <w:p w14:paraId="65999E79"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508,230,000</w:t>
            </w:r>
          </w:p>
        </w:tc>
      </w:tr>
      <w:tr w:rsidR="00E8603D" w:rsidRPr="002946A9" w14:paraId="002E9365"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20A6B8A3"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6</w:t>
            </w:r>
          </w:p>
        </w:tc>
        <w:tc>
          <w:tcPr>
            <w:tcW w:w="774" w:type="pct"/>
            <w:tcBorders>
              <w:top w:val="nil"/>
              <w:left w:val="nil"/>
              <w:bottom w:val="single" w:sz="8" w:space="0" w:color="FFFFFF"/>
              <w:right w:val="single" w:sz="8" w:space="0" w:color="FFFFFF"/>
            </w:tcBorders>
            <w:shd w:val="clear" w:color="000000" w:fill="EAF4D7"/>
            <w:noWrap/>
            <w:vAlign w:val="center"/>
            <w:hideMark/>
          </w:tcPr>
          <w:p w14:paraId="37060129"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1,426,349,000</w:t>
            </w:r>
          </w:p>
        </w:tc>
        <w:tc>
          <w:tcPr>
            <w:tcW w:w="774" w:type="pct"/>
            <w:tcBorders>
              <w:top w:val="nil"/>
              <w:left w:val="nil"/>
              <w:bottom w:val="single" w:sz="8" w:space="0" w:color="FFFFFF"/>
              <w:right w:val="single" w:sz="8" w:space="0" w:color="FFFFFF"/>
            </w:tcBorders>
            <w:shd w:val="clear" w:color="000000" w:fill="EAF4D7"/>
            <w:noWrap/>
            <w:vAlign w:val="center"/>
            <w:hideMark/>
          </w:tcPr>
          <w:p w14:paraId="7C67415B"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30,105,000</w:t>
            </w:r>
          </w:p>
        </w:tc>
        <w:tc>
          <w:tcPr>
            <w:tcW w:w="774" w:type="pct"/>
            <w:tcBorders>
              <w:top w:val="nil"/>
              <w:left w:val="nil"/>
              <w:bottom w:val="single" w:sz="8" w:space="0" w:color="FFFFFF"/>
              <w:right w:val="single" w:sz="8" w:space="0" w:color="FFFFFF"/>
            </w:tcBorders>
            <w:shd w:val="clear" w:color="000000" w:fill="EAF4D7"/>
            <w:noWrap/>
            <w:vAlign w:val="center"/>
            <w:hideMark/>
          </w:tcPr>
          <w:p w14:paraId="20433A7E"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3,340,349,749</w:t>
            </w:r>
          </w:p>
        </w:tc>
        <w:tc>
          <w:tcPr>
            <w:tcW w:w="824" w:type="pct"/>
            <w:tcBorders>
              <w:top w:val="nil"/>
              <w:left w:val="nil"/>
              <w:bottom w:val="single" w:sz="8" w:space="0" w:color="FFFFFF"/>
              <w:right w:val="single" w:sz="8" w:space="0" w:color="FFFFFF"/>
            </w:tcBorders>
            <w:shd w:val="clear" w:color="000000" w:fill="EAF4D7"/>
            <w:noWrap/>
            <w:vAlign w:val="center"/>
            <w:hideMark/>
          </w:tcPr>
          <w:p w14:paraId="4E27C61E"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2,012,731,618</w:t>
            </w:r>
          </w:p>
        </w:tc>
        <w:tc>
          <w:tcPr>
            <w:tcW w:w="774" w:type="pct"/>
            <w:tcBorders>
              <w:top w:val="nil"/>
              <w:left w:val="nil"/>
              <w:bottom w:val="single" w:sz="8" w:space="0" w:color="FFFFFF"/>
              <w:right w:val="single" w:sz="8" w:space="0" w:color="FFFFFF"/>
            </w:tcBorders>
            <w:shd w:val="clear" w:color="000000" w:fill="EAF4D7"/>
            <w:noWrap/>
            <w:vAlign w:val="center"/>
            <w:hideMark/>
          </w:tcPr>
          <w:p w14:paraId="66E85EA3"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3,649,796,008</w:t>
            </w:r>
          </w:p>
        </w:tc>
        <w:tc>
          <w:tcPr>
            <w:tcW w:w="774" w:type="pct"/>
            <w:tcBorders>
              <w:top w:val="nil"/>
              <w:left w:val="nil"/>
              <w:bottom w:val="single" w:sz="8" w:space="0" w:color="FFFFFF"/>
              <w:right w:val="single" w:sz="8" w:space="0" w:color="FFFFFF"/>
            </w:tcBorders>
            <w:shd w:val="clear" w:color="000000" w:fill="EAF4D7"/>
            <w:noWrap/>
            <w:vAlign w:val="center"/>
            <w:hideMark/>
          </w:tcPr>
          <w:p w14:paraId="7B838913"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r>
      <w:tr w:rsidR="00E8603D" w:rsidRPr="002946A9" w14:paraId="40CEC1BF"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15D935FA"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7</w:t>
            </w:r>
          </w:p>
        </w:tc>
        <w:tc>
          <w:tcPr>
            <w:tcW w:w="774" w:type="pct"/>
            <w:tcBorders>
              <w:top w:val="nil"/>
              <w:left w:val="nil"/>
              <w:bottom w:val="single" w:sz="8" w:space="0" w:color="FFFFFF"/>
              <w:right w:val="single" w:sz="8" w:space="0" w:color="FFFFFF"/>
            </w:tcBorders>
            <w:shd w:val="clear" w:color="000000" w:fill="D6EAAF"/>
            <w:noWrap/>
            <w:vAlign w:val="center"/>
            <w:hideMark/>
          </w:tcPr>
          <w:p w14:paraId="48F878B6"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D6EAAF"/>
            <w:noWrap/>
            <w:vAlign w:val="center"/>
            <w:hideMark/>
          </w:tcPr>
          <w:p w14:paraId="7F3BAB7F"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12,979,281,110</w:t>
            </w:r>
          </w:p>
        </w:tc>
        <w:tc>
          <w:tcPr>
            <w:tcW w:w="774" w:type="pct"/>
            <w:tcBorders>
              <w:top w:val="nil"/>
              <w:left w:val="nil"/>
              <w:bottom w:val="single" w:sz="8" w:space="0" w:color="FFFFFF"/>
              <w:right w:val="single" w:sz="8" w:space="0" w:color="FFFFFF"/>
            </w:tcBorders>
            <w:shd w:val="clear" w:color="000000" w:fill="D6EAAF"/>
            <w:noWrap/>
            <w:vAlign w:val="center"/>
            <w:hideMark/>
          </w:tcPr>
          <w:p w14:paraId="2F2F2132"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17,113,694,867</w:t>
            </w:r>
          </w:p>
        </w:tc>
        <w:tc>
          <w:tcPr>
            <w:tcW w:w="824" w:type="pct"/>
            <w:tcBorders>
              <w:top w:val="nil"/>
              <w:left w:val="nil"/>
              <w:bottom w:val="single" w:sz="8" w:space="0" w:color="FFFFFF"/>
              <w:right w:val="single" w:sz="8" w:space="0" w:color="FFFFFF"/>
            </w:tcBorders>
            <w:shd w:val="clear" w:color="000000" w:fill="D6EAAF"/>
            <w:noWrap/>
            <w:vAlign w:val="center"/>
            <w:hideMark/>
          </w:tcPr>
          <w:p w14:paraId="3E1950F5"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364,884,000</w:t>
            </w:r>
          </w:p>
        </w:tc>
        <w:tc>
          <w:tcPr>
            <w:tcW w:w="774" w:type="pct"/>
            <w:tcBorders>
              <w:top w:val="nil"/>
              <w:left w:val="nil"/>
              <w:bottom w:val="single" w:sz="8" w:space="0" w:color="FFFFFF"/>
              <w:right w:val="single" w:sz="8" w:space="0" w:color="FFFFFF"/>
            </w:tcBorders>
            <w:shd w:val="clear" w:color="000000" w:fill="D6EAAF"/>
            <w:noWrap/>
            <w:vAlign w:val="center"/>
            <w:hideMark/>
          </w:tcPr>
          <w:p w14:paraId="6C43A004"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19,554,481,657</w:t>
            </w:r>
          </w:p>
        </w:tc>
        <w:tc>
          <w:tcPr>
            <w:tcW w:w="774" w:type="pct"/>
            <w:tcBorders>
              <w:top w:val="nil"/>
              <w:left w:val="nil"/>
              <w:bottom w:val="single" w:sz="8" w:space="0" w:color="FFFFFF"/>
              <w:right w:val="single" w:sz="8" w:space="0" w:color="FFFFFF"/>
            </w:tcBorders>
            <w:shd w:val="clear" w:color="000000" w:fill="D6EAAF"/>
            <w:noWrap/>
            <w:vAlign w:val="center"/>
            <w:hideMark/>
          </w:tcPr>
          <w:p w14:paraId="795EB18F"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r>
      <w:tr w:rsidR="00E8603D" w:rsidRPr="002946A9" w14:paraId="12850B16"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56EB8D88"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8</w:t>
            </w:r>
          </w:p>
        </w:tc>
        <w:tc>
          <w:tcPr>
            <w:tcW w:w="774" w:type="pct"/>
            <w:tcBorders>
              <w:top w:val="nil"/>
              <w:left w:val="nil"/>
              <w:bottom w:val="single" w:sz="8" w:space="0" w:color="FFFFFF"/>
              <w:right w:val="single" w:sz="8" w:space="0" w:color="FFFFFF"/>
            </w:tcBorders>
            <w:shd w:val="clear" w:color="000000" w:fill="EAF4D7"/>
            <w:noWrap/>
            <w:vAlign w:val="center"/>
            <w:hideMark/>
          </w:tcPr>
          <w:p w14:paraId="25A18FBF"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EAF4D7"/>
            <w:noWrap/>
            <w:vAlign w:val="center"/>
            <w:hideMark/>
          </w:tcPr>
          <w:p w14:paraId="42145719"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EAF4D7"/>
            <w:noWrap/>
            <w:vAlign w:val="center"/>
            <w:hideMark/>
          </w:tcPr>
          <w:p w14:paraId="215E2337"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192,859,520</w:t>
            </w:r>
          </w:p>
        </w:tc>
        <w:tc>
          <w:tcPr>
            <w:tcW w:w="824" w:type="pct"/>
            <w:tcBorders>
              <w:top w:val="nil"/>
              <w:left w:val="nil"/>
              <w:bottom w:val="single" w:sz="8" w:space="0" w:color="FFFFFF"/>
              <w:right w:val="single" w:sz="8" w:space="0" w:color="FFFFFF"/>
            </w:tcBorders>
            <w:shd w:val="clear" w:color="000000" w:fill="EAF4D7"/>
            <w:noWrap/>
            <w:vAlign w:val="center"/>
            <w:hideMark/>
          </w:tcPr>
          <w:p w14:paraId="3379B33F"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EAF4D7"/>
            <w:noWrap/>
            <w:vAlign w:val="center"/>
            <w:hideMark/>
          </w:tcPr>
          <w:p w14:paraId="5EDE4F8D"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EAF4D7"/>
            <w:noWrap/>
            <w:vAlign w:val="center"/>
            <w:hideMark/>
          </w:tcPr>
          <w:p w14:paraId="119EC1FF"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r>
      <w:tr w:rsidR="00E8603D" w:rsidRPr="002946A9" w14:paraId="590548F2"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15070E5B"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9</w:t>
            </w:r>
          </w:p>
        </w:tc>
        <w:tc>
          <w:tcPr>
            <w:tcW w:w="774" w:type="pct"/>
            <w:tcBorders>
              <w:top w:val="nil"/>
              <w:left w:val="nil"/>
              <w:bottom w:val="single" w:sz="8" w:space="0" w:color="FFFFFF"/>
              <w:right w:val="single" w:sz="8" w:space="0" w:color="FFFFFF"/>
            </w:tcBorders>
            <w:shd w:val="clear" w:color="000000" w:fill="D6EAAF"/>
            <w:noWrap/>
            <w:vAlign w:val="center"/>
            <w:hideMark/>
          </w:tcPr>
          <w:p w14:paraId="4ABE77D9"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D6EAAF"/>
            <w:noWrap/>
            <w:vAlign w:val="center"/>
            <w:hideMark/>
          </w:tcPr>
          <w:p w14:paraId="0808A1EB"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D6EAAF"/>
            <w:noWrap/>
            <w:vAlign w:val="center"/>
            <w:hideMark/>
          </w:tcPr>
          <w:p w14:paraId="4E385EEE"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824" w:type="pct"/>
            <w:tcBorders>
              <w:top w:val="nil"/>
              <w:left w:val="nil"/>
              <w:bottom w:val="single" w:sz="8" w:space="0" w:color="FFFFFF"/>
              <w:right w:val="single" w:sz="8" w:space="0" w:color="FFFFFF"/>
            </w:tcBorders>
            <w:shd w:val="clear" w:color="000000" w:fill="D6EAAF"/>
            <w:noWrap/>
            <w:vAlign w:val="center"/>
            <w:hideMark/>
          </w:tcPr>
          <w:p w14:paraId="639EB0E4"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D6EAAF"/>
            <w:noWrap/>
            <w:vAlign w:val="center"/>
            <w:hideMark/>
          </w:tcPr>
          <w:p w14:paraId="59F51243"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D6EAAF"/>
            <w:noWrap/>
            <w:vAlign w:val="center"/>
            <w:hideMark/>
          </w:tcPr>
          <w:p w14:paraId="29CA82B6"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r>
      <w:tr w:rsidR="008E7E88" w:rsidRPr="002946A9" w14:paraId="451C4B66"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3ACC5B09" w14:textId="77777777" w:rsidR="008E7E88" w:rsidRPr="002946A9" w:rsidRDefault="008E7E88" w:rsidP="008E7E88">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10</w:t>
            </w:r>
          </w:p>
        </w:tc>
        <w:tc>
          <w:tcPr>
            <w:tcW w:w="774" w:type="pct"/>
            <w:tcBorders>
              <w:top w:val="nil"/>
              <w:left w:val="nil"/>
              <w:bottom w:val="single" w:sz="8" w:space="0" w:color="FFFFFF"/>
              <w:right w:val="single" w:sz="8" w:space="0" w:color="FFFFFF"/>
            </w:tcBorders>
            <w:shd w:val="clear" w:color="000000" w:fill="EAF4D7"/>
            <w:noWrap/>
            <w:vAlign w:val="center"/>
            <w:hideMark/>
          </w:tcPr>
          <w:p w14:paraId="4CCD2A0E" w14:textId="77777777" w:rsidR="008E7E88" w:rsidRPr="002946A9" w:rsidRDefault="008E7E88" w:rsidP="008E7E88">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2,094,200,705</w:t>
            </w:r>
          </w:p>
        </w:tc>
        <w:tc>
          <w:tcPr>
            <w:tcW w:w="774" w:type="pct"/>
            <w:tcBorders>
              <w:top w:val="nil"/>
              <w:left w:val="nil"/>
              <w:bottom w:val="single" w:sz="8" w:space="0" w:color="FFFFFF"/>
              <w:right w:val="single" w:sz="8" w:space="0" w:color="FFFFFF"/>
            </w:tcBorders>
            <w:shd w:val="clear" w:color="000000" w:fill="EAF4D7"/>
            <w:noWrap/>
            <w:vAlign w:val="center"/>
            <w:hideMark/>
          </w:tcPr>
          <w:p w14:paraId="75D3475B" w14:textId="77777777" w:rsidR="008E7E88" w:rsidRPr="002946A9" w:rsidRDefault="008E7E88" w:rsidP="008E7E88">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9,377,353,465</w:t>
            </w:r>
          </w:p>
        </w:tc>
        <w:tc>
          <w:tcPr>
            <w:tcW w:w="774" w:type="pct"/>
            <w:tcBorders>
              <w:top w:val="nil"/>
              <w:left w:val="nil"/>
              <w:bottom w:val="single" w:sz="8" w:space="0" w:color="FFFFFF"/>
              <w:right w:val="single" w:sz="8" w:space="0" w:color="FFFFFF"/>
            </w:tcBorders>
            <w:shd w:val="clear" w:color="000000" w:fill="EAF4D7"/>
            <w:noWrap/>
            <w:vAlign w:val="center"/>
            <w:hideMark/>
          </w:tcPr>
          <w:p w14:paraId="456559F5" w14:textId="77777777" w:rsidR="008E7E88" w:rsidRPr="002946A9" w:rsidRDefault="008E7E88" w:rsidP="008E7E88">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3,361,046,765</w:t>
            </w:r>
          </w:p>
        </w:tc>
        <w:tc>
          <w:tcPr>
            <w:tcW w:w="824" w:type="pct"/>
            <w:tcBorders>
              <w:top w:val="nil"/>
              <w:left w:val="nil"/>
              <w:bottom w:val="single" w:sz="8" w:space="0" w:color="FFFFFF"/>
              <w:right w:val="single" w:sz="8" w:space="0" w:color="FFFFFF"/>
            </w:tcBorders>
            <w:shd w:val="clear" w:color="000000" w:fill="EAF4D7"/>
            <w:noWrap/>
            <w:vAlign w:val="center"/>
            <w:hideMark/>
          </w:tcPr>
          <w:p w14:paraId="5C38D50F" w14:textId="5808E89E" w:rsidR="008E7E88" w:rsidRPr="002946A9" w:rsidRDefault="008E7E88" w:rsidP="008E7E88">
            <w:pPr>
              <w:spacing w:after="0" w:line="240" w:lineRule="auto"/>
              <w:jc w:val="right"/>
              <w:rPr>
                <w:rFonts w:ascii="Trebuchet MS" w:eastAsia="Times New Roman" w:hAnsi="Trebuchet MS" w:cs="Calibri"/>
                <w:color w:val="000000"/>
                <w:sz w:val="14"/>
                <w:szCs w:val="14"/>
                <w:lang w:eastAsia="es-CO"/>
              </w:rPr>
            </w:pPr>
            <w:r>
              <w:rPr>
                <w:rFonts w:ascii="Trebuchet MS" w:hAnsi="Trebuchet MS" w:cs="Calibri"/>
                <w:color w:val="000000"/>
                <w:sz w:val="14"/>
                <w:szCs w:val="14"/>
              </w:rPr>
              <w:t>7,816,535,857</w:t>
            </w:r>
          </w:p>
        </w:tc>
        <w:tc>
          <w:tcPr>
            <w:tcW w:w="774" w:type="pct"/>
            <w:tcBorders>
              <w:top w:val="nil"/>
              <w:left w:val="nil"/>
              <w:bottom w:val="single" w:sz="8" w:space="0" w:color="FFFFFF"/>
              <w:right w:val="single" w:sz="8" w:space="0" w:color="FFFFFF"/>
            </w:tcBorders>
            <w:shd w:val="clear" w:color="000000" w:fill="EAF4D7"/>
            <w:noWrap/>
            <w:vAlign w:val="center"/>
            <w:hideMark/>
          </w:tcPr>
          <w:p w14:paraId="0B527E1D" w14:textId="77777777" w:rsidR="008E7E88" w:rsidRPr="002946A9" w:rsidRDefault="008E7E88" w:rsidP="008E7E88">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10,452,907,333</w:t>
            </w:r>
          </w:p>
        </w:tc>
        <w:tc>
          <w:tcPr>
            <w:tcW w:w="774" w:type="pct"/>
            <w:tcBorders>
              <w:top w:val="nil"/>
              <w:left w:val="nil"/>
              <w:bottom w:val="single" w:sz="8" w:space="0" w:color="FFFFFF"/>
              <w:right w:val="single" w:sz="8" w:space="0" w:color="FFFFFF"/>
            </w:tcBorders>
            <w:shd w:val="clear" w:color="000000" w:fill="EAF4D7"/>
            <w:noWrap/>
            <w:vAlign w:val="center"/>
            <w:hideMark/>
          </w:tcPr>
          <w:p w14:paraId="76BCD3F5" w14:textId="77777777" w:rsidR="008E7E88" w:rsidRPr="002946A9" w:rsidRDefault="008E7E88" w:rsidP="008E7E88">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3,038,835,000</w:t>
            </w:r>
          </w:p>
        </w:tc>
      </w:tr>
      <w:tr w:rsidR="008E7E88" w:rsidRPr="002946A9" w14:paraId="1CB66C94"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9FD37C"/>
            <w:vAlign w:val="center"/>
            <w:hideMark/>
          </w:tcPr>
          <w:p w14:paraId="69856962" w14:textId="77777777" w:rsidR="008E7E88" w:rsidRPr="002946A9" w:rsidRDefault="008E7E88" w:rsidP="008E7E88">
            <w:pPr>
              <w:spacing w:after="0" w:line="240" w:lineRule="auto"/>
              <w:jc w:val="both"/>
              <w:rPr>
                <w:rFonts w:ascii="Arial" w:eastAsia="Times New Roman" w:hAnsi="Arial" w:cs="Arial"/>
                <w:b/>
                <w:bCs/>
                <w:color w:val="000000"/>
                <w:sz w:val="14"/>
                <w:szCs w:val="14"/>
                <w:lang w:eastAsia="es-CO"/>
              </w:rPr>
            </w:pPr>
            <w:r w:rsidRPr="002946A9">
              <w:rPr>
                <w:rFonts w:ascii="Arial" w:eastAsia="Times New Roman" w:hAnsi="Arial" w:cs="Arial"/>
                <w:b/>
                <w:bCs/>
                <w:color w:val="000000"/>
                <w:sz w:val="14"/>
                <w:szCs w:val="14"/>
                <w:lang w:eastAsia="es-CO"/>
              </w:rPr>
              <w:t>Total</w:t>
            </w:r>
          </w:p>
        </w:tc>
        <w:tc>
          <w:tcPr>
            <w:tcW w:w="774" w:type="pct"/>
            <w:tcBorders>
              <w:top w:val="nil"/>
              <w:left w:val="nil"/>
              <w:bottom w:val="single" w:sz="8" w:space="0" w:color="FFFFFF"/>
              <w:right w:val="single" w:sz="8" w:space="0" w:color="FFFFFF"/>
            </w:tcBorders>
            <w:shd w:val="clear" w:color="000000" w:fill="9FD37C"/>
            <w:noWrap/>
            <w:vAlign w:val="center"/>
            <w:hideMark/>
          </w:tcPr>
          <w:p w14:paraId="3E28D2EE" w14:textId="77777777" w:rsidR="008E7E88" w:rsidRPr="002946A9" w:rsidRDefault="008E7E88" w:rsidP="008E7E88">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43,281,870,720</w:t>
            </w:r>
          </w:p>
        </w:tc>
        <w:tc>
          <w:tcPr>
            <w:tcW w:w="774" w:type="pct"/>
            <w:tcBorders>
              <w:top w:val="nil"/>
              <w:left w:val="nil"/>
              <w:bottom w:val="single" w:sz="8" w:space="0" w:color="FFFFFF"/>
              <w:right w:val="single" w:sz="8" w:space="0" w:color="FFFFFF"/>
            </w:tcBorders>
            <w:shd w:val="clear" w:color="000000" w:fill="9FD37C"/>
            <w:noWrap/>
            <w:vAlign w:val="center"/>
            <w:hideMark/>
          </w:tcPr>
          <w:p w14:paraId="3F30D7BE" w14:textId="77777777" w:rsidR="008E7E88" w:rsidRPr="002946A9" w:rsidRDefault="008E7E88" w:rsidP="008E7E88">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27,112,029,850</w:t>
            </w:r>
          </w:p>
        </w:tc>
        <w:tc>
          <w:tcPr>
            <w:tcW w:w="774" w:type="pct"/>
            <w:tcBorders>
              <w:top w:val="nil"/>
              <w:left w:val="nil"/>
              <w:bottom w:val="single" w:sz="8" w:space="0" w:color="FFFFFF"/>
              <w:right w:val="single" w:sz="8" w:space="0" w:color="FFFFFF"/>
            </w:tcBorders>
            <w:shd w:val="clear" w:color="000000" w:fill="9FD37C"/>
            <w:noWrap/>
            <w:vAlign w:val="center"/>
            <w:hideMark/>
          </w:tcPr>
          <w:p w14:paraId="4FD16159" w14:textId="77777777" w:rsidR="008E7E88" w:rsidRPr="002946A9" w:rsidRDefault="008E7E88" w:rsidP="008E7E88">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42,710,957,971</w:t>
            </w:r>
          </w:p>
        </w:tc>
        <w:tc>
          <w:tcPr>
            <w:tcW w:w="824" w:type="pct"/>
            <w:tcBorders>
              <w:top w:val="nil"/>
              <w:left w:val="nil"/>
              <w:bottom w:val="single" w:sz="8" w:space="0" w:color="FFFFFF"/>
              <w:right w:val="single" w:sz="8" w:space="0" w:color="FFFFFF"/>
            </w:tcBorders>
            <w:shd w:val="clear" w:color="000000" w:fill="9FD37C"/>
            <w:noWrap/>
            <w:vAlign w:val="center"/>
            <w:hideMark/>
          </w:tcPr>
          <w:p w14:paraId="2E907E8E" w14:textId="2A17D322" w:rsidR="008E7E88" w:rsidRPr="002946A9" w:rsidRDefault="008E7E88" w:rsidP="008E7E88">
            <w:pPr>
              <w:spacing w:after="0" w:line="240" w:lineRule="auto"/>
              <w:jc w:val="right"/>
              <w:rPr>
                <w:rFonts w:ascii="Trebuchet MS" w:eastAsia="Times New Roman" w:hAnsi="Trebuchet MS" w:cs="Calibri"/>
                <w:b/>
                <w:bCs/>
                <w:color w:val="000000"/>
                <w:sz w:val="14"/>
                <w:szCs w:val="14"/>
                <w:lang w:eastAsia="es-CO"/>
              </w:rPr>
            </w:pPr>
            <w:r>
              <w:rPr>
                <w:rFonts w:ascii="Trebuchet MS" w:hAnsi="Trebuchet MS" w:cs="Calibri"/>
                <w:b/>
                <w:bCs/>
                <w:color w:val="000000"/>
                <w:sz w:val="14"/>
                <w:szCs w:val="14"/>
              </w:rPr>
              <w:t>14,396,448,841</w:t>
            </w:r>
          </w:p>
        </w:tc>
        <w:tc>
          <w:tcPr>
            <w:tcW w:w="774" w:type="pct"/>
            <w:tcBorders>
              <w:top w:val="nil"/>
              <w:left w:val="nil"/>
              <w:bottom w:val="single" w:sz="8" w:space="0" w:color="FFFFFF"/>
              <w:right w:val="single" w:sz="8" w:space="0" w:color="FFFFFF"/>
            </w:tcBorders>
            <w:shd w:val="clear" w:color="000000" w:fill="9FD37C"/>
            <w:noWrap/>
            <w:vAlign w:val="center"/>
            <w:hideMark/>
          </w:tcPr>
          <w:p w14:paraId="7853E4A6" w14:textId="77777777" w:rsidR="008E7E88" w:rsidRPr="002946A9" w:rsidRDefault="008E7E88" w:rsidP="008E7E88">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40,833,530,744</w:t>
            </w:r>
          </w:p>
        </w:tc>
        <w:tc>
          <w:tcPr>
            <w:tcW w:w="774" w:type="pct"/>
            <w:tcBorders>
              <w:top w:val="nil"/>
              <w:left w:val="nil"/>
              <w:bottom w:val="single" w:sz="8" w:space="0" w:color="FFFFFF"/>
              <w:right w:val="single" w:sz="8" w:space="0" w:color="FFFFFF"/>
            </w:tcBorders>
            <w:shd w:val="clear" w:color="000000" w:fill="9FD37C"/>
            <w:noWrap/>
            <w:vAlign w:val="center"/>
            <w:hideMark/>
          </w:tcPr>
          <w:p w14:paraId="4577B70E" w14:textId="77777777" w:rsidR="008E7E88" w:rsidRPr="002946A9" w:rsidRDefault="008E7E88" w:rsidP="008E7E88">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7,869,193,680</w:t>
            </w:r>
          </w:p>
        </w:tc>
      </w:tr>
      <w:tr w:rsidR="00E8603D" w:rsidRPr="002946A9" w14:paraId="741862EC" w14:textId="77777777" w:rsidTr="00BF7136">
        <w:trPr>
          <w:trHeight w:val="40"/>
          <w:jc w:val="center"/>
        </w:trPr>
        <w:tc>
          <w:tcPr>
            <w:tcW w:w="5000" w:type="pct"/>
            <w:gridSpan w:val="7"/>
            <w:tcBorders>
              <w:top w:val="single" w:sz="8" w:space="0" w:color="FFFFFF"/>
              <w:left w:val="single" w:sz="8" w:space="0" w:color="FFFFFF"/>
              <w:bottom w:val="single" w:sz="8" w:space="0" w:color="FFFFFF"/>
              <w:right w:val="nil"/>
            </w:tcBorders>
            <w:shd w:val="clear" w:color="000000" w:fill="EAF4D7"/>
            <w:vAlign w:val="center"/>
            <w:hideMark/>
          </w:tcPr>
          <w:p w14:paraId="1D70311A" w14:textId="298F5DF5" w:rsidR="00E8603D" w:rsidRPr="002946A9" w:rsidRDefault="00E8603D" w:rsidP="00E8603D">
            <w:pPr>
              <w:spacing w:after="0" w:line="240" w:lineRule="auto"/>
              <w:rPr>
                <w:rFonts w:ascii="Calibri" w:eastAsia="Times New Roman" w:hAnsi="Calibri" w:cs="Calibri"/>
                <w:color w:val="000000"/>
                <w:lang w:eastAsia="es-CO"/>
              </w:rPr>
            </w:pPr>
          </w:p>
        </w:tc>
      </w:tr>
      <w:tr w:rsidR="00E8603D" w:rsidRPr="002946A9" w14:paraId="37E4D0D7" w14:textId="77777777" w:rsidTr="00BF7136">
        <w:trPr>
          <w:trHeight w:val="20"/>
          <w:jc w:val="center"/>
        </w:trPr>
        <w:tc>
          <w:tcPr>
            <w:tcW w:w="306" w:type="pct"/>
            <w:vMerge w:val="restart"/>
            <w:tcBorders>
              <w:top w:val="nil"/>
              <w:left w:val="single" w:sz="8" w:space="0" w:color="FFFFFF"/>
              <w:bottom w:val="single" w:sz="8" w:space="0" w:color="FFFFFF"/>
              <w:right w:val="single" w:sz="8" w:space="0" w:color="FFFFFF"/>
            </w:tcBorders>
            <w:shd w:val="clear" w:color="000000" w:fill="BFE2A8"/>
            <w:vAlign w:val="center"/>
            <w:hideMark/>
          </w:tcPr>
          <w:p w14:paraId="6697E594" w14:textId="77777777" w:rsidR="00E8603D" w:rsidRPr="002946A9" w:rsidRDefault="00E8603D" w:rsidP="00E8603D">
            <w:pPr>
              <w:spacing w:after="0" w:line="240" w:lineRule="auto"/>
              <w:jc w:val="center"/>
              <w:rPr>
                <w:rFonts w:ascii="Bookman Old Style" w:eastAsia="Times New Roman" w:hAnsi="Bookman Old Style" w:cs="Calibri"/>
                <w:b/>
                <w:bCs/>
                <w:i/>
                <w:iCs/>
                <w:color w:val="000000"/>
                <w:sz w:val="14"/>
                <w:szCs w:val="14"/>
                <w:lang w:eastAsia="es-CO"/>
              </w:rPr>
            </w:pPr>
            <w:r w:rsidRPr="002946A9">
              <w:rPr>
                <w:rFonts w:ascii="Bookman Old Style" w:eastAsia="Times New Roman" w:hAnsi="Bookman Old Style" w:cs="Calibri"/>
                <w:b/>
                <w:bCs/>
                <w:i/>
                <w:iCs/>
                <w:color w:val="000000"/>
                <w:sz w:val="14"/>
                <w:szCs w:val="14"/>
                <w:lang w:eastAsia="es-CO"/>
              </w:rPr>
              <w:t>l</w:t>
            </w:r>
          </w:p>
        </w:tc>
        <w:tc>
          <w:tcPr>
            <w:tcW w:w="4694" w:type="pct"/>
            <w:gridSpan w:val="6"/>
            <w:tcBorders>
              <w:top w:val="single" w:sz="8" w:space="0" w:color="FFFFFF"/>
              <w:left w:val="nil"/>
              <w:bottom w:val="single" w:sz="8" w:space="0" w:color="FFFFFF"/>
              <w:right w:val="nil"/>
            </w:tcBorders>
            <w:shd w:val="clear" w:color="000000" w:fill="BFE2A8"/>
            <w:noWrap/>
            <w:vAlign w:val="center"/>
            <w:hideMark/>
          </w:tcPr>
          <w:p w14:paraId="6C4F43B1" w14:textId="77777777" w:rsidR="00E8603D" w:rsidRPr="002946A9" w:rsidRDefault="00E8603D" w:rsidP="00E8603D">
            <w:pPr>
              <w:spacing w:after="0" w:line="240" w:lineRule="auto"/>
              <w:jc w:val="center"/>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Nivel de tensión 3</w:t>
            </w:r>
          </w:p>
        </w:tc>
      </w:tr>
      <w:tr w:rsidR="00E8603D" w:rsidRPr="002946A9" w14:paraId="51839091" w14:textId="77777777" w:rsidTr="00BF7136">
        <w:trPr>
          <w:trHeight w:val="20"/>
          <w:jc w:val="center"/>
        </w:trPr>
        <w:tc>
          <w:tcPr>
            <w:tcW w:w="306" w:type="pct"/>
            <w:vMerge/>
            <w:tcBorders>
              <w:top w:val="nil"/>
              <w:left w:val="single" w:sz="8" w:space="0" w:color="FFFFFF"/>
              <w:bottom w:val="single" w:sz="8" w:space="0" w:color="FFFFFF"/>
              <w:right w:val="single" w:sz="8" w:space="0" w:color="FFFFFF"/>
            </w:tcBorders>
            <w:vAlign w:val="center"/>
            <w:hideMark/>
          </w:tcPr>
          <w:p w14:paraId="602CA58A" w14:textId="77777777" w:rsidR="00E8603D" w:rsidRPr="002946A9" w:rsidRDefault="00E8603D" w:rsidP="00E8603D">
            <w:pPr>
              <w:spacing w:after="0" w:line="240" w:lineRule="auto"/>
              <w:rPr>
                <w:rFonts w:ascii="Bookman Old Style" w:eastAsia="Times New Roman" w:hAnsi="Bookman Old Style" w:cs="Calibri"/>
                <w:b/>
                <w:bCs/>
                <w:i/>
                <w:iCs/>
                <w:color w:val="000000"/>
                <w:sz w:val="14"/>
                <w:szCs w:val="14"/>
                <w:lang w:eastAsia="es-CO"/>
              </w:rPr>
            </w:pPr>
          </w:p>
        </w:tc>
        <w:tc>
          <w:tcPr>
            <w:tcW w:w="774" w:type="pct"/>
            <w:tcBorders>
              <w:top w:val="nil"/>
              <w:left w:val="nil"/>
              <w:bottom w:val="single" w:sz="8" w:space="0" w:color="FFFFFF"/>
              <w:right w:val="single" w:sz="8" w:space="0" w:color="FFFFFF"/>
            </w:tcBorders>
            <w:shd w:val="clear" w:color="000000" w:fill="BFE2A8"/>
            <w:noWrap/>
            <w:vAlign w:val="center"/>
            <w:hideMark/>
          </w:tcPr>
          <w:p w14:paraId="2BD78C61"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2020</w:t>
            </w:r>
          </w:p>
        </w:tc>
        <w:tc>
          <w:tcPr>
            <w:tcW w:w="774" w:type="pct"/>
            <w:tcBorders>
              <w:top w:val="nil"/>
              <w:left w:val="nil"/>
              <w:bottom w:val="single" w:sz="8" w:space="0" w:color="FFFFFF"/>
              <w:right w:val="single" w:sz="8" w:space="0" w:color="FFFFFF"/>
            </w:tcBorders>
            <w:shd w:val="clear" w:color="000000" w:fill="BFE2A8"/>
            <w:noWrap/>
            <w:vAlign w:val="center"/>
            <w:hideMark/>
          </w:tcPr>
          <w:p w14:paraId="073138A3"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2021</w:t>
            </w:r>
          </w:p>
        </w:tc>
        <w:tc>
          <w:tcPr>
            <w:tcW w:w="774" w:type="pct"/>
            <w:tcBorders>
              <w:top w:val="nil"/>
              <w:left w:val="nil"/>
              <w:bottom w:val="single" w:sz="8" w:space="0" w:color="FFFFFF"/>
              <w:right w:val="single" w:sz="8" w:space="0" w:color="FFFFFF"/>
            </w:tcBorders>
            <w:shd w:val="clear" w:color="000000" w:fill="BFE2A8"/>
            <w:noWrap/>
            <w:vAlign w:val="center"/>
            <w:hideMark/>
          </w:tcPr>
          <w:p w14:paraId="06567F10"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2022</w:t>
            </w:r>
          </w:p>
        </w:tc>
        <w:tc>
          <w:tcPr>
            <w:tcW w:w="824" w:type="pct"/>
            <w:tcBorders>
              <w:top w:val="nil"/>
              <w:left w:val="nil"/>
              <w:bottom w:val="single" w:sz="8" w:space="0" w:color="FFFFFF"/>
              <w:right w:val="single" w:sz="8" w:space="0" w:color="FFFFFF"/>
            </w:tcBorders>
            <w:shd w:val="clear" w:color="000000" w:fill="BFE2A8"/>
            <w:noWrap/>
            <w:vAlign w:val="center"/>
            <w:hideMark/>
          </w:tcPr>
          <w:p w14:paraId="3F5544FB"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2023</w:t>
            </w:r>
          </w:p>
        </w:tc>
        <w:tc>
          <w:tcPr>
            <w:tcW w:w="774" w:type="pct"/>
            <w:tcBorders>
              <w:top w:val="nil"/>
              <w:left w:val="nil"/>
              <w:bottom w:val="single" w:sz="8" w:space="0" w:color="FFFFFF"/>
              <w:right w:val="single" w:sz="8" w:space="0" w:color="FFFFFF"/>
            </w:tcBorders>
            <w:shd w:val="clear" w:color="000000" w:fill="BFE2A8"/>
            <w:noWrap/>
            <w:vAlign w:val="center"/>
            <w:hideMark/>
          </w:tcPr>
          <w:p w14:paraId="4544258E"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2024</w:t>
            </w:r>
          </w:p>
        </w:tc>
        <w:tc>
          <w:tcPr>
            <w:tcW w:w="774" w:type="pct"/>
            <w:tcBorders>
              <w:top w:val="nil"/>
              <w:left w:val="nil"/>
              <w:bottom w:val="single" w:sz="8" w:space="0" w:color="FFFFFF"/>
              <w:right w:val="single" w:sz="8" w:space="0" w:color="FFFFFF"/>
            </w:tcBorders>
            <w:shd w:val="clear" w:color="000000" w:fill="BFE2A8"/>
            <w:noWrap/>
            <w:vAlign w:val="center"/>
            <w:hideMark/>
          </w:tcPr>
          <w:p w14:paraId="6261804A"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2025</w:t>
            </w:r>
          </w:p>
        </w:tc>
      </w:tr>
      <w:tr w:rsidR="00E8603D" w:rsidRPr="002946A9" w14:paraId="225B40DA"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3F4DE3EA"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1</w:t>
            </w:r>
          </w:p>
        </w:tc>
        <w:tc>
          <w:tcPr>
            <w:tcW w:w="774" w:type="pct"/>
            <w:tcBorders>
              <w:top w:val="nil"/>
              <w:left w:val="nil"/>
              <w:bottom w:val="single" w:sz="8" w:space="0" w:color="FFFFFF"/>
              <w:right w:val="single" w:sz="8" w:space="0" w:color="FFFFFF"/>
            </w:tcBorders>
            <w:shd w:val="clear" w:color="000000" w:fill="D6EAAF"/>
            <w:noWrap/>
            <w:vAlign w:val="center"/>
            <w:hideMark/>
          </w:tcPr>
          <w:p w14:paraId="2A2D6EA9"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2,166,367,500</w:t>
            </w:r>
          </w:p>
        </w:tc>
        <w:tc>
          <w:tcPr>
            <w:tcW w:w="774" w:type="pct"/>
            <w:tcBorders>
              <w:top w:val="nil"/>
              <w:left w:val="nil"/>
              <w:bottom w:val="single" w:sz="8" w:space="0" w:color="FFFFFF"/>
              <w:right w:val="single" w:sz="8" w:space="0" w:color="FFFFFF"/>
            </w:tcBorders>
            <w:shd w:val="clear" w:color="000000" w:fill="D6EAAF"/>
            <w:noWrap/>
            <w:vAlign w:val="center"/>
            <w:hideMark/>
          </w:tcPr>
          <w:p w14:paraId="2BFB1D64"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5,095,003,500</w:t>
            </w:r>
          </w:p>
        </w:tc>
        <w:tc>
          <w:tcPr>
            <w:tcW w:w="774" w:type="pct"/>
            <w:tcBorders>
              <w:top w:val="nil"/>
              <w:left w:val="nil"/>
              <w:bottom w:val="single" w:sz="8" w:space="0" w:color="FFFFFF"/>
              <w:right w:val="single" w:sz="8" w:space="0" w:color="FFFFFF"/>
            </w:tcBorders>
            <w:shd w:val="clear" w:color="000000" w:fill="D6EAAF"/>
            <w:noWrap/>
            <w:vAlign w:val="center"/>
            <w:hideMark/>
          </w:tcPr>
          <w:p w14:paraId="5BA3508E"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7,452,612,000</w:t>
            </w:r>
          </w:p>
        </w:tc>
        <w:tc>
          <w:tcPr>
            <w:tcW w:w="824" w:type="pct"/>
            <w:tcBorders>
              <w:top w:val="nil"/>
              <w:left w:val="nil"/>
              <w:bottom w:val="single" w:sz="8" w:space="0" w:color="FFFFFF"/>
              <w:right w:val="single" w:sz="8" w:space="0" w:color="FFFFFF"/>
            </w:tcBorders>
            <w:shd w:val="clear" w:color="000000" w:fill="D6EAAF"/>
            <w:noWrap/>
            <w:vAlign w:val="center"/>
            <w:hideMark/>
          </w:tcPr>
          <w:p w14:paraId="23563F83"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2,420,457,000</w:t>
            </w:r>
          </w:p>
        </w:tc>
        <w:tc>
          <w:tcPr>
            <w:tcW w:w="774" w:type="pct"/>
            <w:tcBorders>
              <w:top w:val="nil"/>
              <w:left w:val="nil"/>
              <w:bottom w:val="single" w:sz="8" w:space="0" w:color="FFFFFF"/>
              <w:right w:val="single" w:sz="8" w:space="0" w:color="FFFFFF"/>
            </w:tcBorders>
            <w:shd w:val="clear" w:color="000000" w:fill="D6EAAF"/>
            <w:noWrap/>
            <w:vAlign w:val="center"/>
            <w:hideMark/>
          </w:tcPr>
          <w:p w14:paraId="3ECF5BF5"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3,206,326,500</w:t>
            </w:r>
          </w:p>
        </w:tc>
        <w:tc>
          <w:tcPr>
            <w:tcW w:w="774" w:type="pct"/>
            <w:tcBorders>
              <w:top w:val="nil"/>
              <w:left w:val="nil"/>
              <w:bottom w:val="single" w:sz="8" w:space="0" w:color="FFFFFF"/>
              <w:right w:val="single" w:sz="8" w:space="0" w:color="FFFFFF"/>
            </w:tcBorders>
            <w:shd w:val="clear" w:color="000000" w:fill="D6EAAF"/>
            <w:noWrap/>
            <w:vAlign w:val="center"/>
            <w:hideMark/>
          </w:tcPr>
          <w:p w14:paraId="340797E7"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849,167,250</w:t>
            </w:r>
          </w:p>
        </w:tc>
      </w:tr>
      <w:tr w:rsidR="00E8603D" w:rsidRPr="002946A9" w14:paraId="1C04F6C1"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21D3AD0F"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2</w:t>
            </w:r>
          </w:p>
        </w:tc>
        <w:tc>
          <w:tcPr>
            <w:tcW w:w="774" w:type="pct"/>
            <w:tcBorders>
              <w:top w:val="nil"/>
              <w:left w:val="nil"/>
              <w:bottom w:val="single" w:sz="8" w:space="0" w:color="FFFFFF"/>
              <w:right w:val="single" w:sz="8" w:space="0" w:color="FFFFFF"/>
            </w:tcBorders>
            <w:shd w:val="clear" w:color="000000" w:fill="EAF4D7"/>
            <w:noWrap/>
            <w:vAlign w:val="center"/>
            <w:hideMark/>
          </w:tcPr>
          <w:p w14:paraId="50A2E553"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EAF4D7"/>
            <w:noWrap/>
            <w:vAlign w:val="center"/>
            <w:hideMark/>
          </w:tcPr>
          <w:p w14:paraId="144488EE"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EAF4D7"/>
            <w:noWrap/>
            <w:vAlign w:val="center"/>
            <w:hideMark/>
          </w:tcPr>
          <w:p w14:paraId="2445DBE5"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824" w:type="pct"/>
            <w:tcBorders>
              <w:top w:val="nil"/>
              <w:left w:val="nil"/>
              <w:bottom w:val="single" w:sz="8" w:space="0" w:color="FFFFFF"/>
              <w:right w:val="single" w:sz="8" w:space="0" w:color="FFFFFF"/>
            </w:tcBorders>
            <w:shd w:val="clear" w:color="000000" w:fill="EAF4D7"/>
            <w:noWrap/>
            <w:vAlign w:val="center"/>
            <w:hideMark/>
          </w:tcPr>
          <w:p w14:paraId="271193F8"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EAF4D7"/>
            <w:noWrap/>
            <w:vAlign w:val="center"/>
            <w:hideMark/>
          </w:tcPr>
          <w:p w14:paraId="68665846"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EAF4D7"/>
            <w:noWrap/>
            <w:vAlign w:val="center"/>
            <w:hideMark/>
          </w:tcPr>
          <w:p w14:paraId="395564B3"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r>
      <w:tr w:rsidR="00E8603D" w:rsidRPr="002946A9" w14:paraId="1C1C7169"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057B07C8"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3</w:t>
            </w:r>
          </w:p>
        </w:tc>
        <w:tc>
          <w:tcPr>
            <w:tcW w:w="774" w:type="pct"/>
            <w:tcBorders>
              <w:top w:val="nil"/>
              <w:left w:val="nil"/>
              <w:bottom w:val="single" w:sz="8" w:space="0" w:color="FFFFFF"/>
              <w:right w:val="single" w:sz="8" w:space="0" w:color="FFFFFF"/>
            </w:tcBorders>
            <w:shd w:val="clear" w:color="000000" w:fill="D6EAAF"/>
            <w:noWrap/>
            <w:vAlign w:val="center"/>
            <w:hideMark/>
          </w:tcPr>
          <w:p w14:paraId="5BE649F0"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3,213,999,300</w:t>
            </w:r>
          </w:p>
        </w:tc>
        <w:tc>
          <w:tcPr>
            <w:tcW w:w="774" w:type="pct"/>
            <w:tcBorders>
              <w:top w:val="nil"/>
              <w:left w:val="nil"/>
              <w:bottom w:val="single" w:sz="8" w:space="0" w:color="FFFFFF"/>
              <w:right w:val="single" w:sz="8" w:space="0" w:color="FFFFFF"/>
            </w:tcBorders>
            <w:shd w:val="clear" w:color="000000" w:fill="D6EAAF"/>
            <w:noWrap/>
            <w:vAlign w:val="center"/>
            <w:hideMark/>
          </w:tcPr>
          <w:p w14:paraId="2CAF6490"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5,796,863,199</w:t>
            </w:r>
          </w:p>
        </w:tc>
        <w:tc>
          <w:tcPr>
            <w:tcW w:w="774" w:type="pct"/>
            <w:tcBorders>
              <w:top w:val="nil"/>
              <w:left w:val="nil"/>
              <w:bottom w:val="single" w:sz="8" w:space="0" w:color="FFFFFF"/>
              <w:right w:val="single" w:sz="8" w:space="0" w:color="FFFFFF"/>
            </w:tcBorders>
            <w:shd w:val="clear" w:color="000000" w:fill="D6EAAF"/>
            <w:noWrap/>
            <w:vAlign w:val="center"/>
            <w:hideMark/>
          </w:tcPr>
          <w:p w14:paraId="5FB1C320"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4,948,804,204</w:t>
            </w:r>
          </w:p>
        </w:tc>
        <w:tc>
          <w:tcPr>
            <w:tcW w:w="824" w:type="pct"/>
            <w:tcBorders>
              <w:top w:val="nil"/>
              <w:left w:val="nil"/>
              <w:bottom w:val="single" w:sz="8" w:space="0" w:color="FFFFFF"/>
              <w:right w:val="single" w:sz="8" w:space="0" w:color="FFFFFF"/>
            </w:tcBorders>
            <w:shd w:val="clear" w:color="000000" w:fill="D6EAAF"/>
            <w:noWrap/>
            <w:vAlign w:val="center"/>
            <w:hideMark/>
          </w:tcPr>
          <w:p w14:paraId="41978229"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4,390,126,060</w:t>
            </w:r>
          </w:p>
        </w:tc>
        <w:tc>
          <w:tcPr>
            <w:tcW w:w="774" w:type="pct"/>
            <w:tcBorders>
              <w:top w:val="nil"/>
              <w:left w:val="nil"/>
              <w:bottom w:val="single" w:sz="8" w:space="0" w:color="FFFFFF"/>
              <w:right w:val="single" w:sz="8" w:space="0" w:color="FFFFFF"/>
            </w:tcBorders>
            <w:shd w:val="clear" w:color="000000" w:fill="D6EAAF"/>
            <w:noWrap/>
            <w:vAlign w:val="center"/>
            <w:hideMark/>
          </w:tcPr>
          <w:p w14:paraId="6C692912"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1,312,522,586</w:t>
            </w:r>
          </w:p>
        </w:tc>
        <w:tc>
          <w:tcPr>
            <w:tcW w:w="774" w:type="pct"/>
            <w:tcBorders>
              <w:top w:val="nil"/>
              <w:left w:val="nil"/>
              <w:bottom w:val="single" w:sz="8" w:space="0" w:color="FFFFFF"/>
              <w:right w:val="single" w:sz="8" w:space="0" w:color="FFFFFF"/>
            </w:tcBorders>
            <w:shd w:val="clear" w:color="000000" w:fill="D6EAAF"/>
            <w:noWrap/>
            <w:vAlign w:val="center"/>
            <w:hideMark/>
          </w:tcPr>
          <w:p w14:paraId="19599100"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1,684,480,000</w:t>
            </w:r>
          </w:p>
        </w:tc>
      </w:tr>
      <w:tr w:rsidR="00E8603D" w:rsidRPr="002946A9" w14:paraId="5FB73F9C"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0A379CC5"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4</w:t>
            </w:r>
          </w:p>
        </w:tc>
        <w:tc>
          <w:tcPr>
            <w:tcW w:w="774" w:type="pct"/>
            <w:tcBorders>
              <w:top w:val="nil"/>
              <w:left w:val="nil"/>
              <w:bottom w:val="single" w:sz="8" w:space="0" w:color="FFFFFF"/>
              <w:right w:val="single" w:sz="8" w:space="0" w:color="FFFFFF"/>
            </w:tcBorders>
            <w:shd w:val="clear" w:color="000000" w:fill="EAF4D7"/>
            <w:noWrap/>
            <w:vAlign w:val="center"/>
            <w:hideMark/>
          </w:tcPr>
          <w:p w14:paraId="1285D9F5"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1,391,232,962</w:t>
            </w:r>
          </w:p>
        </w:tc>
        <w:tc>
          <w:tcPr>
            <w:tcW w:w="774" w:type="pct"/>
            <w:tcBorders>
              <w:top w:val="nil"/>
              <w:left w:val="nil"/>
              <w:bottom w:val="single" w:sz="8" w:space="0" w:color="FFFFFF"/>
              <w:right w:val="single" w:sz="8" w:space="0" w:color="FFFFFF"/>
            </w:tcBorders>
            <w:shd w:val="clear" w:color="000000" w:fill="EAF4D7"/>
            <w:noWrap/>
            <w:vAlign w:val="center"/>
            <w:hideMark/>
          </w:tcPr>
          <w:p w14:paraId="34073BCF"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1,948,577,404</w:t>
            </w:r>
          </w:p>
        </w:tc>
        <w:tc>
          <w:tcPr>
            <w:tcW w:w="774" w:type="pct"/>
            <w:tcBorders>
              <w:top w:val="nil"/>
              <w:left w:val="nil"/>
              <w:bottom w:val="single" w:sz="8" w:space="0" w:color="FFFFFF"/>
              <w:right w:val="single" w:sz="8" w:space="0" w:color="FFFFFF"/>
            </w:tcBorders>
            <w:shd w:val="clear" w:color="000000" w:fill="EAF4D7"/>
            <w:noWrap/>
            <w:vAlign w:val="center"/>
            <w:hideMark/>
          </w:tcPr>
          <w:p w14:paraId="148E49B2"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1,668,982,836</w:t>
            </w:r>
          </w:p>
        </w:tc>
        <w:tc>
          <w:tcPr>
            <w:tcW w:w="824" w:type="pct"/>
            <w:tcBorders>
              <w:top w:val="nil"/>
              <w:left w:val="nil"/>
              <w:bottom w:val="single" w:sz="8" w:space="0" w:color="FFFFFF"/>
              <w:right w:val="single" w:sz="8" w:space="0" w:color="FFFFFF"/>
            </w:tcBorders>
            <w:shd w:val="clear" w:color="000000" w:fill="EAF4D7"/>
            <w:noWrap/>
            <w:vAlign w:val="center"/>
            <w:hideMark/>
          </w:tcPr>
          <w:p w14:paraId="31ADEECF"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3,297,688,559</w:t>
            </w:r>
          </w:p>
        </w:tc>
        <w:tc>
          <w:tcPr>
            <w:tcW w:w="774" w:type="pct"/>
            <w:tcBorders>
              <w:top w:val="nil"/>
              <w:left w:val="nil"/>
              <w:bottom w:val="single" w:sz="8" w:space="0" w:color="FFFFFF"/>
              <w:right w:val="single" w:sz="8" w:space="0" w:color="FFFFFF"/>
            </w:tcBorders>
            <w:shd w:val="clear" w:color="000000" w:fill="EAF4D7"/>
            <w:noWrap/>
            <w:vAlign w:val="center"/>
            <w:hideMark/>
          </w:tcPr>
          <w:p w14:paraId="78AF3710"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1,823,660,000</w:t>
            </w:r>
          </w:p>
        </w:tc>
        <w:tc>
          <w:tcPr>
            <w:tcW w:w="774" w:type="pct"/>
            <w:tcBorders>
              <w:top w:val="nil"/>
              <w:left w:val="nil"/>
              <w:bottom w:val="single" w:sz="8" w:space="0" w:color="FFFFFF"/>
              <w:right w:val="single" w:sz="8" w:space="0" w:color="FFFFFF"/>
            </w:tcBorders>
            <w:shd w:val="clear" w:color="000000" w:fill="EAF4D7"/>
            <w:noWrap/>
            <w:vAlign w:val="center"/>
            <w:hideMark/>
          </w:tcPr>
          <w:p w14:paraId="74E06608"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594,150,000</w:t>
            </w:r>
          </w:p>
        </w:tc>
      </w:tr>
      <w:tr w:rsidR="00E8603D" w:rsidRPr="002946A9" w14:paraId="29C41000"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14102382"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5</w:t>
            </w:r>
          </w:p>
        </w:tc>
        <w:tc>
          <w:tcPr>
            <w:tcW w:w="774" w:type="pct"/>
            <w:tcBorders>
              <w:top w:val="nil"/>
              <w:left w:val="nil"/>
              <w:bottom w:val="single" w:sz="8" w:space="0" w:color="FFFFFF"/>
              <w:right w:val="single" w:sz="8" w:space="0" w:color="FFFFFF"/>
            </w:tcBorders>
            <w:shd w:val="clear" w:color="000000" w:fill="D6EAAF"/>
            <w:noWrap/>
            <w:vAlign w:val="center"/>
            <w:hideMark/>
          </w:tcPr>
          <w:p w14:paraId="4A2EF1EA"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70,896,000</w:t>
            </w:r>
          </w:p>
        </w:tc>
        <w:tc>
          <w:tcPr>
            <w:tcW w:w="774" w:type="pct"/>
            <w:tcBorders>
              <w:top w:val="nil"/>
              <w:left w:val="nil"/>
              <w:bottom w:val="single" w:sz="8" w:space="0" w:color="FFFFFF"/>
              <w:right w:val="single" w:sz="8" w:space="0" w:color="FFFFFF"/>
            </w:tcBorders>
            <w:shd w:val="clear" w:color="000000" w:fill="D6EAAF"/>
            <w:noWrap/>
            <w:vAlign w:val="center"/>
            <w:hideMark/>
          </w:tcPr>
          <w:p w14:paraId="060386FC"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141,792,000</w:t>
            </w:r>
          </w:p>
        </w:tc>
        <w:tc>
          <w:tcPr>
            <w:tcW w:w="774" w:type="pct"/>
            <w:tcBorders>
              <w:top w:val="nil"/>
              <w:left w:val="nil"/>
              <w:bottom w:val="single" w:sz="8" w:space="0" w:color="FFFFFF"/>
              <w:right w:val="single" w:sz="8" w:space="0" w:color="FFFFFF"/>
            </w:tcBorders>
            <w:shd w:val="clear" w:color="000000" w:fill="D6EAAF"/>
            <w:noWrap/>
            <w:vAlign w:val="center"/>
            <w:hideMark/>
          </w:tcPr>
          <w:p w14:paraId="505E3761"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230,412,000</w:t>
            </w:r>
          </w:p>
        </w:tc>
        <w:tc>
          <w:tcPr>
            <w:tcW w:w="824" w:type="pct"/>
            <w:tcBorders>
              <w:top w:val="nil"/>
              <w:left w:val="nil"/>
              <w:bottom w:val="single" w:sz="8" w:space="0" w:color="FFFFFF"/>
              <w:right w:val="single" w:sz="8" w:space="0" w:color="FFFFFF"/>
            </w:tcBorders>
            <w:shd w:val="clear" w:color="000000" w:fill="D6EAAF"/>
            <w:noWrap/>
            <w:vAlign w:val="center"/>
            <w:hideMark/>
          </w:tcPr>
          <w:p w14:paraId="497F692B"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329,584,000</w:t>
            </w:r>
          </w:p>
        </w:tc>
        <w:tc>
          <w:tcPr>
            <w:tcW w:w="774" w:type="pct"/>
            <w:tcBorders>
              <w:top w:val="nil"/>
              <w:left w:val="nil"/>
              <w:bottom w:val="single" w:sz="8" w:space="0" w:color="FFFFFF"/>
              <w:right w:val="single" w:sz="8" w:space="0" w:color="FFFFFF"/>
            </w:tcBorders>
            <w:shd w:val="clear" w:color="000000" w:fill="D6EAAF"/>
            <w:noWrap/>
            <w:vAlign w:val="center"/>
            <w:hideMark/>
          </w:tcPr>
          <w:p w14:paraId="37F263CC"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177,240,000</w:t>
            </w:r>
          </w:p>
        </w:tc>
        <w:tc>
          <w:tcPr>
            <w:tcW w:w="774" w:type="pct"/>
            <w:tcBorders>
              <w:top w:val="nil"/>
              <w:left w:val="nil"/>
              <w:bottom w:val="single" w:sz="8" w:space="0" w:color="FFFFFF"/>
              <w:right w:val="single" w:sz="8" w:space="0" w:color="FFFFFF"/>
            </w:tcBorders>
            <w:shd w:val="clear" w:color="000000" w:fill="D6EAAF"/>
            <w:noWrap/>
            <w:vAlign w:val="center"/>
            <w:hideMark/>
          </w:tcPr>
          <w:p w14:paraId="68EB6665"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r>
      <w:tr w:rsidR="00E8603D" w:rsidRPr="002946A9" w14:paraId="2EFDAB46"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61A6ABA3"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6</w:t>
            </w:r>
          </w:p>
        </w:tc>
        <w:tc>
          <w:tcPr>
            <w:tcW w:w="774" w:type="pct"/>
            <w:tcBorders>
              <w:top w:val="nil"/>
              <w:left w:val="nil"/>
              <w:bottom w:val="single" w:sz="8" w:space="0" w:color="FFFFFF"/>
              <w:right w:val="single" w:sz="8" w:space="0" w:color="FFFFFF"/>
            </w:tcBorders>
            <w:shd w:val="clear" w:color="000000" w:fill="EAF4D7"/>
            <w:noWrap/>
            <w:vAlign w:val="center"/>
            <w:hideMark/>
          </w:tcPr>
          <w:p w14:paraId="52136BAC"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804,412,129</w:t>
            </w:r>
          </w:p>
        </w:tc>
        <w:tc>
          <w:tcPr>
            <w:tcW w:w="774" w:type="pct"/>
            <w:tcBorders>
              <w:top w:val="nil"/>
              <w:left w:val="nil"/>
              <w:bottom w:val="single" w:sz="8" w:space="0" w:color="FFFFFF"/>
              <w:right w:val="single" w:sz="8" w:space="0" w:color="FFFFFF"/>
            </w:tcBorders>
            <w:shd w:val="clear" w:color="000000" w:fill="EAF4D7"/>
            <w:noWrap/>
            <w:vAlign w:val="center"/>
            <w:hideMark/>
          </w:tcPr>
          <w:p w14:paraId="4E168F0F"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657,865,316</w:t>
            </w:r>
          </w:p>
        </w:tc>
        <w:tc>
          <w:tcPr>
            <w:tcW w:w="774" w:type="pct"/>
            <w:tcBorders>
              <w:top w:val="nil"/>
              <w:left w:val="nil"/>
              <w:bottom w:val="single" w:sz="8" w:space="0" w:color="FFFFFF"/>
              <w:right w:val="single" w:sz="8" w:space="0" w:color="FFFFFF"/>
            </w:tcBorders>
            <w:shd w:val="clear" w:color="000000" w:fill="EAF4D7"/>
            <w:noWrap/>
            <w:vAlign w:val="center"/>
            <w:hideMark/>
          </w:tcPr>
          <w:p w14:paraId="527B09AA"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1,667,593,187</w:t>
            </w:r>
          </w:p>
        </w:tc>
        <w:tc>
          <w:tcPr>
            <w:tcW w:w="824" w:type="pct"/>
            <w:tcBorders>
              <w:top w:val="nil"/>
              <w:left w:val="nil"/>
              <w:bottom w:val="single" w:sz="8" w:space="0" w:color="FFFFFF"/>
              <w:right w:val="single" w:sz="8" w:space="0" w:color="FFFFFF"/>
            </w:tcBorders>
            <w:shd w:val="clear" w:color="000000" w:fill="EAF4D7"/>
            <w:noWrap/>
            <w:vAlign w:val="center"/>
            <w:hideMark/>
          </w:tcPr>
          <w:p w14:paraId="552EA915"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2,016,012,190</w:t>
            </w:r>
          </w:p>
        </w:tc>
        <w:tc>
          <w:tcPr>
            <w:tcW w:w="774" w:type="pct"/>
            <w:tcBorders>
              <w:top w:val="nil"/>
              <w:left w:val="nil"/>
              <w:bottom w:val="single" w:sz="8" w:space="0" w:color="FFFFFF"/>
              <w:right w:val="single" w:sz="8" w:space="0" w:color="FFFFFF"/>
            </w:tcBorders>
            <w:shd w:val="clear" w:color="000000" w:fill="EAF4D7"/>
            <w:noWrap/>
            <w:vAlign w:val="center"/>
            <w:hideMark/>
          </w:tcPr>
          <w:p w14:paraId="7A195ACD"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750,681,000</w:t>
            </w:r>
          </w:p>
        </w:tc>
        <w:tc>
          <w:tcPr>
            <w:tcW w:w="774" w:type="pct"/>
            <w:tcBorders>
              <w:top w:val="nil"/>
              <w:left w:val="nil"/>
              <w:bottom w:val="single" w:sz="8" w:space="0" w:color="FFFFFF"/>
              <w:right w:val="single" w:sz="8" w:space="0" w:color="FFFFFF"/>
            </w:tcBorders>
            <w:shd w:val="clear" w:color="000000" w:fill="EAF4D7"/>
            <w:noWrap/>
            <w:vAlign w:val="center"/>
            <w:hideMark/>
          </w:tcPr>
          <w:p w14:paraId="39BD51F3"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530,481,000</w:t>
            </w:r>
          </w:p>
        </w:tc>
      </w:tr>
      <w:tr w:rsidR="00E8603D" w:rsidRPr="002946A9" w14:paraId="5228740F"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54A067A8"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7</w:t>
            </w:r>
          </w:p>
        </w:tc>
        <w:tc>
          <w:tcPr>
            <w:tcW w:w="774" w:type="pct"/>
            <w:tcBorders>
              <w:top w:val="nil"/>
              <w:left w:val="nil"/>
              <w:bottom w:val="single" w:sz="8" w:space="0" w:color="FFFFFF"/>
              <w:right w:val="single" w:sz="8" w:space="0" w:color="FFFFFF"/>
            </w:tcBorders>
            <w:shd w:val="clear" w:color="000000" w:fill="D6EAAF"/>
            <w:noWrap/>
            <w:vAlign w:val="center"/>
            <w:hideMark/>
          </w:tcPr>
          <w:p w14:paraId="28B57FF5"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51,114,611,645</w:t>
            </w:r>
          </w:p>
        </w:tc>
        <w:tc>
          <w:tcPr>
            <w:tcW w:w="774" w:type="pct"/>
            <w:tcBorders>
              <w:top w:val="nil"/>
              <w:left w:val="nil"/>
              <w:bottom w:val="single" w:sz="8" w:space="0" w:color="FFFFFF"/>
              <w:right w:val="single" w:sz="8" w:space="0" w:color="FFFFFF"/>
            </w:tcBorders>
            <w:shd w:val="clear" w:color="000000" w:fill="D6EAAF"/>
            <w:noWrap/>
            <w:vAlign w:val="center"/>
            <w:hideMark/>
          </w:tcPr>
          <w:p w14:paraId="55FAB15F"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22,629,769,533</w:t>
            </w:r>
          </w:p>
        </w:tc>
        <w:tc>
          <w:tcPr>
            <w:tcW w:w="774" w:type="pct"/>
            <w:tcBorders>
              <w:top w:val="nil"/>
              <w:left w:val="nil"/>
              <w:bottom w:val="single" w:sz="8" w:space="0" w:color="FFFFFF"/>
              <w:right w:val="single" w:sz="8" w:space="0" w:color="FFFFFF"/>
            </w:tcBorders>
            <w:shd w:val="clear" w:color="000000" w:fill="D6EAAF"/>
            <w:noWrap/>
            <w:vAlign w:val="center"/>
            <w:hideMark/>
          </w:tcPr>
          <w:p w14:paraId="0D735B69"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25,708,330,253</w:t>
            </w:r>
          </w:p>
        </w:tc>
        <w:tc>
          <w:tcPr>
            <w:tcW w:w="824" w:type="pct"/>
            <w:tcBorders>
              <w:top w:val="nil"/>
              <w:left w:val="nil"/>
              <w:bottom w:val="single" w:sz="8" w:space="0" w:color="FFFFFF"/>
              <w:right w:val="single" w:sz="8" w:space="0" w:color="FFFFFF"/>
            </w:tcBorders>
            <w:shd w:val="clear" w:color="000000" w:fill="D6EAAF"/>
            <w:noWrap/>
            <w:vAlign w:val="center"/>
            <w:hideMark/>
          </w:tcPr>
          <w:p w14:paraId="1D869314"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34,736,787,693</w:t>
            </w:r>
          </w:p>
        </w:tc>
        <w:tc>
          <w:tcPr>
            <w:tcW w:w="774" w:type="pct"/>
            <w:tcBorders>
              <w:top w:val="nil"/>
              <w:left w:val="nil"/>
              <w:bottom w:val="single" w:sz="8" w:space="0" w:color="FFFFFF"/>
              <w:right w:val="single" w:sz="8" w:space="0" w:color="FFFFFF"/>
            </w:tcBorders>
            <w:shd w:val="clear" w:color="000000" w:fill="D6EAAF"/>
            <w:noWrap/>
            <w:vAlign w:val="center"/>
            <w:hideMark/>
          </w:tcPr>
          <w:p w14:paraId="4EC52821"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31,501,588,167</w:t>
            </w:r>
          </w:p>
        </w:tc>
        <w:tc>
          <w:tcPr>
            <w:tcW w:w="774" w:type="pct"/>
            <w:tcBorders>
              <w:top w:val="nil"/>
              <w:left w:val="nil"/>
              <w:bottom w:val="single" w:sz="8" w:space="0" w:color="FFFFFF"/>
              <w:right w:val="single" w:sz="8" w:space="0" w:color="FFFFFF"/>
            </w:tcBorders>
            <w:shd w:val="clear" w:color="000000" w:fill="D6EAAF"/>
            <w:noWrap/>
            <w:vAlign w:val="center"/>
            <w:hideMark/>
          </w:tcPr>
          <w:p w14:paraId="7CA146DD"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19,067,447,865</w:t>
            </w:r>
          </w:p>
        </w:tc>
      </w:tr>
      <w:tr w:rsidR="00E8603D" w:rsidRPr="002946A9" w14:paraId="2E83B027"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74F95350"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8</w:t>
            </w:r>
          </w:p>
        </w:tc>
        <w:tc>
          <w:tcPr>
            <w:tcW w:w="774" w:type="pct"/>
            <w:tcBorders>
              <w:top w:val="nil"/>
              <w:left w:val="nil"/>
              <w:bottom w:val="single" w:sz="8" w:space="0" w:color="FFFFFF"/>
              <w:right w:val="single" w:sz="8" w:space="0" w:color="FFFFFF"/>
            </w:tcBorders>
            <w:shd w:val="clear" w:color="000000" w:fill="EAF4D7"/>
            <w:noWrap/>
            <w:vAlign w:val="center"/>
            <w:hideMark/>
          </w:tcPr>
          <w:p w14:paraId="1BFE2B89"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77,835,000</w:t>
            </w:r>
          </w:p>
        </w:tc>
        <w:tc>
          <w:tcPr>
            <w:tcW w:w="774" w:type="pct"/>
            <w:tcBorders>
              <w:top w:val="nil"/>
              <w:left w:val="nil"/>
              <w:bottom w:val="single" w:sz="8" w:space="0" w:color="FFFFFF"/>
              <w:right w:val="single" w:sz="8" w:space="0" w:color="FFFFFF"/>
            </w:tcBorders>
            <w:shd w:val="clear" w:color="000000" w:fill="EAF4D7"/>
            <w:noWrap/>
            <w:vAlign w:val="center"/>
            <w:hideMark/>
          </w:tcPr>
          <w:p w14:paraId="00D8E9D6"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68,292,723</w:t>
            </w:r>
          </w:p>
        </w:tc>
        <w:tc>
          <w:tcPr>
            <w:tcW w:w="774" w:type="pct"/>
            <w:tcBorders>
              <w:top w:val="nil"/>
              <w:left w:val="nil"/>
              <w:bottom w:val="single" w:sz="8" w:space="0" w:color="FFFFFF"/>
              <w:right w:val="single" w:sz="8" w:space="0" w:color="FFFFFF"/>
            </w:tcBorders>
            <w:shd w:val="clear" w:color="000000" w:fill="EAF4D7"/>
            <w:noWrap/>
            <w:vAlign w:val="center"/>
            <w:hideMark/>
          </w:tcPr>
          <w:p w14:paraId="1C8F59A9"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229,345,435</w:t>
            </w:r>
          </w:p>
        </w:tc>
        <w:tc>
          <w:tcPr>
            <w:tcW w:w="824" w:type="pct"/>
            <w:tcBorders>
              <w:top w:val="nil"/>
              <w:left w:val="nil"/>
              <w:bottom w:val="single" w:sz="8" w:space="0" w:color="FFFFFF"/>
              <w:right w:val="single" w:sz="8" w:space="0" w:color="FFFFFF"/>
            </w:tcBorders>
            <w:shd w:val="clear" w:color="000000" w:fill="EAF4D7"/>
            <w:noWrap/>
            <w:vAlign w:val="center"/>
            <w:hideMark/>
          </w:tcPr>
          <w:p w14:paraId="426F7499"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1,691,326,227</w:t>
            </w:r>
          </w:p>
        </w:tc>
        <w:tc>
          <w:tcPr>
            <w:tcW w:w="774" w:type="pct"/>
            <w:tcBorders>
              <w:top w:val="nil"/>
              <w:left w:val="nil"/>
              <w:bottom w:val="single" w:sz="8" w:space="0" w:color="FFFFFF"/>
              <w:right w:val="single" w:sz="8" w:space="0" w:color="FFFFFF"/>
            </w:tcBorders>
            <w:shd w:val="clear" w:color="000000" w:fill="EAF4D7"/>
            <w:noWrap/>
            <w:vAlign w:val="center"/>
            <w:hideMark/>
          </w:tcPr>
          <w:p w14:paraId="48D8EC82"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392,969,538</w:t>
            </w:r>
          </w:p>
        </w:tc>
        <w:tc>
          <w:tcPr>
            <w:tcW w:w="774" w:type="pct"/>
            <w:tcBorders>
              <w:top w:val="nil"/>
              <w:left w:val="nil"/>
              <w:bottom w:val="single" w:sz="8" w:space="0" w:color="FFFFFF"/>
              <w:right w:val="single" w:sz="8" w:space="0" w:color="FFFFFF"/>
            </w:tcBorders>
            <w:shd w:val="clear" w:color="000000" w:fill="EAF4D7"/>
            <w:noWrap/>
            <w:vAlign w:val="center"/>
            <w:hideMark/>
          </w:tcPr>
          <w:p w14:paraId="44F60DFE"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252,789,955</w:t>
            </w:r>
          </w:p>
        </w:tc>
      </w:tr>
      <w:tr w:rsidR="00E8603D" w:rsidRPr="002946A9" w14:paraId="07AE027D"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0D098AB5"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9</w:t>
            </w:r>
          </w:p>
        </w:tc>
        <w:tc>
          <w:tcPr>
            <w:tcW w:w="774" w:type="pct"/>
            <w:tcBorders>
              <w:top w:val="nil"/>
              <w:left w:val="nil"/>
              <w:bottom w:val="single" w:sz="8" w:space="0" w:color="FFFFFF"/>
              <w:right w:val="single" w:sz="8" w:space="0" w:color="FFFFFF"/>
            </w:tcBorders>
            <w:shd w:val="clear" w:color="000000" w:fill="D6EAAF"/>
            <w:noWrap/>
            <w:vAlign w:val="center"/>
            <w:hideMark/>
          </w:tcPr>
          <w:p w14:paraId="421B009E"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2,095,250,000</w:t>
            </w:r>
          </w:p>
        </w:tc>
        <w:tc>
          <w:tcPr>
            <w:tcW w:w="774" w:type="pct"/>
            <w:tcBorders>
              <w:top w:val="nil"/>
              <w:left w:val="nil"/>
              <w:bottom w:val="single" w:sz="8" w:space="0" w:color="FFFFFF"/>
              <w:right w:val="single" w:sz="8" w:space="0" w:color="FFFFFF"/>
            </w:tcBorders>
            <w:shd w:val="clear" w:color="000000" w:fill="D6EAAF"/>
            <w:noWrap/>
            <w:vAlign w:val="center"/>
            <w:hideMark/>
          </w:tcPr>
          <w:p w14:paraId="20F39673"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2,192,054,000</w:t>
            </w:r>
          </w:p>
        </w:tc>
        <w:tc>
          <w:tcPr>
            <w:tcW w:w="774" w:type="pct"/>
            <w:tcBorders>
              <w:top w:val="nil"/>
              <w:left w:val="nil"/>
              <w:bottom w:val="single" w:sz="8" w:space="0" w:color="FFFFFF"/>
              <w:right w:val="single" w:sz="8" w:space="0" w:color="FFFFFF"/>
            </w:tcBorders>
            <w:shd w:val="clear" w:color="000000" w:fill="D6EAAF"/>
            <w:noWrap/>
            <w:vAlign w:val="center"/>
            <w:hideMark/>
          </w:tcPr>
          <w:p w14:paraId="3BDF8694"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1,556,985,000</w:t>
            </w:r>
          </w:p>
        </w:tc>
        <w:tc>
          <w:tcPr>
            <w:tcW w:w="824" w:type="pct"/>
            <w:tcBorders>
              <w:top w:val="nil"/>
              <w:left w:val="nil"/>
              <w:bottom w:val="single" w:sz="8" w:space="0" w:color="FFFFFF"/>
              <w:right w:val="single" w:sz="8" w:space="0" w:color="FFFFFF"/>
            </w:tcBorders>
            <w:shd w:val="clear" w:color="000000" w:fill="D6EAAF"/>
            <w:noWrap/>
            <w:vAlign w:val="center"/>
            <w:hideMark/>
          </w:tcPr>
          <w:p w14:paraId="093ABC94"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2,579,607,490</w:t>
            </w:r>
          </w:p>
        </w:tc>
        <w:tc>
          <w:tcPr>
            <w:tcW w:w="774" w:type="pct"/>
            <w:tcBorders>
              <w:top w:val="nil"/>
              <w:left w:val="nil"/>
              <w:bottom w:val="single" w:sz="8" w:space="0" w:color="FFFFFF"/>
              <w:right w:val="single" w:sz="8" w:space="0" w:color="FFFFFF"/>
            </w:tcBorders>
            <w:shd w:val="clear" w:color="000000" w:fill="D6EAAF"/>
            <w:noWrap/>
            <w:vAlign w:val="center"/>
            <w:hideMark/>
          </w:tcPr>
          <w:p w14:paraId="2D6120F4"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1,798,350,000</w:t>
            </w:r>
          </w:p>
        </w:tc>
        <w:tc>
          <w:tcPr>
            <w:tcW w:w="774" w:type="pct"/>
            <w:tcBorders>
              <w:top w:val="nil"/>
              <w:left w:val="nil"/>
              <w:bottom w:val="single" w:sz="8" w:space="0" w:color="FFFFFF"/>
              <w:right w:val="single" w:sz="8" w:space="0" w:color="FFFFFF"/>
            </w:tcBorders>
            <w:shd w:val="clear" w:color="000000" w:fill="D6EAAF"/>
            <w:noWrap/>
            <w:vAlign w:val="center"/>
            <w:hideMark/>
          </w:tcPr>
          <w:p w14:paraId="023A0A69"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1,668,963,000</w:t>
            </w:r>
          </w:p>
        </w:tc>
      </w:tr>
      <w:tr w:rsidR="007D65E3" w:rsidRPr="002946A9" w14:paraId="18B53809"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39A22C8F" w14:textId="77777777" w:rsidR="007D65E3" w:rsidRPr="002946A9" w:rsidRDefault="007D65E3" w:rsidP="007D65E3">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10</w:t>
            </w:r>
          </w:p>
        </w:tc>
        <w:tc>
          <w:tcPr>
            <w:tcW w:w="774" w:type="pct"/>
            <w:tcBorders>
              <w:top w:val="nil"/>
              <w:left w:val="nil"/>
              <w:bottom w:val="single" w:sz="8" w:space="0" w:color="FFFFFF"/>
              <w:right w:val="single" w:sz="8" w:space="0" w:color="FFFFFF"/>
            </w:tcBorders>
            <w:shd w:val="clear" w:color="000000" w:fill="EAF4D7"/>
            <w:noWrap/>
            <w:vAlign w:val="center"/>
            <w:hideMark/>
          </w:tcPr>
          <w:p w14:paraId="1D944ECC" w14:textId="77777777" w:rsidR="007D65E3" w:rsidRPr="002946A9" w:rsidRDefault="007D65E3" w:rsidP="007D65E3">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2,094,200,705</w:t>
            </w:r>
          </w:p>
        </w:tc>
        <w:tc>
          <w:tcPr>
            <w:tcW w:w="774" w:type="pct"/>
            <w:tcBorders>
              <w:top w:val="nil"/>
              <w:left w:val="nil"/>
              <w:bottom w:val="single" w:sz="8" w:space="0" w:color="FFFFFF"/>
              <w:right w:val="single" w:sz="8" w:space="0" w:color="FFFFFF"/>
            </w:tcBorders>
            <w:shd w:val="clear" w:color="000000" w:fill="EAF4D7"/>
            <w:noWrap/>
            <w:vAlign w:val="center"/>
            <w:hideMark/>
          </w:tcPr>
          <w:p w14:paraId="5D9F9F08" w14:textId="77777777" w:rsidR="007D65E3" w:rsidRPr="002946A9" w:rsidRDefault="007D65E3" w:rsidP="007D65E3">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9,377,353,465</w:t>
            </w:r>
          </w:p>
        </w:tc>
        <w:tc>
          <w:tcPr>
            <w:tcW w:w="774" w:type="pct"/>
            <w:tcBorders>
              <w:top w:val="nil"/>
              <w:left w:val="nil"/>
              <w:bottom w:val="single" w:sz="8" w:space="0" w:color="FFFFFF"/>
              <w:right w:val="single" w:sz="8" w:space="0" w:color="FFFFFF"/>
            </w:tcBorders>
            <w:shd w:val="clear" w:color="000000" w:fill="EAF4D7"/>
            <w:noWrap/>
            <w:vAlign w:val="center"/>
            <w:hideMark/>
          </w:tcPr>
          <w:p w14:paraId="4FA4D537" w14:textId="77777777" w:rsidR="007D65E3" w:rsidRPr="002946A9" w:rsidRDefault="007D65E3" w:rsidP="007D65E3">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3,361,046,765</w:t>
            </w:r>
          </w:p>
        </w:tc>
        <w:tc>
          <w:tcPr>
            <w:tcW w:w="824" w:type="pct"/>
            <w:tcBorders>
              <w:top w:val="nil"/>
              <w:left w:val="nil"/>
              <w:bottom w:val="single" w:sz="8" w:space="0" w:color="FFFFFF"/>
              <w:right w:val="single" w:sz="8" w:space="0" w:color="FFFFFF"/>
            </w:tcBorders>
            <w:shd w:val="clear" w:color="000000" w:fill="EAF4D7"/>
            <w:noWrap/>
            <w:vAlign w:val="center"/>
            <w:hideMark/>
          </w:tcPr>
          <w:p w14:paraId="01947A9F" w14:textId="538642A6" w:rsidR="007D65E3" w:rsidRPr="002946A9" w:rsidRDefault="007D65E3" w:rsidP="007D65E3">
            <w:pPr>
              <w:spacing w:after="0" w:line="240" w:lineRule="auto"/>
              <w:jc w:val="right"/>
              <w:rPr>
                <w:rFonts w:ascii="Trebuchet MS" w:eastAsia="Times New Roman" w:hAnsi="Trebuchet MS" w:cs="Calibri"/>
                <w:color w:val="000000"/>
                <w:sz w:val="14"/>
                <w:szCs w:val="14"/>
                <w:lang w:eastAsia="es-CO"/>
              </w:rPr>
            </w:pPr>
            <w:r>
              <w:rPr>
                <w:rFonts w:ascii="Trebuchet MS" w:hAnsi="Trebuchet MS" w:cs="Calibri"/>
                <w:color w:val="000000"/>
                <w:sz w:val="14"/>
                <w:szCs w:val="14"/>
              </w:rPr>
              <w:t>7,816,535,857</w:t>
            </w:r>
          </w:p>
        </w:tc>
        <w:tc>
          <w:tcPr>
            <w:tcW w:w="774" w:type="pct"/>
            <w:tcBorders>
              <w:top w:val="nil"/>
              <w:left w:val="nil"/>
              <w:bottom w:val="single" w:sz="8" w:space="0" w:color="FFFFFF"/>
              <w:right w:val="single" w:sz="8" w:space="0" w:color="FFFFFF"/>
            </w:tcBorders>
            <w:shd w:val="clear" w:color="000000" w:fill="EAF4D7"/>
            <w:noWrap/>
            <w:vAlign w:val="center"/>
            <w:hideMark/>
          </w:tcPr>
          <w:p w14:paraId="3830DEDC" w14:textId="77777777" w:rsidR="007D65E3" w:rsidRPr="002946A9" w:rsidRDefault="007D65E3" w:rsidP="007D65E3">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10,452,907,333</w:t>
            </w:r>
          </w:p>
        </w:tc>
        <w:tc>
          <w:tcPr>
            <w:tcW w:w="774" w:type="pct"/>
            <w:tcBorders>
              <w:top w:val="nil"/>
              <w:left w:val="nil"/>
              <w:bottom w:val="single" w:sz="8" w:space="0" w:color="FFFFFF"/>
              <w:right w:val="single" w:sz="8" w:space="0" w:color="FFFFFF"/>
            </w:tcBorders>
            <w:shd w:val="clear" w:color="000000" w:fill="EAF4D7"/>
            <w:noWrap/>
            <w:vAlign w:val="center"/>
            <w:hideMark/>
          </w:tcPr>
          <w:p w14:paraId="45E26122" w14:textId="77777777" w:rsidR="007D65E3" w:rsidRPr="002946A9" w:rsidRDefault="007D65E3" w:rsidP="007D65E3">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3,038,835,000</w:t>
            </w:r>
          </w:p>
        </w:tc>
      </w:tr>
      <w:tr w:rsidR="007D65E3" w:rsidRPr="002946A9" w14:paraId="38B0D0A9"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9FD37C"/>
            <w:vAlign w:val="center"/>
            <w:hideMark/>
          </w:tcPr>
          <w:p w14:paraId="7B336D35" w14:textId="77777777" w:rsidR="007D65E3" w:rsidRPr="002946A9" w:rsidRDefault="007D65E3" w:rsidP="007D65E3">
            <w:pPr>
              <w:spacing w:after="0" w:line="240" w:lineRule="auto"/>
              <w:jc w:val="center"/>
              <w:rPr>
                <w:rFonts w:ascii="Arial" w:eastAsia="Times New Roman" w:hAnsi="Arial" w:cs="Arial"/>
                <w:b/>
                <w:bCs/>
                <w:color w:val="000000"/>
                <w:sz w:val="14"/>
                <w:szCs w:val="14"/>
                <w:lang w:eastAsia="es-CO"/>
              </w:rPr>
            </w:pPr>
            <w:r w:rsidRPr="002946A9">
              <w:rPr>
                <w:rFonts w:ascii="Arial" w:eastAsia="Times New Roman" w:hAnsi="Arial" w:cs="Arial"/>
                <w:b/>
                <w:bCs/>
                <w:color w:val="000000"/>
                <w:sz w:val="14"/>
                <w:szCs w:val="14"/>
                <w:lang w:eastAsia="es-CO"/>
              </w:rPr>
              <w:t>Total</w:t>
            </w:r>
          </w:p>
        </w:tc>
        <w:tc>
          <w:tcPr>
            <w:tcW w:w="774" w:type="pct"/>
            <w:tcBorders>
              <w:top w:val="nil"/>
              <w:left w:val="nil"/>
              <w:bottom w:val="single" w:sz="8" w:space="0" w:color="FFFFFF"/>
              <w:right w:val="single" w:sz="8" w:space="0" w:color="FFFFFF"/>
            </w:tcBorders>
            <w:shd w:val="clear" w:color="000000" w:fill="9FD37C"/>
            <w:noWrap/>
            <w:vAlign w:val="center"/>
            <w:hideMark/>
          </w:tcPr>
          <w:p w14:paraId="7EF19671" w14:textId="77777777" w:rsidR="007D65E3" w:rsidRPr="002946A9" w:rsidRDefault="007D65E3" w:rsidP="007D65E3">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63,028,805,241</w:t>
            </w:r>
          </w:p>
        </w:tc>
        <w:tc>
          <w:tcPr>
            <w:tcW w:w="774" w:type="pct"/>
            <w:tcBorders>
              <w:top w:val="nil"/>
              <w:left w:val="nil"/>
              <w:bottom w:val="single" w:sz="8" w:space="0" w:color="FFFFFF"/>
              <w:right w:val="single" w:sz="8" w:space="0" w:color="FFFFFF"/>
            </w:tcBorders>
            <w:shd w:val="clear" w:color="000000" w:fill="9FD37C"/>
            <w:noWrap/>
            <w:vAlign w:val="center"/>
            <w:hideMark/>
          </w:tcPr>
          <w:p w14:paraId="15256790" w14:textId="77777777" w:rsidR="007D65E3" w:rsidRPr="002946A9" w:rsidRDefault="007D65E3" w:rsidP="007D65E3">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47,907,571,140</w:t>
            </w:r>
          </w:p>
        </w:tc>
        <w:tc>
          <w:tcPr>
            <w:tcW w:w="774" w:type="pct"/>
            <w:tcBorders>
              <w:top w:val="nil"/>
              <w:left w:val="nil"/>
              <w:bottom w:val="single" w:sz="8" w:space="0" w:color="FFFFFF"/>
              <w:right w:val="single" w:sz="8" w:space="0" w:color="FFFFFF"/>
            </w:tcBorders>
            <w:shd w:val="clear" w:color="000000" w:fill="9FD37C"/>
            <w:noWrap/>
            <w:vAlign w:val="center"/>
            <w:hideMark/>
          </w:tcPr>
          <w:p w14:paraId="5702B230" w14:textId="77777777" w:rsidR="007D65E3" w:rsidRPr="002946A9" w:rsidRDefault="007D65E3" w:rsidP="007D65E3">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46,824,111,680</w:t>
            </w:r>
          </w:p>
        </w:tc>
        <w:tc>
          <w:tcPr>
            <w:tcW w:w="824" w:type="pct"/>
            <w:tcBorders>
              <w:top w:val="nil"/>
              <w:left w:val="nil"/>
              <w:bottom w:val="single" w:sz="8" w:space="0" w:color="FFFFFF"/>
              <w:right w:val="single" w:sz="8" w:space="0" w:color="FFFFFF"/>
            </w:tcBorders>
            <w:shd w:val="clear" w:color="000000" w:fill="9FD37C"/>
            <w:noWrap/>
            <w:vAlign w:val="center"/>
            <w:hideMark/>
          </w:tcPr>
          <w:p w14:paraId="1D7AC217" w14:textId="7AE61633" w:rsidR="007D65E3" w:rsidRPr="002946A9" w:rsidRDefault="007D65E3" w:rsidP="007D65E3">
            <w:pPr>
              <w:spacing w:after="0" w:line="240" w:lineRule="auto"/>
              <w:jc w:val="right"/>
              <w:rPr>
                <w:rFonts w:ascii="Trebuchet MS" w:eastAsia="Times New Roman" w:hAnsi="Trebuchet MS" w:cs="Calibri"/>
                <w:b/>
                <w:bCs/>
                <w:color w:val="000000"/>
                <w:sz w:val="14"/>
                <w:szCs w:val="14"/>
                <w:lang w:eastAsia="es-CO"/>
              </w:rPr>
            </w:pPr>
            <w:r>
              <w:rPr>
                <w:rFonts w:ascii="Trebuchet MS" w:hAnsi="Trebuchet MS" w:cs="Calibri"/>
                <w:b/>
                <w:bCs/>
                <w:color w:val="000000"/>
                <w:sz w:val="14"/>
                <w:szCs w:val="14"/>
              </w:rPr>
              <w:t>59,278,125,076</w:t>
            </w:r>
          </w:p>
        </w:tc>
        <w:tc>
          <w:tcPr>
            <w:tcW w:w="774" w:type="pct"/>
            <w:tcBorders>
              <w:top w:val="nil"/>
              <w:left w:val="nil"/>
              <w:bottom w:val="single" w:sz="8" w:space="0" w:color="FFFFFF"/>
              <w:right w:val="single" w:sz="8" w:space="0" w:color="FFFFFF"/>
            </w:tcBorders>
            <w:shd w:val="clear" w:color="000000" w:fill="9FD37C"/>
            <w:noWrap/>
            <w:vAlign w:val="center"/>
            <w:hideMark/>
          </w:tcPr>
          <w:p w14:paraId="0974C05B" w14:textId="77777777" w:rsidR="007D65E3" w:rsidRPr="002946A9" w:rsidRDefault="007D65E3" w:rsidP="007D65E3">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51,416,245,124</w:t>
            </w:r>
          </w:p>
        </w:tc>
        <w:tc>
          <w:tcPr>
            <w:tcW w:w="774" w:type="pct"/>
            <w:tcBorders>
              <w:top w:val="nil"/>
              <w:left w:val="nil"/>
              <w:bottom w:val="single" w:sz="8" w:space="0" w:color="FFFFFF"/>
              <w:right w:val="single" w:sz="8" w:space="0" w:color="FFFFFF"/>
            </w:tcBorders>
            <w:shd w:val="clear" w:color="000000" w:fill="9FD37C"/>
            <w:noWrap/>
            <w:vAlign w:val="center"/>
            <w:hideMark/>
          </w:tcPr>
          <w:p w14:paraId="5F0407EC" w14:textId="77777777" w:rsidR="007D65E3" w:rsidRPr="002946A9" w:rsidRDefault="007D65E3" w:rsidP="007D65E3">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27,686,314,070</w:t>
            </w:r>
          </w:p>
        </w:tc>
      </w:tr>
      <w:tr w:rsidR="00E8603D" w:rsidRPr="002946A9" w14:paraId="5EA69CBC" w14:textId="77777777" w:rsidTr="00BF7136">
        <w:trPr>
          <w:trHeight w:val="20"/>
          <w:jc w:val="center"/>
        </w:trPr>
        <w:tc>
          <w:tcPr>
            <w:tcW w:w="5000" w:type="pct"/>
            <w:gridSpan w:val="7"/>
            <w:tcBorders>
              <w:top w:val="single" w:sz="8" w:space="0" w:color="FFFFFF"/>
              <w:left w:val="single" w:sz="8" w:space="0" w:color="FFFFFF"/>
              <w:bottom w:val="single" w:sz="8" w:space="0" w:color="FFFFFF"/>
              <w:right w:val="nil"/>
            </w:tcBorders>
            <w:shd w:val="clear" w:color="000000" w:fill="EAF4D7"/>
            <w:vAlign w:val="center"/>
            <w:hideMark/>
          </w:tcPr>
          <w:p w14:paraId="7241BAC2" w14:textId="77777777" w:rsidR="00E8603D" w:rsidRPr="002946A9" w:rsidRDefault="00E8603D" w:rsidP="00E8603D">
            <w:pPr>
              <w:spacing w:after="0" w:line="240" w:lineRule="auto"/>
              <w:jc w:val="center"/>
              <w:rPr>
                <w:rFonts w:ascii="Trebuchet MS" w:eastAsia="Times New Roman" w:hAnsi="Trebuchet MS" w:cs="Calibri"/>
                <w:color w:val="000000"/>
                <w:sz w:val="2"/>
                <w:szCs w:val="2"/>
                <w:lang w:eastAsia="es-CO"/>
              </w:rPr>
            </w:pPr>
            <w:r w:rsidRPr="002946A9">
              <w:rPr>
                <w:rFonts w:ascii="Trebuchet MS" w:eastAsia="Times New Roman" w:hAnsi="Trebuchet MS" w:cs="Calibri"/>
                <w:color w:val="000000"/>
                <w:sz w:val="2"/>
                <w:szCs w:val="2"/>
                <w:lang w:eastAsia="es-CO"/>
              </w:rPr>
              <w:t> </w:t>
            </w:r>
          </w:p>
        </w:tc>
      </w:tr>
      <w:tr w:rsidR="00E8603D" w:rsidRPr="002946A9" w14:paraId="542D9765" w14:textId="77777777" w:rsidTr="00BF7136">
        <w:trPr>
          <w:trHeight w:val="20"/>
          <w:jc w:val="center"/>
        </w:trPr>
        <w:tc>
          <w:tcPr>
            <w:tcW w:w="306" w:type="pct"/>
            <w:vMerge w:val="restart"/>
            <w:tcBorders>
              <w:top w:val="nil"/>
              <w:left w:val="single" w:sz="8" w:space="0" w:color="FFFFFF"/>
              <w:bottom w:val="single" w:sz="8" w:space="0" w:color="FFFFFF"/>
              <w:right w:val="single" w:sz="8" w:space="0" w:color="FFFFFF"/>
            </w:tcBorders>
            <w:shd w:val="clear" w:color="000000" w:fill="BFE2A8"/>
            <w:vAlign w:val="center"/>
            <w:hideMark/>
          </w:tcPr>
          <w:p w14:paraId="38D7C6AB" w14:textId="77777777" w:rsidR="00E8603D" w:rsidRPr="002946A9" w:rsidRDefault="00E8603D" w:rsidP="00E8603D">
            <w:pPr>
              <w:spacing w:after="0" w:line="240" w:lineRule="auto"/>
              <w:jc w:val="center"/>
              <w:rPr>
                <w:rFonts w:ascii="Bookman Old Style" w:eastAsia="Times New Roman" w:hAnsi="Bookman Old Style" w:cs="Calibri"/>
                <w:b/>
                <w:bCs/>
                <w:i/>
                <w:iCs/>
                <w:color w:val="000000"/>
                <w:sz w:val="14"/>
                <w:szCs w:val="14"/>
                <w:lang w:eastAsia="es-CO"/>
              </w:rPr>
            </w:pPr>
            <w:r w:rsidRPr="002946A9">
              <w:rPr>
                <w:rFonts w:ascii="Bookman Old Style" w:eastAsia="Times New Roman" w:hAnsi="Bookman Old Style" w:cs="Calibri"/>
                <w:b/>
                <w:bCs/>
                <w:i/>
                <w:iCs/>
                <w:color w:val="000000"/>
                <w:sz w:val="14"/>
                <w:szCs w:val="14"/>
                <w:lang w:eastAsia="es-CO"/>
              </w:rPr>
              <w:t>l</w:t>
            </w:r>
          </w:p>
        </w:tc>
        <w:tc>
          <w:tcPr>
            <w:tcW w:w="4694" w:type="pct"/>
            <w:gridSpan w:val="6"/>
            <w:tcBorders>
              <w:top w:val="single" w:sz="8" w:space="0" w:color="FFFFFF"/>
              <w:left w:val="nil"/>
              <w:bottom w:val="single" w:sz="8" w:space="0" w:color="FFFFFF"/>
              <w:right w:val="nil"/>
            </w:tcBorders>
            <w:shd w:val="clear" w:color="000000" w:fill="BFE2A8"/>
            <w:noWrap/>
            <w:vAlign w:val="center"/>
            <w:hideMark/>
          </w:tcPr>
          <w:p w14:paraId="48ED56F4" w14:textId="77777777" w:rsidR="00E8603D" w:rsidRPr="002946A9" w:rsidRDefault="00E8603D" w:rsidP="00E8603D">
            <w:pPr>
              <w:spacing w:after="0" w:line="240" w:lineRule="auto"/>
              <w:jc w:val="center"/>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Nivel de tensión 2</w:t>
            </w:r>
          </w:p>
        </w:tc>
      </w:tr>
      <w:tr w:rsidR="00E8603D" w:rsidRPr="002946A9" w14:paraId="72561ADA" w14:textId="77777777" w:rsidTr="00BF7136">
        <w:trPr>
          <w:trHeight w:val="20"/>
          <w:jc w:val="center"/>
        </w:trPr>
        <w:tc>
          <w:tcPr>
            <w:tcW w:w="306" w:type="pct"/>
            <w:vMerge/>
            <w:tcBorders>
              <w:top w:val="nil"/>
              <w:left w:val="single" w:sz="8" w:space="0" w:color="FFFFFF"/>
              <w:bottom w:val="single" w:sz="8" w:space="0" w:color="FFFFFF"/>
              <w:right w:val="single" w:sz="8" w:space="0" w:color="FFFFFF"/>
            </w:tcBorders>
            <w:vAlign w:val="center"/>
            <w:hideMark/>
          </w:tcPr>
          <w:p w14:paraId="7415E5D7" w14:textId="77777777" w:rsidR="00E8603D" w:rsidRPr="002946A9" w:rsidRDefault="00E8603D" w:rsidP="00E8603D">
            <w:pPr>
              <w:spacing w:after="0" w:line="240" w:lineRule="auto"/>
              <w:rPr>
                <w:rFonts w:ascii="Bookman Old Style" w:eastAsia="Times New Roman" w:hAnsi="Bookman Old Style" w:cs="Calibri"/>
                <w:b/>
                <w:bCs/>
                <w:i/>
                <w:iCs/>
                <w:color w:val="000000"/>
                <w:sz w:val="14"/>
                <w:szCs w:val="14"/>
                <w:lang w:eastAsia="es-CO"/>
              </w:rPr>
            </w:pPr>
          </w:p>
        </w:tc>
        <w:tc>
          <w:tcPr>
            <w:tcW w:w="774" w:type="pct"/>
            <w:tcBorders>
              <w:top w:val="nil"/>
              <w:left w:val="nil"/>
              <w:bottom w:val="single" w:sz="8" w:space="0" w:color="FFFFFF"/>
              <w:right w:val="single" w:sz="8" w:space="0" w:color="FFFFFF"/>
            </w:tcBorders>
            <w:shd w:val="clear" w:color="000000" w:fill="BFE2A8"/>
            <w:noWrap/>
            <w:vAlign w:val="center"/>
            <w:hideMark/>
          </w:tcPr>
          <w:p w14:paraId="071F5561"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2020</w:t>
            </w:r>
          </w:p>
        </w:tc>
        <w:tc>
          <w:tcPr>
            <w:tcW w:w="774" w:type="pct"/>
            <w:tcBorders>
              <w:top w:val="nil"/>
              <w:left w:val="nil"/>
              <w:bottom w:val="single" w:sz="8" w:space="0" w:color="FFFFFF"/>
              <w:right w:val="single" w:sz="8" w:space="0" w:color="FFFFFF"/>
            </w:tcBorders>
            <w:shd w:val="clear" w:color="000000" w:fill="BFE2A8"/>
            <w:noWrap/>
            <w:vAlign w:val="center"/>
            <w:hideMark/>
          </w:tcPr>
          <w:p w14:paraId="581B2FD8"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2021</w:t>
            </w:r>
          </w:p>
        </w:tc>
        <w:tc>
          <w:tcPr>
            <w:tcW w:w="774" w:type="pct"/>
            <w:tcBorders>
              <w:top w:val="nil"/>
              <w:left w:val="nil"/>
              <w:bottom w:val="single" w:sz="8" w:space="0" w:color="FFFFFF"/>
              <w:right w:val="single" w:sz="8" w:space="0" w:color="FFFFFF"/>
            </w:tcBorders>
            <w:shd w:val="clear" w:color="000000" w:fill="BFE2A8"/>
            <w:noWrap/>
            <w:vAlign w:val="center"/>
            <w:hideMark/>
          </w:tcPr>
          <w:p w14:paraId="260767DB"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2022</w:t>
            </w:r>
          </w:p>
        </w:tc>
        <w:tc>
          <w:tcPr>
            <w:tcW w:w="824" w:type="pct"/>
            <w:tcBorders>
              <w:top w:val="nil"/>
              <w:left w:val="nil"/>
              <w:bottom w:val="single" w:sz="8" w:space="0" w:color="FFFFFF"/>
              <w:right w:val="single" w:sz="8" w:space="0" w:color="FFFFFF"/>
            </w:tcBorders>
            <w:shd w:val="clear" w:color="000000" w:fill="BFE2A8"/>
            <w:noWrap/>
            <w:vAlign w:val="center"/>
            <w:hideMark/>
          </w:tcPr>
          <w:p w14:paraId="0528161A"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2023</w:t>
            </w:r>
          </w:p>
        </w:tc>
        <w:tc>
          <w:tcPr>
            <w:tcW w:w="774" w:type="pct"/>
            <w:tcBorders>
              <w:top w:val="nil"/>
              <w:left w:val="nil"/>
              <w:bottom w:val="single" w:sz="8" w:space="0" w:color="FFFFFF"/>
              <w:right w:val="single" w:sz="8" w:space="0" w:color="FFFFFF"/>
            </w:tcBorders>
            <w:shd w:val="clear" w:color="000000" w:fill="BFE2A8"/>
            <w:noWrap/>
            <w:vAlign w:val="center"/>
            <w:hideMark/>
          </w:tcPr>
          <w:p w14:paraId="6DE4993E"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2024</w:t>
            </w:r>
          </w:p>
        </w:tc>
        <w:tc>
          <w:tcPr>
            <w:tcW w:w="774" w:type="pct"/>
            <w:tcBorders>
              <w:top w:val="nil"/>
              <w:left w:val="nil"/>
              <w:bottom w:val="single" w:sz="8" w:space="0" w:color="FFFFFF"/>
              <w:right w:val="single" w:sz="8" w:space="0" w:color="FFFFFF"/>
            </w:tcBorders>
            <w:shd w:val="clear" w:color="000000" w:fill="BFE2A8"/>
            <w:noWrap/>
            <w:vAlign w:val="center"/>
            <w:hideMark/>
          </w:tcPr>
          <w:p w14:paraId="75D7C965"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2025</w:t>
            </w:r>
          </w:p>
        </w:tc>
      </w:tr>
      <w:tr w:rsidR="00E8603D" w:rsidRPr="002946A9" w14:paraId="278780FB"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6C512470"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1</w:t>
            </w:r>
          </w:p>
        </w:tc>
        <w:tc>
          <w:tcPr>
            <w:tcW w:w="774" w:type="pct"/>
            <w:tcBorders>
              <w:top w:val="nil"/>
              <w:left w:val="nil"/>
              <w:bottom w:val="single" w:sz="8" w:space="0" w:color="FFFFFF"/>
              <w:right w:val="single" w:sz="8" w:space="0" w:color="FFFFFF"/>
            </w:tcBorders>
            <w:shd w:val="clear" w:color="000000" w:fill="D6EAAF"/>
            <w:noWrap/>
            <w:vAlign w:val="center"/>
            <w:hideMark/>
          </w:tcPr>
          <w:p w14:paraId="7FEFD7A4"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5,702,605,500</w:t>
            </w:r>
          </w:p>
        </w:tc>
        <w:tc>
          <w:tcPr>
            <w:tcW w:w="774" w:type="pct"/>
            <w:tcBorders>
              <w:top w:val="nil"/>
              <w:left w:val="nil"/>
              <w:bottom w:val="single" w:sz="8" w:space="0" w:color="FFFFFF"/>
              <w:right w:val="single" w:sz="8" w:space="0" w:color="FFFFFF"/>
            </w:tcBorders>
            <w:shd w:val="clear" w:color="000000" w:fill="D6EAAF"/>
            <w:noWrap/>
            <w:vAlign w:val="center"/>
            <w:hideMark/>
          </w:tcPr>
          <w:p w14:paraId="2F30B1A1"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16,923,332,000</w:t>
            </w:r>
          </w:p>
        </w:tc>
        <w:tc>
          <w:tcPr>
            <w:tcW w:w="774" w:type="pct"/>
            <w:tcBorders>
              <w:top w:val="nil"/>
              <w:left w:val="nil"/>
              <w:bottom w:val="single" w:sz="8" w:space="0" w:color="FFFFFF"/>
              <w:right w:val="single" w:sz="8" w:space="0" w:color="FFFFFF"/>
            </w:tcBorders>
            <w:shd w:val="clear" w:color="000000" w:fill="D6EAAF"/>
            <w:noWrap/>
            <w:vAlign w:val="center"/>
            <w:hideMark/>
          </w:tcPr>
          <w:p w14:paraId="7A1B3B7C"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7,114,658,500</w:t>
            </w:r>
          </w:p>
        </w:tc>
        <w:tc>
          <w:tcPr>
            <w:tcW w:w="824" w:type="pct"/>
            <w:tcBorders>
              <w:top w:val="nil"/>
              <w:left w:val="nil"/>
              <w:bottom w:val="single" w:sz="8" w:space="0" w:color="FFFFFF"/>
              <w:right w:val="single" w:sz="8" w:space="0" w:color="FFFFFF"/>
            </w:tcBorders>
            <w:shd w:val="clear" w:color="000000" w:fill="D6EAAF"/>
            <w:noWrap/>
            <w:vAlign w:val="center"/>
            <w:hideMark/>
          </w:tcPr>
          <w:p w14:paraId="01C607A0"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9,282,594,500</w:t>
            </w:r>
          </w:p>
        </w:tc>
        <w:tc>
          <w:tcPr>
            <w:tcW w:w="774" w:type="pct"/>
            <w:tcBorders>
              <w:top w:val="nil"/>
              <w:left w:val="nil"/>
              <w:bottom w:val="single" w:sz="8" w:space="0" w:color="FFFFFF"/>
              <w:right w:val="single" w:sz="8" w:space="0" w:color="FFFFFF"/>
            </w:tcBorders>
            <w:shd w:val="clear" w:color="000000" w:fill="D6EAAF"/>
            <w:noWrap/>
            <w:vAlign w:val="center"/>
            <w:hideMark/>
          </w:tcPr>
          <w:p w14:paraId="251F371B"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3,291,317,500</w:t>
            </w:r>
          </w:p>
        </w:tc>
        <w:tc>
          <w:tcPr>
            <w:tcW w:w="774" w:type="pct"/>
            <w:tcBorders>
              <w:top w:val="nil"/>
              <w:left w:val="nil"/>
              <w:bottom w:val="single" w:sz="8" w:space="0" w:color="FFFFFF"/>
              <w:right w:val="single" w:sz="8" w:space="0" w:color="FFFFFF"/>
            </w:tcBorders>
            <w:shd w:val="clear" w:color="000000" w:fill="D6EAAF"/>
            <w:noWrap/>
            <w:vAlign w:val="center"/>
            <w:hideMark/>
          </w:tcPr>
          <w:p w14:paraId="3991C035"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2,746,839,750</w:t>
            </w:r>
          </w:p>
        </w:tc>
      </w:tr>
      <w:tr w:rsidR="00E8603D" w:rsidRPr="002946A9" w14:paraId="12060F8E"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146BDADA"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2</w:t>
            </w:r>
          </w:p>
        </w:tc>
        <w:tc>
          <w:tcPr>
            <w:tcW w:w="774" w:type="pct"/>
            <w:tcBorders>
              <w:top w:val="nil"/>
              <w:left w:val="nil"/>
              <w:bottom w:val="single" w:sz="8" w:space="0" w:color="FFFFFF"/>
              <w:right w:val="single" w:sz="8" w:space="0" w:color="FFFFFF"/>
            </w:tcBorders>
            <w:shd w:val="clear" w:color="000000" w:fill="EAF4D7"/>
            <w:noWrap/>
            <w:vAlign w:val="center"/>
            <w:hideMark/>
          </w:tcPr>
          <w:p w14:paraId="08B7A37B"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EAF4D7"/>
            <w:noWrap/>
            <w:vAlign w:val="center"/>
            <w:hideMark/>
          </w:tcPr>
          <w:p w14:paraId="080767B3"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EAF4D7"/>
            <w:noWrap/>
            <w:vAlign w:val="center"/>
            <w:hideMark/>
          </w:tcPr>
          <w:p w14:paraId="1F21F27B"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824" w:type="pct"/>
            <w:tcBorders>
              <w:top w:val="nil"/>
              <w:left w:val="nil"/>
              <w:bottom w:val="single" w:sz="8" w:space="0" w:color="FFFFFF"/>
              <w:right w:val="single" w:sz="8" w:space="0" w:color="FFFFFF"/>
            </w:tcBorders>
            <w:shd w:val="clear" w:color="000000" w:fill="EAF4D7"/>
            <w:noWrap/>
            <w:vAlign w:val="center"/>
            <w:hideMark/>
          </w:tcPr>
          <w:p w14:paraId="746011DA"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EAF4D7"/>
            <w:noWrap/>
            <w:vAlign w:val="center"/>
            <w:hideMark/>
          </w:tcPr>
          <w:p w14:paraId="2499C8BD"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c>
          <w:tcPr>
            <w:tcW w:w="774" w:type="pct"/>
            <w:tcBorders>
              <w:top w:val="nil"/>
              <w:left w:val="nil"/>
              <w:bottom w:val="single" w:sz="8" w:space="0" w:color="FFFFFF"/>
              <w:right w:val="single" w:sz="8" w:space="0" w:color="FFFFFF"/>
            </w:tcBorders>
            <w:shd w:val="clear" w:color="000000" w:fill="EAF4D7"/>
            <w:noWrap/>
            <w:vAlign w:val="center"/>
            <w:hideMark/>
          </w:tcPr>
          <w:p w14:paraId="3AB6CDE8"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0</w:t>
            </w:r>
          </w:p>
        </w:tc>
      </w:tr>
      <w:tr w:rsidR="00E8603D" w:rsidRPr="002946A9" w14:paraId="1581CD58"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0D8F7F00"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3</w:t>
            </w:r>
          </w:p>
        </w:tc>
        <w:tc>
          <w:tcPr>
            <w:tcW w:w="774" w:type="pct"/>
            <w:tcBorders>
              <w:top w:val="nil"/>
              <w:left w:val="nil"/>
              <w:bottom w:val="single" w:sz="8" w:space="0" w:color="FFFFFF"/>
              <w:right w:val="single" w:sz="8" w:space="0" w:color="FFFFFF"/>
            </w:tcBorders>
            <w:shd w:val="clear" w:color="000000" w:fill="D6EAAF"/>
            <w:noWrap/>
            <w:vAlign w:val="center"/>
            <w:hideMark/>
          </w:tcPr>
          <w:p w14:paraId="5507D041"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3,397,687,064</w:t>
            </w:r>
          </w:p>
        </w:tc>
        <w:tc>
          <w:tcPr>
            <w:tcW w:w="774" w:type="pct"/>
            <w:tcBorders>
              <w:top w:val="nil"/>
              <w:left w:val="nil"/>
              <w:bottom w:val="single" w:sz="8" w:space="0" w:color="FFFFFF"/>
              <w:right w:val="single" w:sz="8" w:space="0" w:color="FFFFFF"/>
            </w:tcBorders>
            <w:shd w:val="clear" w:color="000000" w:fill="D6EAAF"/>
            <w:noWrap/>
            <w:vAlign w:val="center"/>
            <w:hideMark/>
          </w:tcPr>
          <w:p w14:paraId="27CD42BA"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5,735,173,809</w:t>
            </w:r>
          </w:p>
        </w:tc>
        <w:tc>
          <w:tcPr>
            <w:tcW w:w="774" w:type="pct"/>
            <w:tcBorders>
              <w:top w:val="nil"/>
              <w:left w:val="nil"/>
              <w:bottom w:val="single" w:sz="8" w:space="0" w:color="FFFFFF"/>
              <w:right w:val="single" w:sz="8" w:space="0" w:color="FFFFFF"/>
            </w:tcBorders>
            <w:shd w:val="clear" w:color="000000" w:fill="D6EAAF"/>
            <w:noWrap/>
            <w:vAlign w:val="center"/>
            <w:hideMark/>
          </w:tcPr>
          <w:p w14:paraId="0885AFBE"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6,721,453,095</w:t>
            </w:r>
          </w:p>
        </w:tc>
        <w:tc>
          <w:tcPr>
            <w:tcW w:w="824" w:type="pct"/>
            <w:tcBorders>
              <w:top w:val="nil"/>
              <w:left w:val="nil"/>
              <w:bottom w:val="single" w:sz="8" w:space="0" w:color="FFFFFF"/>
              <w:right w:val="single" w:sz="8" w:space="0" w:color="FFFFFF"/>
            </w:tcBorders>
            <w:shd w:val="clear" w:color="000000" w:fill="D6EAAF"/>
            <w:noWrap/>
            <w:vAlign w:val="center"/>
            <w:hideMark/>
          </w:tcPr>
          <w:p w14:paraId="0BB3BB28"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8,515,431,755</w:t>
            </w:r>
          </w:p>
        </w:tc>
        <w:tc>
          <w:tcPr>
            <w:tcW w:w="774" w:type="pct"/>
            <w:tcBorders>
              <w:top w:val="nil"/>
              <w:left w:val="nil"/>
              <w:bottom w:val="single" w:sz="8" w:space="0" w:color="FFFFFF"/>
              <w:right w:val="single" w:sz="8" w:space="0" w:color="FFFFFF"/>
            </w:tcBorders>
            <w:shd w:val="clear" w:color="000000" w:fill="D6EAAF"/>
            <w:noWrap/>
            <w:vAlign w:val="center"/>
            <w:hideMark/>
          </w:tcPr>
          <w:p w14:paraId="091FAAAD"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6,545,280,862</w:t>
            </w:r>
          </w:p>
        </w:tc>
        <w:tc>
          <w:tcPr>
            <w:tcW w:w="774" w:type="pct"/>
            <w:tcBorders>
              <w:top w:val="nil"/>
              <w:left w:val="nil"/>
              <w:bottom w:val="single" w:sz="8" w:space="0" w:color="FFFFFF"/>
              <w:right w:val="single" w:sz="8" w:space="0" w:color="FFFFFF"/>
            </w:tcBorders>
            <w:shd w:val="clear" w:color="000000" w:fill="D6EAAF"/>
            <w:noWrap/>
            <w:vAlign w:val="center"/>
            <w:hideMark/>
          </w:tcPr>
          <w:p w14:paraId="1EE36AB8"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4,581,571,000</w:t>
            </w:r>
          </w:p>
        </w:tc>
      </w:tr>
      <w:tr w:rsidR="00E8603D" w:rsidRPr="002946A9" w14:paraId="726E5305"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2FAF5ACC"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4</w:t>
            </w:r>
          </w:p>
        </w:tc>
        <w:tc>
          <w:tcPr>
            <w:tcW w:w="774" w:type="pct"/>
            <w:tcBorders>
              <w:top w:val="nil"/>
              <w:left w:val="nil"/>
              <w:bottom w:val="single" w:sz="8" w:space="0" w:color="FFFFFF"/>
              <w:right w:val="single" w:sz="8" w:space="0" w:color="FFFFFF"/>
            </w:tcBorders>
            <w:shd w:val="clear" w:color="000000" w:fill="EAF4D7"/>
            <w:noWrap/>
            <w:vAlign w:val="center"/>
            <w:hideMark/>
          </w:tcPr>
          <w:p w14:paraId="753B15EE"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8,277,715,000</w:t>
            </w:r>
          </w:p>
        </w:tc>
        <w:tc>
          <w:tcPr>
            <w:tcW w:w="774" w:type="pct"/>
            <w:tcBorders>
              <w:top w:val="nil"/>
              <w:left w:val="nil"/>
              <w:bottom w:val="single" w:sz="8" w:space="0" w:color="FFFFFF"/>
              <w:right w:val="single" w:sz="8" w:space="0" w:color="FFFFFF"/>
            </w:tcBorders>
            <w:shd w:val="clear" w:color="000000" w:fill="EAF4D7"/>
            <w:noWrap/>
            <w:vAlign w:val="center"/>
            <w:hideMark/>
          </w:tcPr>
          <w:p w14:paraId="76C532C9"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10,933,755,700</w:t>
            </w:r>
          </w:p>
        </w:tc>
        <w:tc>
          <w:tcPr>
            <w:tcW w:w="774" w:type="pct"/>
            <w:tcBorders>
              <w:top w:val="nil"/>
              <w:left w:val="nil"/>
              <w:bottom w:val="single" w:sz="8" w:space="0" w:color="FFFFFF"/>
              <w:right w:val="single" w:sz="8" w:space="0" w:color="FFFFFF"/>
            </w:tcBorders>
            <w:shd w:val="clear" w:color="000000" w:fill="EAF4D7"/>
            <w:noWrap/>
            <w:vAlign w:val="center"/>
            <w:hideMark/>
          </w:tcPr>
          <w:p w14:paraId="063A3572"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13,186,671,400</w:t>
            </w:r>
          </w:p>
        </w:tc>
        <w:tc>
          <w:tcPr>
            <w:tcW w:w="824" w:type="pct"/>
            <w:tcBorders>
              <w:top w:val="nil"/>
              <w:left w:val="nil"/>
              <w:bottom w:val="single" w:sz="8" w:space="0" w:color="FFFFFF"/>
              <w:right w:val="single" w:sz="8" w:space="0" w:color="FFFFFF"/>
            </w:tcBorders>
            <w:shd w:val="clear" w:color="000000" w:fill="EAF4D7"/>
            <w:noWrap/>
            <w:vAlign w:val="center"/>
            <w:hideMark/>
          </w:tcPr>
          <w:p w14:paraId="0221039A"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16,661,358,800</w:t>
            </w:r>
          </w:p>
        </w:tc>
        <w:tc>
          <w:tcPr>
            <w:tcW w:w="774" w:type="pct"/>
            <w:tcBorders>
              <w:top w:val="nil"/>
              <w:left w:val="nil"/>
              <w:bottom w:val="single" w:sz="8" w:space="0" w:color="FFFFFF"/>
              <w:right w:val="single" w:sz="8" w:space="0" w:color="FFFFFF"/>
            </w:tcBorders>
            <w:shd w:val="clear" w:color="000000" w:fill="EAF4D7"/>
            <w:noWrap/>
            <w:vAlign w:val="center"/>
            <w:hideMark/>
          </w:tcPr>
          <w:p w14:paraId="4793CC5D"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9,418,112,900</w:t>
            </w:r>
          </w:p>
        </w:tc>
        <w:tc>
          <w:tcPr>
            <w:tcW w:w="774" w:type="pct"/>
            <w:tcBorders>
              <w:top w:val="nil"/>
              <w:left w:val="nil"/>
              <w:bottom w:val="single" w:sz="8" w:space="0" w:color="FFFFFF"/>
              <w:right w:val="single" w:sz="8" w:space="0" w:color="FFFFFF"/>
            </w:tcBorders>
            <w:shd w:val="clear" w:color="000000" w:fill="EAF4D7"/>
            <w:noWrap/>
            <w:vAlign w:val="center"/>
            <w:hideMark/>
          </w:tcPr>
          <w:p w14:paraId="0C13E614"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7,535,367,400</w:t>
            </w:r>
          </w:p>
        </w:tc>
      </w:tr>
      <w:tr w:rsidR="00E8603D" w:rsidRPr="002946A9" w14:paraId="1EC452E6"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0D73EB25"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5</w:t>
            </w:r>
          </w:p>
        </w:tc>
        <w:tc>
          <w:tcPr>
            <w:tcW w:w="774" w:type="pct"/>
            <w:tcBorders>
              <w:top w:val="nil"/>
              <w:left w:val="nil"/>
              <w:bottom w:val="single" w:sz="8" w:space="0" w:color="FFFFFF"/>
              <w:right w:val="single" w:sz="8" w:space="0" w:color="FFFFFF"/>
            </w:tcBorders>
            <w:shd w:val="clear" w:color="000000" w:fill="D6EAAF"/>
            <w:noWrap/>
            <w:vAlign w:val="center"/>
            <w:hideMark/>
          </w:tcPr>
          <w:p w14:paraId="33109587"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375,726,000</w:t>
            </w:r>
          </w:p>
        </w:tc>
        <w:tc>
          <w:tcPr>
            <w:tcW w:w="774" w:type="pct"/>
            <w:tcBorders>
              <w:top w:val="nil"/>
              <w:left w:val="nil"/>
              <w:bottom w:val="single" w:sz="8" w:space="0" w:color="FFFFFF"/>
              <w:right w:val="single" w:sz="8" w:space="0" w:color="FFFFFF"/>
            </w:tcBorders>
            <w:shd w:val="clear" w:color="000000" w:fill="D6EAAF"/>
            <w:noWrap/>
            <w:vAlign w:val="center"/>
            <w:hideMark/>
          </w:tcPr>
          <w:p w14:paraId="1E452088"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391,884,000</w:t>
            </w:r>
          </w:p>
        </w:tc>
        <w:tc>
          <w:tcPr>
            <w:tcW w:w="774" w:type="pct"/>
            <w:tcBorders>
              <w:top w:val="nil"/>
              <w:left w:val="nil"/>
              <w:bottom w:val="single" w:sz="8" w:space="0" w:color="FFFFFF"/>
              <w:right w:val="single" w:sz="8" w:space="0" w:color="FFFFFF"/>
            </w:tcBorders>
            <w:shd w:val="clear" w:color="000000" w:fill="D6EAAF"/>
            <w:noWrap/>
            <w:vAlign w:val="center"/>
            <w:hideMark/>
          </w:tcPr>
          <w:p w14:paraId="5CFDB5A1"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724,894,000</w:t>
            </w:r>
          </w:p>
        </w:tc>
        <w:tc>
          <w:tcPr>
            <w:tcW w:w="824" w:type="pct"/>
            <w:tcBorders>
              <w:top w:val="nil"/>
              <w:left w:val="nil"/>
              <w:bottom w:val="single" w:sz="8" w:space="0" w:color="FFFFFF"/>
              <w:right w:val="single" w:sz="8" w:space="0" w:color="FFFFFF"/>
            </w:tcBorders>
            <w:shd w:val="clear" w:color="000000" w:fill="D6EAAF"/>
            <w:noWrap/>
            <w:vAlign w:val="center"/>
            <w:hideMark/>
          </w:tcPr>
          <w:p w14:paraId="0C2DD27C"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371,227,000</w:t>
            </w:r>
          </w:p>
        </w:tc>
        <w:tc>
          <w:tcPr>
            <w:tcW w:w="774" w:type="pct"/>
            <w:tcBorders>
              <w:top w:val="nil"/>
              <w:left w:val="nil"/>
              <w:bottom w:val="single" w:sz="8" w:space="0" w:color="FFFFFF"/>
              <w:right w:val="single" w:sz="8" w:space="0" w:color="FFFFFF"/>
            </w:tcBorders>
            <w:shd w:val="clear" w:color="000000" w:fill="D6EAAF"/>
            <w:noWrap/>
            <w:vAlign w:val="center"/>
            <w:hideMark/>
          </w:tcPr>
          <w:p w14:paraId="54F08F3A"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45,899,000</w:t>
            </w:r>
          </w:p>
        </w:tc>
        <w:tc>
          <w:tcPr>
            <w:tcW w:w="774" w:type="pct"/>
            <w:tcBorders>
              <w:top w:val="nil"/>
              <w:left w:val="nil"/>
              <w:bottom w:val="single" w:sz="8" w:space="0" w:color="FFFFFF"/>
              <w:right w:val="single" w:sz="8" w:space="0" w:color="FFFFFF"/>
            </w:tcBorders>
            <w:shd w:val="clear" w:color="000000" w:fill="D6EAAF"/>
            <w:noWrap/>
            <w:vAlign w:val="center"/>
            <w:hideMark/>
          </w:tcPr>
          <w:p w14:paraId="2BB3760B"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63,871,000</w:t>
            </w:r>
          </w:p>
        </w:tc>
      </w:tr>
      <w:tr w:rsidR="00E8603D" w:rsidRPr="002946A9" w14:paraId="63878C6F"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6CACFF4B"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6</w:t>
            </w:r>
          </w:p>
        </w:tc>
        <w:tc>
          <w:tcPr>
            <w:tcW w:w="774" w:type="pct"/>
            <w:tcBorders>
              <w:top w:val="nil"/>
              <w:left w:val="nil"/>
              <w:bottom w:val="single" w:sz="8" w:space="0" w:color="FFFFFF"/>
              <w:right w:val="single" w:sz="8" w:space="0" w:color="FFFFFF"/>
            </w:tcBorders>
            <w:shd w:val="clear" w:color="000000" w:fill="EAF4D7"/>
            <w:noWrap/>
            <w:vAlign w:val="center"/>
            <w:hideMark/>
          </w:tcPr>
          <w:p w14:paraId="43CAD3DC"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1,320,079,000</w:t>
            </w:r>
          </w:p>
        </w:tc>
        <w:tc>
          <w:tcPr>
            <w:tcW w:w="774" w:type="pct"/>
            <w:tcBorders>
              <w:top w:val="nil"/>
              <w:left w:val="nil"/>
              <w:bottom w:val="single" w:sz="8" w:space="0" w:color="FFFFFF"/>
              <w:right w:val="single" w:sz="8" w:space="0" w:color="FFFFFF"/>
            </w:tcBorders>
            <w:shd w:val="clear" w:color="000000" w:fill="EAF4D7"/>
            <w:noWrap/>
            <w:vAlign w:val="center"/>
            <w:hideMark/>
          </w:tcPr>
          <w:p w14:paraId="572E8340"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590,102,000</w:t>
            </w:r>
          </w:p>
        </w:tc>
        <w:tc>
          <w:tcPr>
            <w:tcW w:w="774" w:type="pct"/>
            <w:tcBorders>
              <w:top w:val="nil"/>
              <w:left w:val="nil"/>
              <w:bottom w:val="single" w:sz="8" w:space="0" w:color="FFFFFF"/>
              <w:right w:val="single" w:sz="8" w:space="0" w:color="FFFFFF"/>
            </w:tcBorders>
            <w:shd w:val="clear" w:color="000000" w:fill="EAF4D7"/>
            <w:noWrap/>
            <w:vAlign w:val="center"/>
            <w:hideMark/>
          </w:tcPr>
          <w:p w14:paraId="2E6E1068"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1,406,496,000</w:t>
            </w:r>
          </w:p>
        </w:tc>
        <w:tc>
          <w:tcPr>
            <w:tcW w:w="824" w:type="pct"/>
            <w:tcBorders>
              <w:top w:val="nil"/>
              <w:left w:val="nil"/>
              <w:bottom w:val="single" w:sz="8" w:space="0" w:color="FFFFFF"/>
              <w:right w:val="single" w:sz="8" w:space="0" w:color="FFFFFF"/>
            </w:tcBorders>
            <w:shd w:val="clear" w:color="000000" w:fill="EAF4D7"/>
            <w:noWrap/>
            <w:vAlign w:val="center"/>
            <w:hideMark/>
          </w:tcPr>
          <w:p w14:paraId="4F783DAC"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1,648,767,000</w:t>
            </w:r>
          </w:p>
        </w:tc>
        <w:tc>
          <w:tcPr>
            <w:tcW w:w="774" w:type="pct"/>
            <w:tcBorders>
              <w:top w:val="nil"/>
              <w:left w:val="nil"/>
              <w:bottom w:val="single" w:sz="8" w:space="0" w:color="FFFFFF"/>
              <w:right w:val="single" w:sz="8" w:space="0" w:color="FFFFFF"/>
            </w:tcBorders>
            <w:shd w:val="clear" w:color="000000" w:fill="EAF4D7"/>
            <w:noWrap/>
            <w:vAlign w:val="center"/>
            <w:hideMark/>
          </w:tcPr>
          <w:p w14:paraId="52E2CBCC"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423,466,000</w:t>
            </w:r>
          </w:p>
        </w:tc>
        <w:tc>
          <w:tcPr>
            <w:tcW w:w="774" w:type="pct"/>
            <w:tcBorders>
              <w:top w:val="nil"/>
              <w:left w:val="nil"/>
              <w:bottom w:val="single" w:sz="8" w:space="0" w:color="FFFFFF"/>
              <w:right w:val="single" w:sz="8" w:space="0" w:color="FFFFFF"/>
            </w:tcBorders>
            <w:shd w:val="clear" w:color="000000" w:fill="EAF4D7"/>
            <w:noWrap/>
            <w:vAlign w:val="center"/>
            <w:hideMark/>
          </w:tcPr>
          <w:p w14:paraId="61B1228E"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423,466,000</w:t>
            </w:r>
          </w:p>
        </w:tc>
      </w:tr>
      <w:tr w:rsidR="00E8603D" w:rsidRPr="002946A9" w14:paraId="05440F1C"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622358E9"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7</w:t>
            </w:r>
          </w:p>
        </w:tc>
        <w:tc>
          <w:tcPr>
            <w:tcW w:w="774" w:type="pct"/>
            <w:tcBorders>
              <w:top w:val="nil"/>
              <w:left w:val="nil"/>
              <w:bottom w:val="single" w:sz="8" w:space="0" w:color="FFFFFF"/>
              <w:right w:val="single" w:sz="8" w:space="0" w:color="FFFFFF"/>
            </w:tcBorders>
            <w:shd w:val="clear" w:color="000000" w:fill="D6EAAF"/>
            <w:noWrap/>
            <w:vAlign w:val="center"/>
            <w:hideMark/>
          </w:tcPr>
          <w:p w14:paraId="0116D3A4"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86,296,119,565</w:t>
            </w:r>
          </w:p>
        </w:tc>
        <w:tc>
          <w:tcPr>
            <w:tcW w:w="774" w:type="pct"/>
            <w:tcBorders>
              <w:top w:val="nil"/>
              <w:left w:val="nil"/>
              <w:bottom w:val="single" w:sz="8" w:space="0" w:color="FFFFFF"/>
              <w:right w:val="single" w:sz="8" w:space="0" w:color="FFFFFF"/>
            </w:tcBorders>
            <w:shd w:val="clear" w:color="000000" w:fill="D6EAAF"/>
            <w:noWrap/>
            <w:vAlign w:val="center"/>
            <w:hideMark/>
          </w:tcPr>
          <w:p w14:paraId="63C1EAC1"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88,946,383,236</w:t>
            </w:r>
          </w:p>
        </w:tc>
        <w:tc>
          <w:tcPr>
            <w:tcW w:w="774" w:type="pct"/>
            <w:tcBorders>
              <w:top w:val="nil"/>
              <w:left w:val="nil"/>
              <w:bottom w:val="single" w:sz="8" w:space="0" w:color="FFFFFF"/>
              <w:right w:val="single" w:sz="8" w:space="0" w:color="FFFFFF"/>
            </w:tcBorders>
            <w:shd w:val="clear" w:color="000000" w:fill="D6EAAF"/>
            <w:noWrap/>
            <w:vAlign w:val="center"/>
            <w:hideMark/>
          </w:tcPr>
          <w:p w14:paraId="2157E674"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89,748,392,751</w:t>
            </w:r>
          </w:p>
        </w:tc>
        <w:tc>
          <w:tcPr>
            <w:tcW w:w="824" w:type="pct"/>
            <w:tcBorders>
              <w:top w:val="nil"/>
              <w:left w:val="nil"/>
              <w:bottom w:val="single" w:sz="8" w:space="0" w:color="FFFFFF"/>
              <w:right w:val="single" w:sz="8" w:space="0" w:color="FFFFFF"/>
            </w:tcBorders>
            <w:shd w:val="clear" w:color="000000" w:fill="D6EAAF"/>
            <w:noWrap/>
            <w:vAlign w:val="center"/>
            <w:hideMark/>
          </w:tcPr>
          <w:p w14:paraId="4430A424"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83,898,298,414</w:t>
            </w:r>
          </w:p>
        </w:tc>
        <w:tc>
          <w:tcPr>
            <w:tcW w:w="774" w:type="pct"/>
            <w:tcBorders>
              <w:top w:val="nil"/>
              <w:left w:val="nil"/>
              <w:bottom w:val="single" w:sz="8" w:space="0" w:color="FFFFFF"/>
              <w:right w:val="single" w:sz="8" w:space="0" w:color="FFFFFF"/>
            </w:tcBorders>
            <w:shd w:val="clear" w:color="000000" w:fill="D6EAAF"/>
            <w:noWrap/>
            <w:vAlign w:val="center"/>
            <w:hideMark/>
          </w:tcPr>
          <w:p w14:paraId="1915D52B"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87,790,642,445</w:t>
            </w:r>
          </w:p>
        </w:tc>
        <w:tc>
          <w:tcPr>
            <w:tcW w:w="774" w:type="pct"/>
            <w:tcBorders>
              <w:top w:val="nil"/>
              <w:left w:val="nil"/>
              <w:bottom w:val="single" w:sz="8" w:space="0" w:color="FFFFFF"/>
              <w:right w:val="single" w:sz="8" w:space="0" w:color="FFFFFF"/>
            </w:tcBorders>
            <w:shd w:val="clear" w:color="000000" w:fill="D6EAAF"/>
            <w:noWrap/>
            <w:vAlign w:val="center"/>
            <w:hideMark/>
          </w:tcPr>
          <w:p w14:paraId="759F8F29"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68,712,697,484</w:t>
            </w:r>
          </w:p>
        </w:tc>
      </w:tr>
      <w:tr w:rsidR="00E8603D" w:rsidRPr="002946A9" w14:paraId="7967F954"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1F04585A"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8</w:t>
            </w:r>
          </w:p>
        </w:tc>
        <w:tc>
          <w:tcPr>
            <w:tcW w:w="774" w:type="pct"/>
            <w:tcBorders>
              <w:top w:val="nil"/>
              <w:left w:val="nil"/>
              <w:bottom w:val="single" w:sz="8" w:space="0" w:color="FFFFFF"/>
              <w:right w:val="single" w:sz="8" w:space="0" w:color="FFFFFF"/>
            </w:tcBorders>
            <w:shd w:val="clear" w:color="000000" w:fill="EAF4D7"/>
            <w:noWrap/>
            <w:vAlign w:val="center"/>
            <w:hideMark/>
          </w:tcPr>
          <w:p w14:paraId="04BE2A7F"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5,948,989,617</w:t>
            </w:r>
          </w:p>
        </w:tc>
        <w:tc>
          <w:tcPr>
            <w:tcW w:w="774" w:type="pct"/>
            <w:tcBorders>
              <w:top w:val="nil"/>
              <w:left w:val="nil"/>
              <w:bottom w:val="single" w:sz="8" w:space="0" w:color="FFFFFF"/>
              <w:right w:val="single" w:sz="8" w:space="0" w:color="FFFFFF"/>
            </w:tcBorders>
            <w:shd w:val="clear" w:color="000000" w:fill="EAF4D7"/>
            <w:noWrap/>
            <w:vAlign w:val="center"/>
            <w:hideMark/>
          </w:tcPr>
          <w:p w14:paraId="0E710DA7"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20,347,168,278</w:t>
            </w:r>
          </w:p>
        </w:tc>
        <w:tc>
          <w:tcPr>
            <w:tcW w:w="774" w:type="pct"/>
            <w:tcBorders>
              <w:top w:val="nil"/>
              <w:left w:val="nil"/>
              <w:bottom w:val="single" w:sz="8" w:space="0" w:color="FFFFFF"/>
              <w:right w:val="single" w:sz="8" w:space="0" w:color="FFFFFF"/>
            </w:tcBorders>
            <w:shd w:val="clear" w:color="000000" w:fill="EAF4D7"/>
            <w:noWrap/>
            <w:vAlign w:val="center"/>
            <w:hideMark/>
          </w:tcPr>
          <w:p w14:paraId="22256609"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9,249,284,571</w:t>
            </w:r>
          </w:p>
        </w:tc>
        <w:tc>
          <w:tcPr>
            <w:tcW w:w="824" w:type="pct"/>
            <w:tcBorders>
              <w:top w:val="nil"/>
              <w:left w:val="nil"/>
              <w:bottom w:val="single" w:sz="8" w:space="0" w:color="FFFFFF"/>
              <w:right w:val="single" w:sz="8" w:space="0" w:color="FFFFFF"/>
            </w:tcBorders>
            <w:shd w:val="clear" w:color="000000" w:fill="EAF4D7"/>
            <w:noWrap/>
            <w:vAlign w:val="center"/>
            <w:hideMark/>
          </w:tcPr>
          <w:p w14:paraId="0FC81AC0"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41,237,931,284</w:t>
            </w:r>
          </w:p>
        </w:tc>
        <w:tc>
          <w:tcPr>
            <w:tcW w:w="774" w:type="pct"/>
            <w:tcBorders>
              <w:top w:val="nil"/>
              <w:left w:val="nil"/>
              <w:bottom w:val="single" w:sz="8" w:space="0" w:color="FFFFFF"/>
              <w:right w:val="single" w:sz="8" w:space="0" w:color="FFFFFF"/>
            </w:tcBorders>
            <w:shd w:val="clear" w:color="000000" w:fill="EAF4D7"/>
            <w:noWrap/>
            <w:vAlign w:val="center"/>
            <w:hideMark/>
          </w:tcPr>
          <w:p w14:paraId="0AB6E310"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18,841,353,175</w:t>
            </w:r>
          </w:p>
        </w:tc>
        <w:tc>
          <w:tcPr>
            <w:tcW w:w="774" w:type="pct"/>
            <w:tcBorders>
              <w:top w:val="nil"/>
              <w:left w:val="nil"/>
              <w:bottom w:val="single" w:sz="8" w:space="0" w:color="FFFFFF"/>
              <w:right w:val="single" w:sz="8" w:space="0" w:color="FFFFFF"/>
            </w:tcBorders>
            <w:shd w:val="clear" w:color="000000" w:fill="EAF4D7"/>
            <w:noWrap/>
            <w:vAlign w:val="center"/>
            <w:hideMark/>
          </w:tcPr>
          <w:p w14:paraId="25318FD7"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11,877,791,998</w:t>
            </w:r>
          </w:p>
        </w:tc>
      </w:tr>
      <w:tr w:rsidR="00E8603D" w:rsidRPr="002946A9" w14:paraId="4D99AE43"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24D4FDA2"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9</w:t>
            </w:r>
          </w:p>
        </w:tc>
        <w:tc>
          <w:tcPr>
            <w:tcW w:w="774" w:type="pct"/>
            <w:tcBorders>
              <w:top w:val="nil"/>
              <w:left w:val="nil"/>
              <w:bottom w:val="single" w:sz="8" w:space="0" w:color="FFFFFF"/>
              <w:right w:val="single" w:sz="8" w:space="0" w:color="FFFFFF"/>
            </w:tcBorders>
            <w:shd w:val="clear" w:color="000000" w:fill="D6EAAF"/>
            <w:noWrap/>
            <w:vAlign w:val="center"/>
            <w:hideMark/>
          </w:tcPr>
          <w:p w14:paraId="1A12FBE8"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14,647,639,000</w:t>
            </w:r>
          </w:p>
        </w:tc>
        <w:tc>
          <w:tcPr>
            <w:tcW w:w="774" w:type="pct"/>
            <w:tcBorders>
              <w:top w:val="nil"/>
              <w:left w:val="nil"/>
              <w:bottom w:val="single" w:sz="8" w:space="0" w:color="FFFFFF"/>
              <w:right w:val="single" w:sz="8" w:space="0" w:color="FFFFFF"/>
            </w:tcBorders>
            <w:shd w:val="clear" w:color="000000" w:fill="D6EAAF"/>
            <w:noWrap/>
            <w:vAlign w:val="center"/>
            <w:hideMark/>
          </w:tcPr>
          <w:p w14:paraId="6556B4C4"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14,847,779,000</w:t>
            </w:r>
          </w:p>
        </w:tc>
        <w:tc>
          <w:tcPr>
            <w:tcW w:w="774" w:type="pct"/>
            <w:tcBorders>
              <w:top w:val="nil"/>
              <w:left w:val="nil"/>
              <w:bottom w:val="single" w:sz="8" w:space="0" w:color="FFFFFF"/>
              <w:right w:val="single" w:sz="8" w:space="0" w:color="FFFFFF"/>
            </w:tcBorders>
            <w:shd w:val="clear" w:color="000000" w:fill="D6EAAF"/>
            <w:noWrap/>
            <w:vAlign w:val="center"/>
            <w:hideMark/>
          </w:tcPr>
          <w:p w14:paraId="4A61B9F7"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11,096,632,000</w:t>
            </w:r>
          </w:p>
        </w:tc>
        <w:tc>
          <w:tcPr>
            <w:tcW w:w="824" w:type="pct"/>
            <w:tcBorders>
              <w:top w:val="nil"/>
              <w:left w:val="nil"/>
              <w:bottom w:val="single" w:sz="8" w:space="0" w:color="FFFFFF"/>
              <w:right w:val="single" w:sz="8" w:space="0" w:color="FFFFFF"/>
            </w:tcBorders>
            <w:shd w:val="clear" w:color="000000" w:fill="D6EAAF"/>
            <w:noWrap/>
            <w:vAlign w:val="center"/>
            <w:hideMark/>
          </w:tcPr>
          <w:p w14:paraId="22280EC0"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13,587,962,000</w:t>
            </w:r>
          </w:p>
        </w:tc>
        <w:tc>
          <w:tcPr>
            <w:tcW w:w="774" w:type="pct"/>
            <w:tcBorders>
              <w:top w:val="nil"/>
              <w:left w:val="nil"/>
              <w:bottom w:val="single" w:sz="8" w:space="0" w:color="FFFFFF"/>
              <w:right w:val="single" w:sz="8" w:space="0" w:color="FFFFFF"/>
            </w:tcBorders>
            <w:shd w:val="clear" w:color="000000" w:fill="D6EAAF"/>
            <w:noWrap/>
            <w:vAlign w:val="center"/>
            <w:hideMark/>
          </w:tcPr>
          <w:p w14:paraId="75CAA34E"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13,068,428,000</w:t>
            </w:r>
          </w:p>
        </w:tc>
        <w:tc>
          <w:tcPr>
            <w:tcW w:w="774" w:type="pct"/>
            <w:tcBorders>
              <w:top w:val="nil"/>
              <w:left w:val="nil"/>
              <w:bottom w:val="single" w:sz="8" w:space="0" w:color="FFFFFF"/>
              <w:right w:val="single" w:sz="8" w:space="0" w:color="FFFFFF"/>
            </w:tcBorders>
            <w:shd w:val="clear" w:color="000000" w:fill="D6EAAF"/>
            <w:noWrap/>
            <w:vAlign w:val="center"/>
            <w:hideMark/>
          </w:tcPr>
          <w:p w14:paraId="79E7D314"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12,484,009,000</w:t>
            </w:r>
          </w:p>
        </w:tc>
      </w:tr>
      <w:tr w:rsidR="007D65E3" w:rsidRPr="002946A9" w14:paraId="78A6BDDD"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1BBF0DE5" w14:textId="77777777" w:rsidR="007D65E3" w:rsidRPr="002946A9" w:rsidRDefault="007D65E3" w:rsidP="007D65E3">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10</w:t>
            </w:r>
          </w:p>
        </w:tc>
        <w:tc>
          <w:tcPr>
            <w:tcW w:w="774" w:type="pct"/>
            <w:tcBorders>
              <w:top w:val="nil"/>
              <w:left w:val="nil"/>
              <w:bottom w:val="single" w:sz="8" w:space="0" w:color="FFFFFF"/>
              <w:right w:val="single" w:sz="8" w:space="0" w:color="FFFFFF"/>
            </w:tcBorders>
            <w:shd w:val="clear" w:color="000000" w:fill="EAF4D7"/>
            <w:noWrap/>
            <w:vAlign w:val="center"/>
            <w:hideMark/>
          </w:tcPr>
          <w:p w14:paraId="0B84BD99" w14:textId="77777777" w:rsidR="007D65E3" w:rsidRPr="002946A9" w:rsidRDefault="007D65E3" w:rsidP="007D65E3">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2,094,200,705</w:t>
            </w:r>
          </w:p>
        </w:tc>
        <w:tc>
          <w:tcPr>
            <w:tcW w:w="774" w:type="pct"/>
            <w:tcBorders>
              <w:top w:val="nil"/>
              <w:left w:val="nil"/>
              <w:bottom w:val="single" w:sz="8" w:space="0" w:color="FFFFFF"/>
              <w:right w:val="single" w:sz="8" w:space="0" w:color="FFFFFF"/>
            </w:tcBorders>
            <w:shd w:val="clear" w:color="000000" w:fill="EAF4D7"/>
            <w:noWrap/>
            <w:vAlign w:val="center"/>
            <w:hideMark/>
          </w:tcPr>
          <w:p w14:paraId="7E6A3AEB" w14:textId="77777777" w:rsidR="007D65E3" w:rsidRPr="002946A9" w:rsidRDefault="007D65E3" w:rsidP="007D65E3">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9,377,353,465</w:t>
            </w:r>
          </w:p>
        </w:tc>
        <w:tc>
          <w:tcPr>
            <w:tcW w:w="774" w:type="pct"/>
            <w:tcBorders>
              <w:top w:val="nil"/>
              <w:left w:val="nil"/>
              <w:bottom w:val="single" w:sz="8" w:space="0" w:color="FFFFFF"/>
              <w:right w:val="single" w:sz="8" w:space="0" w:color="FFFFFF"/>
            </w:tcBorders>
            <w:shd w:val="clear" w:color="000000" w:fill="EAF4D7"/>
            <w:noWrap/>
            <w:vAlign w:val="center"/>
            <w:hideMark/>
          </w:tcPr>
          <w:p w14:paraId="4C634D3F" w14:textId="77777777" w:rsidR="007D65E3" w:rsidRPr="002946A9" w:rsidRDefault="007D65E3" w:rsidP="007D65E3">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3,361,046,765</w:t>
            </w:r>
          </w:p>
        </w:tc>
        <w:tc>
          <w:tcPr>
            <w:tcW w:w="824" w:type="pct"/>
            <w:tcBorders>
              <w:top w:val="nil"/>
              <w:left w:val="nil"/>
              <w:bottom w:val="single" w:sz="8" w:space="0" w:color="FFFFFF"/>
              <w:right w:val="single" w:sz="8" w:space="0" w:color="FFFFFF"/>
            </w:tcBorders>
            <w:shd w:val="clear" w:color="000000" w:fill="EAF4D7"/>
            <w:noWrap/>
            <w:vAlign w:val="center"/>
            <w:hideMark/>
          </w:tcPr>
          <w:p w14:paraId="189737BD" w14:textId="09F41713" w:rsidR="007D65E3" w:rsidRPr="002946A9" w:rsidRDefault="007D65E3" w:rsidP="007D65E3">
            <w:pPr>
              <w:spacing w:after="0" w:line="240" w:lineRule="auto"/>
              <w:jc w:val="right"/>
              <w:rPr>
                <w:rFonts w:ascii="Trebuchet MS" w:eastAsia="Times New Roman" w:hAnsi="Trebuchet MS" w:cs="Calibri"/>
                <w:color w:val="000000"/>
                <w:sz w:val="14"/>
                <w:szCs w:val="14"/>
                <w:lang w:eastAsia="es-CO"/>
              </w:rPr>
            </w:pPr>
            <w:r>
              <w:rPr>
                <w:rFonts w:ascii="Trebuchet MS" w:hAnsi="Trebuchet MS" w:cs="Calibri"/>
                <w:color w:val="000000"/>
                <w:sz w:val="14"/>
                <w:szCs w:val="14"/>
              </w:rPr>
              <w:t>7,816,535,857</w:t>
            </w:r>
          </w:p>
        </w:tc>
        <w:tc>
          <w:tcPr>
            <w:tcW w:w="774" w:type="pct"/>
            <w:tcBorders>
              <w:top w:val="nil"/>
              <w:left w:val="nil"/>
              <w:bottom w:val="single" w:sz="8" w:space="0" w:color="FFFFFF"/>
              <w:right w:val="single" w:sz="8" w:space="0" w:color="FFFFFF"/>
            </w:tcBorders>
            <w:shd w:val="clear" w:color="000000" w:fill="EAF4D7"/>
            <w:noWrap/>
            <w:vAlign w:val="center"/>
            <w:hideMark/>
          </w:tcPr>
          <w:p w14:paraId="7C421CEE" w14:textId="77777777" w:rsidR="007D65E3" w:rsidRPr="002946A9" w:rsidRDefault="007D65E3" w:rsidP="007D65E3">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10,452,907,333</w:t>
            </w:r>
          </w:p>
        </w:tc>
        <w:tc>
          <w:tcPr>
            <w:tcW w:w="774" w:type="pct"/>
            <w:tcBorders>
              <w:top w:val="nil"/>
              <w:left w:val="nil"/>
              <w:bottom w:val="single" w:sz="8" w:space="0" w:color="FFFFFF"/>
              <w:right w:val="single" w:sz="8" w:space="0" w:color="FFFFFF"/>
            </w:tcBorders>
            <w:shd w:val="clear" w:color="000000" w:fill="EAF4D7"/>
            <w:noWrap/>
            <w:vAlign w:val="center"/>
            <w:hideMark/>
          </w:tcPr>
          <w:p w14:paraId="0F5CDD69" w14:textId="77777777" w:rsidR="007D65E3" w:rsidRPr="002946A9" w:rsidRDefault="007D65E3" w:rsidP="007D65E3">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3,038,835,000</w:t>
            </w:r>
          </w:p>
        </w:tc>
      </w:tr>
      <w:tr w:rsidR="007D65E3" w:rsidRPr="002946A9" w14:paraId="17A52E79"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9FD37C"/>
            <w:vAlign w:val="center"/>
            <w:hideMark/>
          </w:tcPr>
          <w:p w14:paraId="2FCEB462" w14:textId="77777777" w:rsidR="007D65E3" w:rsidRPr="002946A9" w:rsidRDefault="007D65E3" w:rsidP="007D65E3">
            <w:pPr>
              <w:spacing w:after="0" w:line="240" w:lineRule="auto"/>
              <w:jc w:val="center"/>
              <w:rPr>
                <w:rFonts w:ascii="Arial" w:eastAsia="Times New Roman" w:hAnsi="Arial" w:cs="Arial"/>
                <w:b/>
                <w:bCs/>
                <w:color w:val="000000"/>
                <w:sz w:val="14"/>
                <w:szCs w:val="14"/>
                <w:lang w:eastAsia="es-CO"/>
              </w:rPr>
            </w:pPr>
            <w:r w:rsidRPr="002946A9">
              <w:rPr>
                <w:rFonts w:ascii="Arial" w:eastAsia="Times New Roman" w:hAnsi="Arial" w:cs="Arial"/>
                <w:b/>
                <w:bCs/>
                <w:color w:val="000000"/>
                <w:sz w:val="14"/>
                <w:szCs w:val="14"/>
                <w:lang w:eastAsia="es-CO"/>
              </w:rPr>
              <w:t>Total</w:t>
            </w:r>
          </w:p>
        </w:tc>
        <w:tc>
          <w:tcPr>
            <w:tcW w:w="774" w:type="pct"/>
            <w:tcBorders>
              <w:top w:val="nil"/>
              <w:left w:val="nil"/>
              <w:bottom w:val="single" w:sz="8" w:space="0" w:color="FFFFFF"/>
              <w:right w:val="single" w:sz="8" w:space="0" w:color="FFFFFF"/>
            </w:tcBorders>
            <w:shd w:val="clear" w:color="000000" w:fill="9FD37C"/>
            <w:noWrap/>
            <w:vAlign w:val="center"/>
            <w:hideMark/>
          </w:tcPr>
          <w:p w14:paraId="27EAD910" w14:textId="77777777" w:rsidR="007D65E3" w:rsidRPr="002946A9" w:rsidRDefault="007D65E3" w:rsidP="007D65E3">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128,060,761,451</w:t>
            </w:r>
          </w:p>
        </w:tc>
        <w:tc>
          <w:tcPr>
            <w:tcW w:w="774" w:type="pct"/>
            <w:tcBorders>
              <w:top w:val="nil"/>
              <w:left w:val="nil"/>
              <w:bottom w:val="single" w:sz="8" w:space="0" w:color="FFFFFF"/>
              <w:right w:val="single" w:sz="8" w:space="0" w:color="FFFFFF"/>
            </w:tcBorders>
            <w:shd w:val="clear" w:color="000000" w:fill="9FD37C"/>
            <w:noWrap/>
            <w:vAlign w:val="center"/>
            <w:hideMark/>
          </w:tcPr>
          <w:p w14:paraId="7795FCE5" w14:textId="77777777" w:rsidR="007D65E3" w:rsidRPr="002946A9" w:rsidRDefault="007D65E3" w:rsidP="007D65E3">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168,092,931,488</w:t>
            </w:r>
          </w:p>
        </w:tc>
        <w:tc>
          <w:tcPr>
            <w:tcW w:w="774" w:type="pct"/>
            <w:tcBorders>
              <w:top w:val="nil"/>
              <w:left w:val="nil"/>
              <w:bottom w:val="single" w:sz="8" w:space="0" w:color="FFFFFF"/>
              <w:right w:val="single" w:sz="8" w:space="0" w:color="FFFFFF"/>
            </w:tcBorders>
            <w:shd w:val="clear" w:color="000000" w:fill="9FD37C"/>
            <w:noWrap/>
            <w:vAlign w:val="center"/>
            <w:hideMark/>
          </w:tcPr>
          <w:p w14:paraId="5013E556" w14:textId="77777777" w:rsidR="007D65E3" w:rsidRPr="002946A9" w:rsidRDefault="007D65E3" w:rsidP="007D65E3">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142,609,529,082</w:t>
            </w:r>
          </w:p>
        </w:tc>
        <w:tc>
          <w:tcPr>
            <w:tcW w:w="824" w:type="pct"/>
            <w:tcBorders>
              <w:top w:val="nil"/>
              <w:left w:val="nil"/>
              <w:bottom w:val="single" w:sz="8" w:space="0" w:color="FFFFFF"/>
              <w:right w:val="single" w:sz="8" w:space="0" w:color="FFFFFF"/>
            </w:tcBorders>
            <w:shd w:val="clear" w:color="000000" w:fill="9FD37C"/>
            <w:noWrap/>
            <w:vAlign w:val="center"/>
            <w:hideMark/>
          </w:tcPr>
          <w:p w14:paraId="2651EFBB" w14:textId="044957AC" w:rsidR="007D65E3" w:rsidRPr="002946A9" w:rsidRDefault="007D65E3" w:rsidP="007D65E3">
            <w:pPr>
              <w:spacing w:after="0" w:line="240" w:lineRule="auto"/>
              <w:jc w:val="right"/>
              <w:rPr>
                <w:rFonts w:ascii="Trebuchet MS" w:eastAsia="Times New Roman" w:hAnsi="Trebuchet MS" w:cs="Calibri"/>
                <w:b/>
                <w:bCs/>
                <w:color w:val="000000"/>
                <w:sz w:val="14"/>
                <w:szCs w:val="14"/>
                <w:lang w:eastAsia="es-CO"/>
              </w:rPr>
            </w:pPr>
            <w:r>
              <w:rPr>
                <w:rFonts w:ascii="Trebuchet MS" w:hAnsi="Trebuchet MS" w:cs="Calibri"/>
                <w:b/>
                <w:bCs/>
                <w:color w:val="000000"/>
                <w:sz w:val="14"/>
                <w:szCs w:val="14"/>
              </w:rPr>
              <w:t>183,020,106,610</w:t>
            </w:r>
          </w:p>
        </w:tc>
        <w:tc>
          <w:tcPr>
            <w:tcW w:w="774" w:type="pct"/>
            <w:tcBorders>
              <w:top w:val="nil"/>
              <w:left w:val="nil"/>
              <w:bottom w:val="single" w:sz="8" w:space="0" w:color="FFFFFF"/>
              <w:right w:val="single" w:sz="8" w:space="0" w:color="FFFFFF"/>
            </w:tcBorders>
            <w:shd w:val="clear" w:color="000000" w:fill="9FD37C"/>
            <w:noWrap/>
            <w:vAlign w:val="center"/>
            <w:hideMark/>
          </w:tcPr>
          <w:p w14:paraId="3066AA75" w14:textId="77777777" w:rsidR="007D65E3" w:rsidRPr="002946A9" w:rsidRDefault="007D65E3" w:rsidP="007D65E3">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149,877,407,215</w:t>
            </w:r>
          </w:p>
        </w:tc>
        <w:tc>
          <w:tcPr>
            <w:tcW w:w="774" w:type="pct"/>
            <w:tcBorders>
              <w:top w:val="nil"/>
              <w:left w:val="nil"/>
              <w:bottom w:val="single" w:sz="8" w:space="0" w:color="FFFFFF"/>
              <w:right w:val="single" w:sz="8" w:space="0" w:color="FFFFFF"/>
            </w:tcBorders>
            <w:shd w:val="clear" w:color="000000" w:fill="9FD37C"/>
            <w:noWrap/>
            <w:vAlign w:val="center"/>
            <w:hideMark/>
          </w:tcPr>
          <w:p w14:paraId="6DA615F4" w14:textId="77777777" w:rsidR="007D65E3" w:rsidRPr="002946A9" w:rsidRDefault="007D65E3" w:rsidP="007D65E3">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111,464,448,632</w:t>
            </w:r>
          </w:p>
        </w:tc>
      </w:tr>
      <w:tr w:rsidR="00E8603D" w:rsidRPr="002946A9" w14:paraId="62224A21" w14:textId="77777777" w:rsidTr="00BF7136">
        <w:trPr>
          <w:trHeight w:val="20"/>
          <w:jc w:val="center"/>
        </w:trPr>
        <w:tc>
          <w:tcPr>
            <w:tcW w:w="5000" w:type="pct"/>
            <w:gridSpan w:val="7"/>
            <w:tcBorders>
              <w:top w:val="single" w:sz="8" w:space="0" w:color="FFFFFF"/>
              <w:left w:val="single" w:sz="8" w:space="0" w:color="FFFFFF"/>
              <w:bottom w:val="single" w:sz="8" w:space="0" w:color="FFFFFF"/>
              <w:right w:val="nil"/>
            </w:tcBorders>
            <w:shd w:val="clear" w:color="000000" w:fill="EAF4D7"/>
            <w:vAlign w:val="center"/>
          </w:tcPr>
          <w:p w14:paraId="36F4A31C" w14:textId="37AFE0AD" w:rsidR="00A9370B" w:rsidRPr="002946A9" w:rsidRDefault="00A9370B" w:rsidP="00A9370B">
            <w:pPr>
              <w:spacing w:after="0" w:line="240" w:lineRule="auto"/>
              <w:rPr>
                <w:rFonts w:ascii="Calibri" w:eastAsia="Times New Roman" w:hAnsi="Calibri" w:cs="Calibri"/>
                <w:color w:val="000000"/>
                <w:sz w:val="2"/>
                <w:szCs w:val="2"/>
                <w:lang w:eastAsia="es-CO"/>
              </w:rPr>
            </w:pPr>
          </w:p>
        </w:tc>
      </w:tr>
      <w:tr w:rsidR="00E8603D" w:rsidRPr="002946A9" w14:paraId="1DFDA5ED" w14:textId="77777777" w:rsidTr="00BF7136">
        <w:trPr>
          <w:trHeight w:val="20"/>
          <w:jc w:val="center"/>
        </w:trPr>
        <w:tc>
          <w:tcPr>
            <w:tcW w:w="306" w:type="pct"/>
            <w:vMerge w:val="restart"/>
            <w:tcBorders>
              <w:top w:val="nil"/>
              <w:left w:val="single" w:sz="8" w:space="0" w:color="FFFFFF"/>
              <w:bottom w:val="single" w:sz="8" w:space="0" w:color="FFFFFF"/>
              <w:right w:val="single" w:sz="8" w:space="0" w:color="FFFFFF"/>
            </w:tcBorders>
            <w:shd w:val="clear" w:color="000000" w:fill="BFE2A8"/>
            <w:vAlign w:val="center"/>
            <w:hideMark/>
          </w:tcPr>
          <w:p w14:paraId="5882AF79" w14:textId="77777777" w:rsidR="00E8603D" w:rsidRPr="002946A9" w:rsidRDefault="00E8603D" w:rsidP="00E8603D">
            <w:pPr>
              <w:spacing w:after="0" w:line="240" w:lineRule="auto"/>
              <w:jc w:val="center"/>
              <w:rPr>
                <w:rFonts w:ascii="Bookman Old Style" w:eastAsia="Times New Roman" w:hAnsi="Bookman Old Style" w:cs="Calibri"/>
                <w:b/>
                <w:bCs/>
                <w:i/>
                <w:iCs/>
                <w:color w:val="000000"/>
                <w:sz w:val="14"/>
                <w:szCs w:val="14"/>
                <w:lang w:eastAsia="es-CO"/>
              </w:rPr>
            </w:pPr>
            <w:r w:rsidRPr="002946A9">
              <w:rPr>
                <w:rFonts w:ascii="Bookman Old Style" w:eastAsia="Times New Roman" w:hAnsi="Bookman Old Style" w:cs="Calibri"/>
                <w:b/>
                <w:bCs/>
                <w:i/>
                <w:iCs/>
                <w:color w:val="000000"/>
                <w:sz w:val="14"/>
                <w:szCs w:val="14"/>
                <w:lang w:eastAsia="es-CO"/>
              </w:rPr>
              <w:t>l</w:t>
            </w:r>
          </w:p>
        </w:tc>
        <w:tc>
          <w:tcPr>
            <w:tcW w:w="4694" w:type="pct"/>
            <w:gridSpan w:val="6"/>
            <w:tcBorders>
              <w:top w:val="single" w:sz="8" w:space="0" w:color="FFFFFF"/>
              <w:left w:val="nil"/>
              <w:bottom w:val="single" w:sz="8" w:space="0" w:color="FFFFFF"/>
              <w:right w:val="nil"/>
            </w:tcBorders>
            <w:shd w:val="clear" w:color="000000" w:fill="BFE2A8"/>
            <w:noWrap/>
            <w:vAlign w:val="center"/>
            <w:hideMark/>
          </w:tcPr>
          <w:p w14:paraId="2892ACD8" w14:textId="77777777" w:rsidR="00E8603D" w:rsidRPr="002946A9" w:rsidRDefault="00E8603D" w:rsidP="00E8603D">
            <w:pPr>
              <w:spacing w:after="0" w:line="240" w:lineRule="auto"/>
              <w:jc w:val="center"/>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Nivel de tensión 1</w:t>
            </w:r>
          </w:p>
        </w:tc>
      </w:tr>
      <w:tr w:rsidR="00E8603D" w:rsidRPr="002946A9" w14:paraId="58D2C920" w14:textId="77777777" w:rsidTr="00BF7136">
        <w:trPr>
          <w:trHeight w:val="20"/>
          <w:jc w:val="center"/>
        </w:trPr>
        <w:tc>
          <w:tcPr>
            <w:tcW w:w="306" w:type="pct"/>
            <w:vMerge/>
            <w:tcBorders>
              <w:top w:val="nil"/>
              <w:left w:val="single" w:sz="8" w:space="0" w:color="FFFFFF"/>
              <w:bottom w:val="single" w:sz="8" w:space="0" w:color="FFFFFF"/>
              <w:right w:val="single" w:sz="8" w:space="0" w:color="FFFFFF"/>
            </w:tcBorders>
            <w:vAlign w:val="center"/>
            <w:hideMark/>
          </w:tcPr>
          <w:p w14:paraId="26D32534" w14:textId="77777777" w:rsidR="00E8603D" w:rsidRPr="002946A9" w:rsidRDefault="00E8603D" w:rsidP="00E8603D">
            <w:pPr>
              <w:spacing w:after="0" w:line="240" w:lineRule="auto"/>
              <w:rPr>
                <w:rFonts w:ascii="Bookman Old Style" w:eastAsia="Times New Roman" w:hAnsi="Bookman Old Style" w:cs="Calibri"/>
                <w:b/>
                <w:bCs/>
                <w:i/>
                <w:iCs/>
                <w:color w:val="000000"/>
                <w:sz w:val="14"/>
                <w:szCs w:val="14"/>
                <w:lang w:eastAsia="es-CO"/>
              </w:rPr>
            </w:pPr>
          </w:p>
        </w:tc>
        <w:tc>
          <w:tcPr>
            <w:tcW w:w="774" w:type="pct"/>
            <w:tcBorders>
              <w:top w:val="nil"/>
              <w:left w:val="nil"/>
              <w:bottom w:val="single" w:sz="8" w:space="0" w:color="FFFFFF"/>
              <w:right w:val="single" w:sz="8" w:space="0" w:color="FFFFFF"/>
            </w:tcBorders>
            <w:shd w:val="clear" w:color="000000" w:fill="BFE2A8"/>
            <w:noWrap/>
            <w:vAlign w:val="center"/>
            <w:hideMark/>
          </w:tcPr>
          <w:p w14:paraId="0D4706E6"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2020</w:t>
            </w:r>
          </w:p>
        </w:tc>
        <w:tc>
          <w:tcPr>
            <w:tcW w:w="774" w:type="pct"/>
            <w:tcBorders>
              <w:top w:val="nil"/>
              <w:left w:val="nil"/>
              <w:bottom w:val="single" w:sz="8" w:space="0" w:color="FFFFFF"/>
              <w:right w:val="single" w:sz="8" w:space="0" w:color="FFFFFF"/>
            </w:tcBorders>
            <w:shd w:val="clear" w:color="000000" w:fill="BFE2A8"/>
            <w:noWrap/>
            <w:vAlign w:val="center"/>
            <w:hideMark/>
          </w:tcPr>
          <w:p w14:paraId="78E05235"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2021</w:t>
            </w:r>
          </w:p>
        </w:tc>
        <w:tc>
          <w:tcPr>
            <w:tcW w:w="774" w:type="pct"/>
            <w:tcBorders>
              <w:top w:val="nil"/>
              <w:left w:val="nil"/>
              <w:bottom w:val="single" w:sz="8" w:space="0" w:color="FFFFFF"/>
              <w:right w:val="single" w:sz="8" w:space="0" w:color="FFFFFF"/>
            </w:tcBorders>
            <w:shd w:val="clear" w:color="000000" w:fill="BFE2A8"/>
            <w:noWrap/>
            <w:vAlign w:val="center"/>
            <w:hideMark/>
          </w:tcPr>
          <w:p w14:paraId="50BEC559"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2022</w:t>
            </w:r>
          </w:p>
        </w:tc>
        <w:tc>
          <w:tcPr>
            <w:tcW w:w="824" w:type="pct"/>
            <w:tcBorders>
              <w:top w:val="nil"/>
              <w:left w:val="nil"/>
              <w:bottom w:val="single" w:sz="8" w:space="0" w:color="FFFFFF"/>
              <w:right w:val="single" w:sz="8" w:space="0" w:color="FFFFFF"/>
            </w:tcBorders>
            <w:shd w:val="clear" w:color="000000" w:fill="BFE2A8"/>
            <w:noWrap/>
            <w:vAlign w:val="center"/>
            <w:hideMark/>
          </w:tcPr>
          <w:p w14:paraId="41A5B82E"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2023</w:t>
            </w:r>
          </w:p>
        </w:tc>
        <w:tc>
          <w:tcPr>
            <w:tcW w:w="774" w:type="pct"/>
            <w:tcBorders>
              <w:top w:val="nil"/>
              <w:left w:val="nil"/>
              <w:bottom w:val="single" w:sz="8" w:space="0" w:color="FFFFFF"/>
              <w:right w:val="single" w:sz="8" w:space="0" w:color="FFFFFF"/>
            </w:tcBorders>
            <w:shd w:val="clear" w:color="000000" w:fill="BFE2A8"/>
            <w:noWrap/>
            <w:vAlign w:val="center"/>
            <w:hideMark/>
          </w:tcPr>
          <w:p w14:paraId="0D97962E"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2024</w:t>
            </w:r>
          </w:p>
        </w:tc>
        <w:tc>
          <w:tcPr>
            <w:tcW w:w="774" w:type="pct"/>
            <w:tcBorders>
              <w:top w:val="nil"/>
              <w:left w:val="nil"/>
              <w:bottom w:val="single" w:sz="8" w:space="0" w:color="FFFFFF"/>
              <w:right w:val="single" w:sz="8" w:space="0" w:color="FFFFFF"/>
            </w:tcBorders>
            <w:shd w:val="clear" w:color="000000" w:fill="BFE2A8"/>
            <w:noWrap/>
            <w:vAlign w:val="center"/>
            <w:hideMark/>
          </w:tcPr>
          <w:p w14:paraId="0B69118B"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2025</w:t>
            </w:r>
          </w:p>
        </w:tc>
      </w:tr>
      <w:tr w:rsidR="00E8603D" w:rsidRPr="002946A9" w14:paraId="3E6F24A3"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297AC358"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11</w:t>
            </w:r>
          </w:p>
        </w:tc>
        <w:tc>
          <w:tcPr>
            <w:tcW w:w="774" w:type="pct"/>
            <w:tcBorders>
              <w:top w:val="nil"/>
              <w:left w:val="nil"/>
              <w:bottom w:val="single" w:sz="8" w:space="0" w:color="FFFFFF"/>
              <w:right w:val="single" w:sz="8" w:space="0" w:color="FFFFFF"/>
            </w:tcBorders>
            <w:shd w:val="clear" w:color="000000" w:fill="D6EAAF"/>
            <w:noWrap/>
            <w:vAlign w:val="center"/>
            <w:hideMark/>
          </w:tcPr>
          <w:p w14:paraId="65A4BDF7"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18,492,377,000</w:t>
            </w:r>
          </w:p>
        </w:tc>
        <w:tc>
          <w:tcPr>
            <w:tcW w:w="774" w:type="pct"/>
            <w:tcBorders>
              <w:top w:val="nil"/>
              <w:left w:val="nil"/>
              <w:bottom w:val="single" w:sz="8" w:space="0" w:color="FFFFFF"/>
              <w:right w:val="single" w:sz="8" w:space="0" w:color="FFFFFF"/>
            </w:tcBorders>
            <w:shd w:val="clear" w:color="000000" w:fill="D6EAAF"/>
            <w:noWrap/>
            <w:vAlign w:val="center"/>
            <w:hideMark/>
          </w:tcPr>
          <w:p w14:paraId="7C189301"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39,025,994,918</w:t>
            </w:r>
          </w:p>
        </w:tc>
        <w:tc>
          <w:tcPr>
            <w:tcW w:w="774" w:type="pct"/>
            <w:tcBorders>
              <w:top w:val="nil"/>
              <w:left w:val="nil"/>
              <w:bottom w:val="single" w:sz="8" w:space="0" w:color="FFFFFF"/>
              <w:right w:val="single" w:sz="8" w:space="0" w:color="FFFFFF"/>
            </w:tcBorders>
            <w:shd w:val="clear" w:color="000000" w:fill="D6EAAF"/>
            <w:noWrap/>
            <w:vAlign w:val="center"/>
            <w:hideMark/>
          </w:tcPr>
          <w:p w14:paraId="55CC8B3E"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32,978,778,430</w:t>
            </w:r>
          </w:p>
        </w:tc>
        <w:tc>
          <w:tcPr>
            <w:tcW w:w="824" w:type="pct"/>
            <w:tcBorders>
              <w:top w:val="nil"/>
              <w:left w:val="nil"/>
              <w:bottom w:val="single" w:sz="8" w:space="0" w:color="FFFFFF"/>
              <w:right w:val="single" w:sz="8" w:space="0" w:color="FFFFFF"/>
            </w:tcBorders>
            <w:shd w:val="clear" w:color="000000" w:fill="D6EAAF"/>
            <w:noWrap/>
            <w:vAlign w:val="center"/>
            <w:hideMark/>
          </w:tcPr>
          <w:p w14:paraId="2306A95C"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33,046,512,430</w:t>
            </w:r>
          </w:p>
        </w:tc>
        <w:tc>
          <w:tcPr>
            <w:tcW w:w="774" w:type="pct"/>
            <w:tcBorders>
              <w:top w:val="nil"/>
              <w:left w:val="nil"/>
              <w:bottom w:val="single" w:sz="8" w:space="0" w:color="FFFFFF"/>
              <w:right w:val="single" w:sz="8" w:space="0" w:color="FFFFFF"/>
            </w:tcBorders>
            <w:shd w:val="clear" w:color="000000" w:fill="D6EAAF"/>
            <w:noWrap/>
            <w:vAlign w:val="center"/>
            <w:hideMark/>
          </w:tcPr>
          <w:p w14:paraId="519BEE1C"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30,110,583,000</w:t>
            </w:r>
          </w:p>
        </w:tc>
        <w:tc>
          <w:tcPr>
            <w:tcW w:w="774" w:type="pct"/>
            <w:tcBorders>
              <w:top w:val="nil"/>
              <w:left w:val="nil"/>
              <w:bottom w:val="single" w:sz="8" w:space="0" w:color="FFFFFF"/>
              <w:right w:val="single" w:sz="8" w:space="0" w:color="FFFFFF"/>
            </w:tcBorders>
            <w:shd w:val="clear" w:color="000000" w:fill="D6EAAF"/>
            <w:noWrap/>
            <w:vAlign w:val="center"/>
            <w:hideMark/>
          </w:tcPr>
          <w:p w14:paraId="660A9125"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32,059,436,000</w:t>
            </w:r>
          </w:p>
        </w:tc>
      </w:tr>
      <w:tr w:rsidR="00E8603D" w:rsidRPr="002946A9" w14:paraId="572F17BF"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48DD6625"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l = 12</w:t>
            </w:r>
          </w:p>
        </w:tc>
        <w:tc>
          <w:tcPr>
            <w:tcW w:w="774" w:type="pct"/>
            <w:tcBorders>
              <w:top w:val="nil"/>
              <w:left w:val="nil"/>
              <w:bottom w:val="single" w:sz="8" w:space="0" w:color="FFFFFF"/>
              <w:right w:val="single" w:sz="8" w:space="0" w:color="FFFFFF"/>
            </w:tcBorders>
            <w:shd w:val="clear" w:color="000000" w:fill="EAF4D7"/>
            <w:noWrap/>
            <w:vAlign w:val="center"/>
            <w:hideMark/>
          </w:tcPr>
          <w:p w14:paraId="70A4669D"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39,115,490,464</w:t>
            </w:r>
          </w:p>
        </w:tc>
        <w:tc>
          <w:tcPr>
            <w:tcW w:w="774" w:type="pct"/>
            <w:tcBorders>
              <w:top w:val="nil"/>
              <w:left w:val="nil"/>
              <w:bottom w:val="single" w:sz="8" w:space="0" w:color="FFFFFF"/>
              <w:right w:val="single" w:sz="8" w:space="0" w:color="FFFFFF"/>
            </w:tcBorders>
            <w:shd w:val="clear" w:color="000000" w:fill="EAF4D7"/>
            <w:noWrap/>
            <w:vAlign w:val="center"/>
            <w:hideMark/>
          </w:tcPr>
          <w:p w14:paraId="6E0198AF"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35,747,142,094</w:t>
            </w:r>
          </w:p>
        </w:tc>
        <w:tc>
          <w:tcPr>
            <w:tcW w:w="774" w:type="pct"/>
            <w:tcBorders>
              <w:top w:val="nil"/>
              <w:left w:val="nil"/>
              <w:bottom w:val="single" w:sz="8" w:space="0" w:color="FFFFFF"/>
              <w:right w:val="single" w:sz="8" w:space="0" w:color="FFFFFF"/>
            </w:tcBorders>
            <w:shd w:val="clear" w:color="000000" w:fill="EAF4D7"/>
            <w:noWrap/>
            <w:vAlign w:val="center"/>
            <w:hideMark/>
          </w:tcPr>
          <w:p w14:paraId="4E4B50F5"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34,791,232,003</w:t>
            </w:r>
          </w:p>
        </w:tc>
        <w:tc>
          <w:tcPr>
            <w:tcW w:w="824" w:type="pct"/>
            <w:tcBorders>
              <w:top w:val="nil"/>
              <w:left w:val="nil"/>
              <w:bottom w:val="single" w:sz="8" w:space="0" w:color="FFFFFF"/>
              <w:right w:val="single" w:sz="8" w:space="0" w:color="FFFFFF"/>
            </w:tcBorders>
            <w:shd w:val="clear" w:color="000000" w:fill="EAF4D7"/>
            <w:noWrap/>
            <w:vAlign w:val="center"/>
            <w:hideMark/>
          </w:tcPr>
          <w:p w14:paraId="3A6DA9AF"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33,204,602,780</w:t>
            </w:r>
          </w:p>
        </w:tc>
        <w:tc>
          <w:tcPr>
            <w:tcW w:w="774" w:type="pct"/>
            <w:tcBorders>
              <w:top w:val="nil"/>
              <w:left w:val="nil"/>
              <w:bottom w:val="single" w:sz="8" w:space="0" w:color="FFFFFF"/>
              <w:right w:val="single" w:sz="8" w:space="0" w:color="FFFFFF"/>
            </w:tcBorders>
            <w:shd w:val="clear" w:color="000000" w:fill="EAF4D7"/>
            <w:noWrap/>
            <w:vAlign w:val="center"/>
            <w:hideMark/>
          </w:tcPr>
          <w:p w14:paraId="1C1380E2"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33,156,167,780</w:t>
            </w:r>
          </w:p>
        </w:tc>
        <w:tc>
          <w:tcPr>
            <w:tcW w:w="774" w:type="pct"/>
            <w:tcBorders>
              <w:top w:val="nil"/>
              <w:left w:val="nil"/>
              <w:bottom w:val="single" w:sz="8" w:space="0" w:color="FFFFFF"/>
              <w:right w:val="single" w:sz="8" w:space="0" w:color="FFFFFF"/>
            </w:tcBorders>
            <w:shd w:val="clear" w:color="000000" w:fill="EAF4D7"/>
            <w:noWrap/>
            <w:vAlign w:val="center"/>
            <w:hideMark/>
          </w:tcPr>
          <w:p w14:paraId="33441D91" w14:textId="77777777" w:rsidR="00E8603D" w:rsidRPr="002946A9" w:rsidRDefault="00E8603D" w:rsidP="00E8603D">
            <w:pPr>
              <w:spacing w:after="0" w:line="240" w:lineRule="auto"/>
              <w:jc w:val="right"/>
              <w:rPr>
                <w:rFonts w:ascii="Trebuchet MS" w:eastAsia="Times New Roman" w:hAnsi="Trebuchet MS" w:cs="Calibri"/>
                <w:color w:val="000000"/>
                <w:sz w:val="14"/>
                <w:szCs w:val="14"/>
                <w:lang w:eastAsia="es-CO"/>
              </w:rPr>
            </w:pPr>
            <w:r w:rsidRPr="002946A9">
              <w:rPr>
                <w:rFonts w:ascii="Trebuchet MS" w:eastAsia="Times New Roman" w:hAnsi="Trebuchet MS" w:cs="Calibri"/>
                <w:color w:val="000000"/>
                <w:sz w:val="14"/>
                <w:szCs w:val="14"/>
                <w:lang w:eastAsia="es-CO"/>
              </w:rPr>
              <w:t>33,139,263,780</w:t>
            </w:r>
          </w:p>
        </w:tc>
      </w:tr>
      <w:tr w:rsidR="00E8603D" w:rsidRPr="002946A9" w14:paraId="672564F9"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9FD37C"/>
            <w:vAlign w:val="center"/>
            <w:hideMark/>
          </w:tcPr>
          <w:p w14:paraId="44AECC95" w14:textId="77777777" w:rsidR="00E8603D" w:rsidRPr="002946A9" w:rsidRDefault="00E8603D" w:rsidP="00E8603D">
            <w:pPr>
              <w:spacing w:after="0" w:line="240" w:lineRule="auto"/>
              <w:jc w:val="center"/>
              <w:rPr>
                <w:rFonts w:ascii="Arial" w:eastAsia="Times New Roman" w:hAnsi="Arial" w:cs="Arial"/>
                <w:b/>
                <w:bCs/>
                <w:color w:val="000000"/>
                <w:sz w:val="14"/>
                <w:szCs w:val="14"/>
                <w:lang w:eastAsia="es-CO"/>
              </w:rPr>
            </w:pPr>
            <w:r w:rsidRPr="002946A9">
              <w:rPr>
                <w:rFonts w:ascii="Arial" w:eastAsia="Times New Roman" w:hAnsi="Arial" w:cs="Arial"/>
                <w:b/>
                <w:bCs/>
                <w:color w:val="000000"/>
                <w:sz w:val="14"/>
                <w:szCs w:val="14"/>
                <w:lang w:eastAsia="es-CO"/>
              </w:rPr>
              <w:t>Total</w:t>
            </w:r>
          </w:p>
        </w:tc>
        <w:tc>
          <w:tcPr>
            <w:tcW w:w="774" w:type="pct"/>
            <w:tcBorders>
              <w:top w:val="nil"/>
              <w:left w:val="nil"/>
              <w:bottom w:val="single" w:sz="8" w:space="0" w:color="FFFFFF"/>
              <w:right w:val="single" w:sz="8" w:space="0" w:color="FFFFFF"/>
            </w:tcBorders>
            <w:shd w:val="clear" w:color="000000" w:fill="9FD37C"/>
            <w:noWrap/>
            <w:vAlign w:val="center"/>
            <w:hideMark/>
          </w:tcPr>
          <w:p w14:paraId="00EB53F0" w14:textId="77777777" w:rsidR="00E8603D" w:rsidRPr="002946A9" w:rsidRDefault="00E8603D" w:rsidP="00E8603D">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57,607,867,464</w:t>
            </w:r>
          </w:p>
        </w:tc>
        <w:tc>
          <w:tcPr>
            <w:tcW w:w="774" w:type="pct"/>
            <w:tcBorders>
              <w:top w:val="nil"/>
              <w:left w:val="nil"/>
              <w:bottom w:val="single" w:sz="8" w:space="0" w:color="FFFFFF"/>
              <w:right w:val="single" w:sz="8" w:space="0" w:color="FFFFFF"/>
            </w:tcBorders>
            <w:shd w:val="clear" w:color="000000" w:fill="9FD37C"/>
            <w:noWrap/>
            <w:vAlign w:val="center"/>
            <w:hideMark/>
          </w:tcPr>
          <w:p w14:paraId="5EFFCF90" w14:textId="77777777" w:rsidR="00E8603D" w:rsidRPr="002946A9" w:rsidRDefault="00E8603D" w:rsidP="00E8603D">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74,773,137,012</w:t>
            </w:r>
          </w:p>
        </w:tc>
        <w:tc>
          <w:tcPr>
            <w:tcW w:w="774" w:type="pct"/>
            <w:tcBorders>
              <w:top w:val="nil"/>
              <w:left w:val="nil"/>
              <w:bottom w:val="single" w:sz="8" w:space="0" w:color="FFFFFF"/>
              <w:right w:val="single" w:sz="8" w:space="0" w:color="FFFFFF"/>
            </w:tcBorders>
            <w:shd w:val="clear" w:color="000000" w:fill="9FD37C"/>
            <w:noWrap/>
            <w:vAlign w:val="center"/>
            <w:hideMark/>
          </w:tcPr>
          <w:p w14:paraId="16CABC0E" w14:textId="77777777" w:rsidR="00E8603D" w:rsidRPr="002946A9" w:rsidRDefault="00E8603D" w:rsidP="00E8603D">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67,770,010,433</w:t>
            </w:r>
          </w:p>
        </w:tc>
        <w:tc>
          <w:tcPr>
            <w:tcW w:w="824" w:type="pct"/>
            <w:tcBorders>
              <w:top w:val="nil"/>
              <w:left w:val="nil"/>
              <w:bottom w:val="single" w:sz="8" w:space="0" w:color="FFFFFF"/>
              <w:right w:val="single" w:sz="8" w:space="0" w:color="FFFFFF"/>
            </w:tcBorders>
            <w:shd w:val="clear" w:color="000000" w:fill="9FD37C"/>
            <w:noWrap/>
            <w:vAlign w:val="center"/>
            <w:hideMark/>
          </w:tcPr>
          <w:p w14:paraId="7A9D23DF" w14:textId="77777777" w:rsidR="00E8603D" w:rsidRPr="002946A9" w:rsidRDefault="00E8603D" w:rsidP="00E8603D">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66,251,115,210</w:t>
            </w:r>
          </w:p>
        </w:tc>
        <w:tc>
          <w:tcPr>
            <w:tcW w:w="774" w:type="pct"/>
            <w:tcBorders>
              <w:top w:val="nil"/>
              <w:left w:val="nil"/>
              <w:bottom w:val="single" w:sz="8" w:space="0" w:color="FFFFFF"/>
              <w:right w:val="single" w:sz="8" w:space="0" w:color="FFFFFF"/>
            </w:tcBorders>
            <w:shd w:val="clear" w:color="000000" w:fill="9FD37C"/>
            <w:noWrap/>
            <w:vAlign w:val="center"/>
            <w:hideMark/>
          </w:tcPr>
          <w:p w14:paraId="79762A74" w14:textId="77777777" w:rsidR="00E8603D" w:rsidRPr="002946A9" w:rsidRDefault="00E8603D" w:rsidP="00E8603D">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63,266,750,780</w:t>
            </w:r>
          </w:p>
        </w:tc>
        <w:tc>
          <w:tcPr>
            <w:tcW w:w="774" w:type="pct"/>
            <w:tcBorders>
              <w:top w:val="nil"/>
              <w:left w:val="nil"/>
              <w:bottom w:val="single" w:sz="8" w:space="0" w:color="FFFFFF"/>
              <w:right w:val="single" w:sz="8" w:space="0" w:color="FFFFFF"/>
            </w:tcBorders>
            <w:shd w:val="clear" w:color="000000" w:fill="9FD37C"/>
            <w:noWrap/>
            <w:vAlign w:val="center"/>
            <w:hideMark/>
          </w:tcPr>
          <w:p w14:paraId="45479B80" w14:textId="77777777" w:rsidR="00E8603D" w:rsidRPr="002946A9" w:rsidRDefault="00E8603D" w:rsidP="00E8603D">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65,198,699,780</w:t>
            </w:r>
          </w:p>
        </w:tc>
      </w:tr>
      <w:tr w:rsidR="00E8603D" w:rsidRPr="002946A9" w14:paraId="2699A349" w14:textId="77777777" w:rsidTr="00BF7136">
        <w:trPr>
          <w:trHeight w:val="20"/>
          <w:jc w:val="center"/>
        </w:trPr>
        <w:tc>
          <w:tcPr>
            <w:tcW w:w="5000" w:type="pct"/>
            <w:gridSpan w:val="7"/>
            <w:tcBorders>
              <w:top w:val="single" w:sz="8" w:space="0" w:color="FFFFFF"/>
              <w:left w:val="single" w:sz="8" w:space="0" w:color="FFFFFF"/>
              <w:bottom w:val="nil"/>
              <w:right w:val="nil"/>
            </w:tcBorders>
            <w:shd w:val="clear" w:color="000000" w:fill="FFFFFF"/>
            <w:vAlign w:val="center"/>
            <w:hideMark/>
          </w:tcPr>
          <w:p w14:paraId="209F9EBE" w14:textId="77777777" w:rsidR="00E8603D" w:rsidRPr="002946A9" w:rsidRDefault="00E8603D" w:rsidP="00E8603D">
            <w:pPr>
              <w:spacing w:after="0" w:line="240" w:lineRule="auto"/>
              <w:jc w:val="center"/>
              <w:rPr>
                <w:rFonts w:ascii="Trebuchet MS" w:eastAsia="Times New Roman" w:hAnsi="Trebuchet MS" w:cs="Calibri"/>
                <w:color w:val="000000"/>
                <w:sz w:val="10"/>
                <w:szCs w:val="10"/>
                <w:lang w:eastAsia="es-CO"/>
              </w:rPr>
            </w:pPr>
            <w:r w:rsidRPr="002946A9">
              <w:rPr>
                <w:rFonts w:ascii="Trebuchet MS" w:eastAsia="Times New Roman" w:hAnsi="Trebuchet MS" w:cs="Calibri"/>
                <w:color w:val="000000"/>
                <w:sz w:val="10"/>
                <w:szCs w:val="10"/>
                <w:lang w:eastAsia="es-CO"/>
              </w:rPr>
              <w:t> </w:t>
            </w:r>
          </w:p>
        </w:tc>
      </w:tr>
      <w:tr w:rsidR="00E8603D" w:rsidRPr="002946A9" w14:paraId="506B3C8B"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BFE2A8"/>
            <w:vAlign w:val="center"/>
            <w:hideMark/>
          </w:tcPr>
          <w:p w14:paraId="6F19ED33" w14:textId="77777777" w:rsidR="00E8603D" w:rsidRPr="002946A9" w:rsidRDefault="00E8603D" w:rsidP="00E8603D">
            <w:pPr>
              <w:spacing w:after="0" w:line="240" w:lineRule="auto"/>
              <w:jc w:val="both"/>
              <w:rPr>
                <w:rFonts w:ascii="Bookman Old Style" w:eastAsia="Times New Roman" w:hAnsi="Bookman Old Style" w:cs="Calibri"/>
                <w:i/>
                <w:iCs/>
                <w:color w:val="000000"/>
                <w:sz w:val="14"/>
                <w:szCs w:val="14"/>
                <w:lang w:eastAsia="es-CO"/>
              </w:rPr>
            </w:pPr>
            <w:r w:rsidRPr="002946A9">
              <w:rPr>
                <w:rFonts w:ascii="Bookman Old Style" w:eastAsia="Times New Roman" w:hAnsi="Bookman Old Style" w:cs="Calibri"/>
                <w:i/>
                <w:iCs/>
                <w:color w:val="000000"/>
                <w:sz w:val="14"/>
                <w:szCs w:val="14"/>
                <w:lang w:eastAsia="es-CO"/>
              </w:rPr>
              <w:t> </w:t>
            </w:r>
          </w:p>
        </w:tc>
        <w:tc>
          <w:tcPr>
            <w:tcW w:w="774" w:type="pct"/>
            <w:tcBorders>
              <w:top w:val="nil"/>
              <w:left w:val="nil"/>
              <w:bottom w:val="single" w:sz="8" w:space="0" w:color="FFFFFF"/>
              <w:right w:val="single" w:sz="8" w:space="0" w:color="FFFFFF"/>
            </w:tcBorders>
            <w:shd w:val="clear" w:color="000000" w:fill="BFE2A8"/>
            <w:noWrap/>
            <w:vAlign w:val="center"/>
            <w:hideMark/>
          </w:tcPr>
          <w:p w14:paraId="50ADBAE2"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2020</w:t>
            </w:r>
          </w:p>
        </w:tc>
        <w:tc>
          <w:tcPr>
            <w:tcW w:w="774" w:type="pct"/>
            <w:tcBorders>
              <w:top w:val="nil"/>
              <w:left w:val="nil"/>
              <w:bottom w:val="single" w:sz="8" w:space="0" w:color="FFFFFF"/>
              <w:right w:val="single" w:sz="8" w:space="0" w:color="FFFFFF"/>
            </w:tcBorders>
            <w:shd w:val="clear" w:color="000000" w:fill="BFE2A8"/>
            <w:noWrap/>
            <w:vAlign w:val="center"/>
            <w:hideMark/>
          </w:tcPr>
          <w:p w14:paraId="33E74599"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2021</w:t>
            </w:r>
          </w:p>
        </w:tc>
        <w:tc>
          <w:tcPr>
            <w:tcW w:w="774" w:type="pct"/>
            <w:tcBorders>
              <w:top w:val="nil"/>
              <w:left w:val="nil"/>
              <w:bottom w:val="single" w:sz="8" w:space="0" w:color="FFFFFF"/>
              <w:right w:val="single" w:sz="8" w:space="0" w:color="FFFFFF"/>
            </w:tcBorders>
            <w:shd w:val="clear" w:color="000000" w:fill="BFE2A8"/>
            <w:noWrap/>
            <w:vAlign w:val="center"/>
            <w:hideMark/>
          </w:tcPr>
          <w:p w14:paraId="4A65BBB9"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2022</w:t>
            </w:r>
          </w:p>
        </w:tc>
        <w:tc>
          <w:tcPr>
            <w:tcW w:w="824" w:type="pct"/>
            <w:tcBorders>
              <w:top w:val="nil"/>
              <w:left w:val="nil"/>
              <w:bottom w:val="single" w:sz="8" w:space="0" w:color="FFFFFF"/>
              <w:right w:val="single" w:sz="8" w:space="0" w:color="FFFFFF"/>
            </w:tcBorders>
            <w:shd w:val="clear" w:color="000000" w:fill="BFE2A8"/>
            <w:noWrap/>
            <w:vAlign w:val="center"/>
            <w:hideMark/>
          </w:tcPr>
          <w:p w14:paraId="3BDF8A70"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2023</w:t>
            </w:r>
          </w:p>
        </w:tc>
        <w:tc>
          <w:tcPr>
            <w:tcW w:w="774" w:type="pct"/>
            <w:tcBorders>
              <w:top w:val="nil"/>
              <w:left w:val="nil"/>
              <w:bottom w:val="single" w:sz="8" w:space="0" w:color="FFFFFF"/>
              <w:right w:val="single" w:sz="8" w:space="0" w:color="FFFFFF"/>
            </w:tcBorders>
            <w:shd w:val="clear" w:color="000000" w:fill="BFE2A8"/>
            <w:noWrap/>
            <w:vAlign w:val="center"/>
            <w:hideMark/>
          </w:tcPr>
          <w:p w14:paraId="09CEC98D"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2024</w:t>
            </w:r>
          </w:p>
        </w:tc>
        <w:tc>
          <w:tcPr>
            <w:tcW w:w="774" w:type="pct"/>
            <w:tcBorders>
              <w:top w:val="nil"/>
              <w:left w:val="nil"/>
              <w:bottom w:val="single" w:sz="8" w:space="0" w:color="FFFFFF"/>
              <w:right w:val="single" w:sz="8" w:space="0" w:color="FFFFFF"/>
            </w:tcBorders>
            <w:shd w:val="clear" w:color="000000" w:fill="BFE2A8"/>
            <w:noWrap/>
            <w:vAlign w:val="center"/>
            <w:hideMark/>
          </w:tcPr>
          <w:p w14:paraId="5D16D80C" w14:textId="77777777" w:rsidR="00E8603D" w:rsidRPr="002946A9" w:rsidRDefault="00E8603D" w:rsidP="00E8603D">
            <w:pPr>
              <w:spacing w:after="0" w:line="240" w:lineRule="auto"/>
              <w:jc w:val="center"/>
              <w:rPr>
                <w:rFonts w:ascii="Trebuchet MS" w:eastAsia="Times New Roman" w:hAnsi="Trebuchet MS" w:cs="Calibri"/>
                <w:b/>
                <w:bCs/>
                <w:i/>
                <w:iCs/>
                <w:color w:val="000000"/>
                <w:sz w:val="14"/>
                <w:szCs w:val="14"/>
                <w:lang w:eastAsia="es-CO"/>
              </w:rPr>
            </w:pPr>
            <w:r w:rsidRPr="002946A9">
              <w:rPr>
                <w:rFonts w:ascii="Trebuchet MS" w:eastAsia="Times New Roman" w:hAnsi="Trebuchet MS" w:cs="Calibri"/>
                <w:b/>
                <w:bCs/>
                <w:i/>
                <w:iCs/>
                <w:color w:val="000000"/>
                <w:sz w:val="14"/>
                <w:szCs w:val="14"/>
                <w:lang w:eastAsia="es-CO"/>
              </w:rPr>
              <w:t>Año 2025</w:t>
            </w:r>
          </w:p>
        </w:tc>
      </w:tr>
      <w:tr w:rsidR="00E8603D" w:rsidRPr="002946A9" w14:paraId="1A9C165D" w14:textId="77777777" w:rsidTr="00BF7136">
        <w:trPr>
          <w:trHeight w:val="20"/>
          <w:jc w:val="center"/>
        </w:trPr>
        <w:tc>
          <w:tcPr>
            <w:tcW w:w="306" w:type="pct"/>
            <w:tcBorders>
              <w:top w:val="nil"/>
              <w:left w:val="single" w:sz="8" w:space="0" w:color="FFFFFF"/>
              <w:bottom w:val="single" w:sz="8" w:space="0" w:color="FFFFFF"/>
              <w:right w:val="single" w:sz="8" w:space="0" w:color="FFFFFF"/>
            </w:tcBorders>
            <w:shd w:val="clear" w:color="000000" w:fill="9FD37C"/>
            <w:vAlign w:val="center"/>
            <w:hideMark/>
          </w:tcPr>
          <w:p w14:paraId="3CFE87D3" w14:textId="77777777" w:rsidR="00E8603D" w:rsidRPr="002946A9" w:rsidRDefault="00E8603D" w:rsidP="00E8603D">
            <w:pPr>
              <w:spacing w:after="0" w:line="240" w:lineRule="auto"/>
              <w:jc w:val="center"/>
              <w:rPr>
                <w:rFonts w:ascii="Arial" w:eastAsia="Times New Roman" w:hAnsi="Arial" w:cs="Arial"/>
                <w:b/>
                <w:bCs/>
                <w:color w:val="000000"/>
                <w:sz w:val="14"/>
                <w:szCs w:val="14"/>
                <w:lang w:eastAsia="es-CO"/>
              </w:rPr>
            </w:pPr>
            <w:r w:rsidRPr="002946A9">
              <w:rPr>
                <w:rFonts w:ascii="Arial" w:eastAsia="Times New Roman" w:hAnsi="Arial" w:cs="Arial"/>
                <w:b/>
                <w:bCs/>
                <w:color w:val="000000"/>
                <w:sz w:val="14"/>
                <w:szCs w:val="14"/>
                <w:lang w:eastAsia="es-CO"/>
              </w:rPr>
              <w:t>Total plan anual</w:t>
            </w:r>
          </w:p>
        </w:tc>
        <w:tc>
          <w:tcPr>
            <w:tcW w:w="774" w:type="pct"/>
            <w:tcBorders>
              <w:top w:val="nil"/>
              <w:left w:val="nil"/>
              <w:bottom w:val="single" w:sz="8" w:space="0" w:color="FFFFFF"/>
              <w:right w:val="single" w:sz="8" w:space="0" w:color="FFFFFF"/>
            </w:tcBorders>
            <w:shd w:val="clear" w:color="000000" w:fill="9FD37C"/>
            <w:noWrap/>
            <w:vAlign w:val="center"/>
            <w:hideMark/>
          </w:tcPr>
          <w:p w14:paraId="0BAD6FA4" w14:textId="77777777" w:rsidR="00E8603D" w:rsidRPr="002946A9" w:rsidRDefault="00E8603D" w:rsidP="00E8603D">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291,979,304,876</w:t>
            </w:r>
          </w:p>
        </w:tc>
        <w:tc>
          <w:tcPr>
            <w:tcW w:w="774" w:type="pct"/>
            <w:tcBorders>
              <w:top w:val="nil"/>
              <w:left w:val="nil"/>
              <w:bottom w:val="single" w:sz="8" w:space="0" w:color="FFFFFF"/>
              <w:right w:val="single" w:sz="8" w:space="0" w:color="FFFFFF"/>
            </w:tcBorders>
            <w:shd w:val="clear" w:color="000000" w:fill="9FD37C"/>
            <w:noWrap/>
            <w:vAlign w:val="center"/>
            <w:hideMark/>
          </w:tcPr>
          <w:p w14:paraId="17A08CB8" w14:textId="77777777" w:rsidR="00E8603D" w:rsidRPr="002946A9" w:rsidRDefault="00E8603D" w:rsidP="00E8603D">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317,885,669,489</w:t>
            </w:r>
          </w:p>
        </w:tc>
        <w:tc>
          <w:tcPr>
            <w:tcW w:w="774" w:type="pct"/>
            <w:tcBorders>
              <w:top w:val="nil"/>
              <w:left w:val="nil"/>
              <w:bottom w:val="single" w:sz="8" w:space="0" w:color="FFFFFF"/>
              <w:right w:val="single" w:sz="8" w:space="0" w:color="FFFFFF"/>
            </w:tcBorders>
            <w:shd w:val="clear" w:color="000000" w:fill="9FD37C"/>
            <w:noWrap/>
            <w:vAlign w:val="center"/>
            <w:hideMark/>
          </w:tcPr>
          <w:p w14:paraId="054333C8" w14:textId="77777777" w:rsidR="00E8603D" w:rsidRPr="002946A9" w:rsidRDefault="00E8603D" w:rsidP="00E8603D">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299,914,609,165</w:t>
            </w:r>
          </w:p>
        </w:tc>
        <w:tc>
          <w:tcPr>
            <w:tcW w:w="824" w:type="pct"/>
            <w:tcBorders>
              <w:top w:val="nil"/>
              <w:left w:val="nil"/>
              <w:bottom w:val="single" w:sz="8" w:space="0" w:color="FFFFFF"/>
              <w:right w:val="single" w:sz="8" w:space="0" w:color="FFFFFF"/>
            </w:tcBorders>
            <w:shd w:val="clear" w:color="000000" w:fill="9FD37C"/>
            <w:noWrap/>
            <w:vAlign w:val="bottom"/>
            <w:hideMark/>
          </w:tcPr>
          <w:p w14:paraId="7E263753" w14:textId="4A37DCD7" w:rsidR="00E8603D" w:rsidRPr="00BF7136" w:rsidRDefault="00B2012E" w:rsidP="00BF7136">
            <w:pPr>
              <w:jc w:val="center"/>
              <w:rPr>
                <w:rFonts w:ascii="Trebuchet MS" w:eastAsia="Times New Roman" w:hAnsi="Trebuchet MS" w:cs="Calibri"/>
                <w:b/>
                <w:bCs/>
                <w:color w:val="000000"/>
                <w:sz w:val="14"/>
                <w:szCs w:val="14"/>
                <w:lang w:eastAsia="es-CO"/>
              </w:rPr>
            </w:pPr>
            <w:r w:rsidRPr="00BF7136">
              <w:rPr>
                <w:rFonts w:ascii="Trebuchet MS" w:eastAsia="Times New Roman" w:hAnsi="Trebuchet MS" w:cs="Calibri"/>
                <w:b/>
                <w:bCs/>
                <w:color w:val="000000"/>
                <w:sz w:val="14"/>
                <w:szCs w:val="14"/>
                <w:lang w:eastAsia="es-CO"/>
              </w:rPr>
              <w:t>322,945,795,737</w:t>
            </w:r>
          </w:p>
        </w:tc>
        <w:tc>
          <w:tcPr>
            <w:tcW w:w="774" w:type="pct"/>
            <w:tcBorders>
              <w:top w:val="nil"/>
              <w:left w:val="nil"/>
              <w:bottom w:val="single" w:sz="8" w:space="0" w:color="FFFFFF"/>
              <w:right w:val="single" w:sz="8" w:space="0" w:color="FFFFFF"/>
            </w:tcBorders>
            <w:shd w:val="clear" w:color="000000" w:fill="9FD37C"/>
            <w:noWrap/>
            <w:vAlign w:val="center"/>
            <w:hideMark/>
          </w:tcPr>
          <w:p w14:paraId="1B2569C9" w14:textId="77777777" w:rsidR="00E8603D" w:rsidRPr="002946A9" w:rsidRDefault="00E8603D" w:rsidP="00E8603D">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305,393,933,864</w:t>
            </w:r>
          </w:p>
        </w:tc>
        <w:tc>
          <w:tcPr>
            <w:tcW w:w="774" w:type="pct"/>
            <w:tcBorders>
              <w:top w:val="nil"/>
              <w:left w:val="nil"/>
              <w:bottom w:val="single" w:sz="8" w:space="0" w:color="FFFFFF"/>
              <w:right w:val="single" w:sz="8" w:space="0" w:color="FFFFFF"/>
            </w:tcBorders>
            <w:shd w:val="clear" w:color="000000" w:fill="9FD37C"/>
            <w:noWrap/>
            <w:vAlign w:val="center"/>
            <w:hideMark/>
          </w:tcPr>
          <w:p w14:paraId="0557F69A" w14:textId="77777777" w:rsidR="00E8603D" w:rsidRPr="002946A9" w:rsidRDefault="00E8603D" w:rsidP="00E8603D">
            <w:pPr>
              <w:spacing w:after="0" w:line="240" w:lineRule="auto"/>
              <w:jc w:val="right"/>
              <w:rPr>
                <w:rFonts w:ascii="Trebuchet MS" w:eastAsia="Times New Roman" w:hAnsi="Trebuchet MS" w:cs="Calibri"/>
                <w:b/>
                <w:bCs/>
                <w:color w:val="000000"/>
                <w:sz w:val="14"/>
                <w:szCs w:val="14"/>
                <w:lang w:eastAsia="es-CO"/>
              </w:rPr>
            </w:pPr>
            <w:r w:rsidRPr="002946A9">
              <w:rPr>
                <w:rFonts w:ascii="Trebuchet MS" w:eastAsia="Times New Roman" w:hAnsi="Trebuchet MS" w:cs="Calibri"/>
                <w:b/>
                <w:bCs/>
                <w:color w:val="000000"/>
                <w:sz w:val="14"/>
                <w:szCs w:val="14"/>
                <w:lang w:eastAsia="es-CO"/>
              </w:rPr>
              <w:t>212,218,656,162</w:t>
            </w:r>
          </w:p>
        </w:tc>
      </w:tr>
    </w:tbl>
    <w:p w14:paraId="3F2B0AFC" w14:textId="77777777" w:rsidR="00E8603D" w:rsidRPr="002946A9" w:rsidRDefault="00E8603D" w:rsidP="00DF29CB">
      <w:pPr>
        <w:ind w:left="360"/>
        <w:jc w:val="both"/>
        <w:rPr>
          <w:rFonts w:ascii="Trebuchet MS" w:hAnsi="Trebuchet MS"/>
          <w:szCs w:val="24"/>
        </w:rPr>
      </w:pPr>
    </w:p>
    <w:p w14:paraId="364DF555" w14:textId="5395101C" w:rsidR="00B41642" w:rsidRPr="002946A9" w:rsidRDefault="00B41642" w:rsidP="00DF29CB">
      <w:pPr>
        <w:ind w:left="360"/>
        <w:jc w:val="both"/>
        <w:rPr>
          <w:rFonts w:ascii="Trebuchet MS" w:hAnsi="Trebuchet MS"/>
          <w:szCs w:val="24"/>
        </w:rPr>
      </w:pPr>
      <w:r w:rsidRPr="002946A9">
        <w:rPr>
          <w:rFonts w:ascii="Trebuchet MS" w:hAnsi="Trebuchet MS"/>
          <w:szCs w:val="24"/>
        </w:rPr>
        <w:t xml:space="preserve">Acorde a lo </w:t>
      </w:r>
      <w:r w:rsidR="00147EA4" w:rsidRPr="002946A9">
        <w:rPr>
          <w:rFonts w:ascii="Trebuchet MS" w:hAnsi="Trebuchet MS"/>
          <w:szCs w:val="24"/>
        </w:rPr>
        <w:t xml:space="preserve">mencionado </w:t>
      </w:r>
      <w:r w:rsidRPr="002946A9">
        <w:rPr>
          <w:rFonts w:ascii="Trebuchet MS" w:hAnsi="Trebuchet MS"/>
          <w:szCs w:val="24"/>
        </w:rPr>
        <w:t xml:space="preserve">en el numeral </w:t>
      </w:r>
      <w:r w:rsidRPr="002946A9">
        <w:rPr>
          <w:rFonts w:ascii="Trebuchet MS" w:hAnsi="Trebuchet MS"/>
          <w:szCs w:val="24"/>
        </w:rPr>
        <w:fldChar w:fldCharType="begin"/>
      </w:r>
      <w:r w:rsidRPr="002946A9">
        <w:rPr>
          <w:rFonts w:ascii="Trebuchet MS" w:hAnsi="Trebuchet MS"/>
          <w:szCs w:val="24"/>
        </w:rPr>
        <w:instrText xml:space="preserve"> REF _Ref67041820 \r \h </w:instrText>
      </w:r>
      <w:r w:rsidR="00055892" w:rsidRPr="002946A9">
        <w:rPr>
          <w:rFonts w:ascii="Trebuchet MS" w:hAnsi="Trebuchet MS"/>
          <w:szCs w:val="24"/>
        </w:rPr>
        <w:instrText xml:space="preserve"> \* MERGEFORMAT </w:instrText>
      </w:r>
      <w:r w:rsidRPr="002946A9">
        <w:rPr>
          <w:rFonts w:ascii="Trebuchet MS" w:hAnsi="Trebuchet MS"/>
          <w:szCs w:val="24"/>
        </w:rPr>
      </w:r>
      <w:r w:rsidRPr="002946A9">
        <w:rPr>
          <w:rFonts w:ascii="Trebuchet MS" w:hAnsi="Trebuchet MS"/>
          <w:szCs w:val="24"/>
        </w:rPr>
        <w:fldChar w:fldCharType="separate"/>
      </w:r>
      <w:r w:rsidR="00C944CB">
        <w:rPr>
          <w:rFonts w:ascii="Trebuchet MS" w:hAnsi="Trebuchet MS"/>
          <w:szCs w:val="24"/>
        </w:rPr>
        <w:t>2.3.8</w:t>
      </w:r>
      <w:r w:rsidRPr="002946A9">
        <w:rPr>
          <w:rFonts w:ascii="Trebuchet MS" w:hAnsi="Trebuchet MS"/>
          <w:szCs w:val="24"/>
        </w:rPr>
        <w:fldChar w:fldCharType="end"/>
      </w:r>
      <w:r w:rsidR="002C497C" w:rsidRPr="002946A9">
        <w:rPr>
          <w:rFonts w:ascii="Trebuchet MS" w:hAnsi="Trebuchet MS"/>
          <w:szCs w:val="24"/>
        </w:rPr>
        <w:t xml:space="preserve"> de este documento,</w:t>
      </w:r>
      <w:r w:rsidRPr="002946A9">
        <w:rPr>
          <w:rFonts w:ascii="Trebuchet MS" w:hAnsi="Trebuchet MS"/>
          <w:szCs w:val="24"/>
        </w:rPr>
        <w:t xml:space="preserve"> </w:t>
      </w:r>
      <w:r w:rsidR="0066036B" w:rsidRPr="002946A9">
        <w:rPr>
          <w:rFonts w:ascii="Trebuchet MS" w:hAnsi="Trebuchet MS"/>
          <w:szCs w:val="24"/>
        </w:rPr>
        <w:t xml:space="preserve">la suma de </w:t>
      </w:r>
      <w:r w:rsidRPr="002946A9">
        <w:rPr>
          <w:rFonts w:ascii="Trebuchet MS" w:hAnsi="Trebuchet MS"/>
          <w:szCs w:val="24"/>
        </w:rPr>
        <w:t xml:space="preserve">los montos de inversión anual </w:t>
      </w:r>
      <w:r w:rsidR="00055892" w:rsidRPr="002946A9">
        <w:rPr>
          <w:rFonts w:ascii="Trebuchet MS" w:hAnsi="Trebuchet MS"/>
          <w:szCs w:val="24"/>
        </w:rPr>
        <w:t>de</w:t>
      </w:r>
      <w:r w:rsidR="002C497C" w:rsidRPr="002946A9">
        <w:rPr>
          <w:rFonts w:ascii="Trebuchet MS" w:hAnsi="Trebuchet MS"/>
          <w:szCs w:val="24"/>
        </w:rPr>
        <w:t>l</w:t>
      </w:r>
      <w:r w:rsidR="00055892" w:rsidRPr="002946A9">
        <w:rPr>
          <w:rFonts w:ascii="Trebuchet MS" w:hAnsi="Trebuchet MS"/>
          <w:szCs w:val="24"/>
        </w:rPr>
        <w:t xml:space="preserve"> plan de inversión</w:t>
      </w:r>
      <w:r w:rsidR="0066036B" w:rsidRPr="002946A9">
        <w:rPr>
          <w:rFonts w:ascii="Trebuchet MS" w:hAnsi="Trebuchet MS"/>
          <w:szCs w:val="24"/>
        </w:rPr>
        <w:t xml:space="preserve"> de los niveles de tensión 1, 2 y 3</w:t>
      </w:r>
      <w:r w:rsidR="00055892" w:rsidRPr="002946A9">
        <w:rPr>
          <w:rFonts w:ascii="Trebuchet MS" w:hAnsi="Trebuchet MS"/>
          <w:szCs w:val="24"/>
        </w:rPr>
        <w:t>,</w:t>
      </w:r>
      <w:r w:rsidR="0066036B" w:rsidRPr="002946A9">
        <w:rPr>
          <w:rFonts w:ascii="Trebuchet MS" w:hAnsi="Trebuchet MS"/>
          <w:szCs w:val="24"/>
        </w:rPr>
        <w:t xml:space="preserve"> </w:t>
      </w:r>
      <w:r w:rsidR="00FC2283" w:rsidRPr="002946A9">
        <w:rPr>
          <w:rFonts w:ascii="Trebuchet MS" w:hAnsi="Trebuchet MS"/>
          <w:szCs w:val="24"/>
        </w:rPr>
        <w:t>no pueden superar el 8% del costo de reposición de referencia,</w:t>
      </w:r>
      <w:r w:rsidR="00FC2283" w:rsidRPr="002946A9">
        <w:rPr>
          <w:rFonts w:ascii="Trebuchet MS" w:hAnsi="Trebuchet MS"/>
          <w:i/>
          <w:iCs/>
          <w:szCs w:val="24"/>
        </w:rPr>
        <w:t xml:space="preserve"> </w:t>
      </w:r>
      <w:r w:rsidR="0066036B" w:rsidRPr="002946A9">
        <w:rPr>
          <w:rFonts w:ascii="Trebuchet MS" w:hAnsi="Trebuchet MS"/>
          <w:i/>
          <w:iCs/>
          <w:szCs w:val="24"/>
        </w:rPr>
        <w:t>8%*</w:t>
      </w:r>
      <w:r w:rsidR="00FC2283" w:rsidRPr="002946A9">
        <w:rPr>
          <w:rFonts w:ascii="Trebuchet MS" w:hAnsi="Trebuchet MS"/>
          <w:i/>
          <w:iCs/>
          <w:szCs w:val="24"/>
        </w:rPr>
        <w:t>CRR</w:t>
      </w:r>
      <w:r w:rsidR="00FC2283" w:rsidRPr="002946A9">
        <w:rPr>
          <w:rFonts w:ascii="Trebuchet MS" w:hAnsi="Trebuchet MS"/>
          <w:i/>
          <w:iCs/>
          <w:szCs w:val="24"/>
          <w:vertAlign w:val="subscript"/>
        </w:rPr>
        <w:t>j</w:t>
      </w:r>
      <w:r w:rsidR="00630687" w:rsidRPr="002946A9">
        <w:rPr>
          <w:rFonts w:ascii="Trebuchet MS" w:hAnsi="Trebuchet MS"/>
          <w:szCs w:val="24"/>
        </w:rPr>
        <w:t xml:space="preserve">. Para validar si esto se cumple, </w:t>
      </w:r>
      <w:r w:rsidR="007C6F4B" w:rsidRPr="002946A9">
        <w:rPr>
          <w:rFonts w:ascii="Trebuchet MS" w:hAnsi="Trebuchet MS"/>
          <w:szCs w:val="24"/>
        </w:rPr>
        <w:t xml:space="preserve">en la </w:t>
      </w:r>
      <w:r w:rsidR="007C6F4B" w:rsidRPr="002946A9">
        <w:rPr>
          <w:rFonts w:ascii="Trebuchet MS" w:hAnsi="Trebuchet MS"/>
          <w:szCs w:val="24"/>
        </w:rPr>
        <w:fldChar w:fldCharType="begin"/>
      </w:r>
      <w:r w:rsidR="007C6F4B" w:rsidRPr="002946A9">
        <w:rPr>
          <w:rFonts w:ascii="Trebuchet MS" w:hAnsi="Trebuchet MS"/>
          <w:szCs w:val="24"/>
        </w:rPr>
        <w:instrText xml:space="preserve"> REF _Ref67042077 \h </w:instrText>
      </w:r>
      <w:r w:rsidR="00DF29CB" w:rsidRPr="002946A9">
        <w:rPr>
          <w:rFonts w:ascii="Trebuchet MS" w:hAnsi="Trebuchet MS"/>
          <w:szCs w:val="24"/>
        </w:rPr>
        <w:instrText xml:space="preserve"> \* MERGEFORMAT </w:instrText>
      </w:r>
      <w:r w:rsidR="007C6F4B" w:rsidRPr="002946A9">
        <w:rPr>
          <w:rFonts w:ascii="Trebuchet MS" w:hAnsi="Trebuchet MS"/>
          <w:szCs w:val="24"/>
        </w:rPr>
      </w:r>
      <w:r w:rsidR="007C6F4B"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2</w:t>
      </w:r>
      <w:r w:rsidR="00C944CB" w:rsidRPr="002946A9">
        <w:rPr>
          <w:rFonts w:ascii="Trebuchet MS" w:hAnsi="Trebuchet MS"/>
          <w:noProof/>
        </w:rPr>
        <w:t>.</w:t>
      </w:r>
      <w:r w:rsidR="00C944CB">
        <w:rPr>
          <w:rFonts w:ascii="Trebuchet MS" w:hAnsi="Trebuchet MS"/>
          <w:noProof/>
        </w:rPr>
        <w:t>17</w:t>
      </w:r>
      <w:r w:rsidR="007C6F4B" w:rsidRPr="002946A9">
        <w:rPr>
          <w:rFonts w:ascii="Trebuchet MS" w:hAnsi="Trebuchet MS"/>
          <w:szCs w:val="24"/>
        </w:rPr>
        <w:fldChar w:fldCharType="end"/>
      </w:r>
      <w:r w:rsidR="007C6F4B" w:rsidRPr="002946A9">
        <w:rPr>
          <w:rFonts w:ascii="Trebuchet MS" w:hAnsi="Trebuchet MS"/>
          <w:szCs w:val="24"/>
        </w:rPr>
        <w:t xml:space="preserve"> </w:t>
      </w:r>
      <w:r w:rsidR="00630687" w:rsidRPr="002946A9">
        <w:rPr>
          <w:rFonts w:ascii="Trebuchet MS" w:hAnsi="Trebuchet MS"/>
          <w:szCs w:val="24"/>
        </w:rPr>
        <w:t>se presenta</w:t>
      </w:r>
      <w:r w:rsidR="007C6F4B" w:rsidRPr="002946A9">
        <w:rPr>
          <w:rFonts w:ascii="Trebuchet MS" w:hAnsi="Trebuchet MS"/>
          <w:szCs w:val="24"/>
        </w:rPr>
        <w:t xml:space="preserve"> un resumen</w:t>
      </w:r>
      <w:r w:rsidR="00E377F2" w:rsidRPr="002946A9">
        <w:rPr>
          <w:rFonts w:ascii="Trebuchet MS" w:hAnsi="Trebuchet MS"/>
          <w:szCs w:val="24"/>
        </w:rPr>
        <w:t xml:space="preserve"> de los montos totales por año </w:t>
      </w:r>
      <w:r w:rsidR="00B965D2" w:rsidRPr="002946A9">
        <w:rPr>
          <w:rFonts w:ascii="Trebuchet MS" w:hAnsi="Trebuchet MS"/>
          <w:szCs w:val="24"/>
        </w:rPr>
        <w:t xml:space="preserve">para dichos </w:t>
      </w:r>
      <w:r w:rsidR="00E377F2" w:rsidRPr="002946A9">
        <w:rPr>
          <w:rFonts w:ascii="Trebuchet MS" w:hAnsi="Trebuchet MS"/>
          <w:szCs w:val="24"/>
        </w:rPr>
        <w:t>nivel</w:t>
      </w:r>
      <w:r w:rsidR="00B965D2" w:rsidRPr="002946A9">
        <w:rPr>
          <w:rFonts w:ascii="Trebuchet MS" w:hAnsi="Trebuchet MS"/>
          <w:szCs w:val="24"/>
        </w:rPr>
        <w:t>es</w:t>
      </w:r>
      <w:r w:rsidR="00E377F2" w:rsidRPr="002946A9">
        <w:rPr>
          <w:rFonts w:ascii="Trebuchet MS" w:hAnsi="Trebuchet MS"/>
          <w:szCs w:val="24"/>
        </w:rPr>
        <w:t xml:space="preserve"> de tensión </w:t>
      </w:r>
      <w:r w:rsidR="00094CC8" w:rsidRPr="002946A9">
        <w:rPr>
          <w:rFonts w:ascii="Trebuchet MS" w:hAnsi="Trebuchet MS"/>
          <w:szCs w:val="24"/>
        </w:rPr>
        <w:t>y el val</w:t>
      </w:r>
      <w:r w:rsidR="000152B1" w:rsidRPr="002946A9">
        <w:rPr>
          <w:rFonts w:ascii="Trebuchet MS" w:hAnsi="Trebuchet MS"/>
          <w:szCs w:val="24"/>
        </w:rPr>
        <w:t xml:space="preserve">or </w:t>
      </w:r>
      <w:r w:rsidR="00856211" w:rsidRPr="002946A9">
        <w:rPr>
          <w:rFonts w:ascii="Trebuchet MS" w:hAnsi="Trebuchet MS"/>
          <w:szCs w:val="24"/>
        </w:rPr>
        <w:t xml:space="preserve">límite permitido </w:t>
      </w:r>
      <w:r w:rsidR="00856211" w:rsidRPr="002946A9">
        <w:rPr>
          <w:rFonts w:ascii="Trebuchet MS" w:hAnsi="Trebuchet MS"/>
        </w:rPr>
        <w:t>(</w:t>
      </w:r>
      <w:r w:rsidR="00856211" w:rsidRPr="002946A9">
        <w:rPr>
          <w:rFonts w:ascii="Trebuchet MS" w:eastAsia="Times New Roman" w:hAnsi="Trebuchet MS" w:cs="Times New Roman"/>
          <w:i/>
          <w:iCs/>
          <w:color w:val="000000"/>
          <w:lang w:eastAsia="es-CO"/>
        </w:rPr>
        <w:t>CRR</w:t>
      </w:r>
      <w:r w:rsidR="00856211" w:rsidRPr="002946A9">
        <w:rPr>
          <w:rFonts w:ascii="Trebuchet MS" w:eastAsia="Times New Roman" w:hAnsi="Trebuchet MS" w:cs="Times New Roman"/>
          <w:i/>
          <w:iCs/>
          <w:color w:val="000000"/>
          <w:vertAlign w:val="subscript"/>
          <w:lang w:eastAsia="es-CO"/>
        </w:rPr>
        <w:t>j</w:t>
      </w:r>
      <w:r w:rsidR="00856211" w:rsidRPr="002946A9">
        <w:rPr>
          <w:rFonts w:ascii="Trebuchet MS" w:eastAsia="Times New Roman" w:hAnsi="Trebuchet MS" w:cs="Times New Roman"/>
          <w:b/>
          <w:bCs/>
          <w:color w:val="000000"/>
          <w:lang w:eastAsia="es-CO"/>
        </w:rPr>
        <w:t>*8%).</w:t>
      </w:r>
      <w:r w:rsidR="007C6F4B" w:rsidRPr="002946A9">
        <w:rPr>
          <w:rFonts w:ascii="Trebuchet MS" w:hAnsi="Trebuchet MS"/>
          <w:szCs w:val="24"/>
        </w:rPr>
        <w:t xml:space="preserve"> </w:t>
      </w:r>
    </w:p>
    <w:p w14:paraId="02981AD0" w14:textId="204947C0" w:rsidR="00405118" w:rsidRPr="002946A9" w:rsidRDefault="00405118" w:rsidP="00E402A8">
      <w:pPr>
        <w:spacing w:after="0"/>
        <w:jc w:val="both"/>
        <w:rPr>
          <w:rFonts w:ascii="Trebuchet MS" w:hAnsi="Trebuchet MS"/>
        </w:rPr>
      </w:pPr>
    </w:p>
    <w:p w14:paraId="61C42F23" w14:textId="618A602C" w:rsidR="00454B88" w:rsidRPr="002946A9" w:rsidRDefault="00454B88" w:rsidP="00DF29CB">
      <w:pPr>
        <w:ind w:left="1056" w:hanging="1056"/>
        <w:jc w:val="both"/>
        <w:rPr>
          <w:rFonts w:ascii="Trebuchet MS" w:hAnsi="Trebuchet MS"/>
        </w:rPr>
      </w:pPr>
      <w:bookmarkStart w:id="159" w:name="_Ref67042077"/>
      <w:bookmarkStart w:id="160" w:name="_Toc131032785"/>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17</w:t>
      </w:r>
      <w:r w:rsidRPr="002946A9">
        <w:rPr>
          <w:rFonts w:ascii="Trebuchet MS" w:hAnsi="Trebuchet MS"/>
        </w:rPr>
        <w:fldChar w:fldCharType="end"/>
      </w:r>
      <w:bookmarkEnd w:id="159"/>
      <w:r w:rsidRPr="002946A9">
        <w:rPr>
          <w:rFonts w:ascii="Trebuchet MS" w:hAnsi="Trebuchet MS"/>
        </w:rPr>
        <w:t xml:space="preserve"> </w:t>
      </w:r>
      <w:r w:rsidR="00DC52AF" w:rsidRPr="002946A9">
        <w:rPr>
          <w:rFonts w:ascii="Trebuchet MS" w:hAnsi="Trebuchet MS"/>
        </w:rPr>
        <w:t xml:space="preserve"> </w:t>
      </w:r>
      <w:r w:rsidRPr="002946A9">
        <w:rPr>
          <w:rFonts w:ascii="Trebuchet MS" w:hAnsi="Trebuchet MS"/>
        </w:rPr>
        <w:t>Comparación de inversiones anuales aprobadas en el plan 20</w:t>
      </w:r>
      <w:r w:rsidR="005F3560" w:rsidRPr="002946A9">
        <w:rPr>
          <w:rFonts w:ascii="Trebuchet MS" w:hAnsi="Trebuchet MS"/>
        </w:rPr>
        <w:t>20</w:t>
      </w:r>
      <w:r w:rsidRPr="002946A9">
        <w:rPr>
          <w:rFonts w:ascii="Trebuchet MS" w:hAnsi="Trebuchet MS"/>
        </w:rPr>
        <w:t xml:space="preserve"> – 202</w:t>
      </w:r>
      <w:r w:rsidR="005F3560" w:rsidRPr="002946A9">
        <w:rPr>
          <w:rFonts w:ascii="Trebuchet MS" w:hAnsi="Trebuchet MS"/>
        </w:rPr>
        <w:t>5</w:t>
      </w:r>
      <w:r w:rsidR="004E6F22" w:rsidRPr="002946A9">
        <w:rPr>
          <w:rFonts w:ascii="Trebuchet MS" w:hAnsi="Trebuchet MS"/>
        </w:rPr>
        <w:t xml:space="preserve"> con </w:t>
      </w:r>
      <w:r w:rsidRPr="002946A9">
        <w:rPr>
          <w:rFonts w:ascii="Trebuchet MS" w:hAnsi="Trebuchet MS"/>
        </w:rPr>
        <w:t>respecto al 8% de la variable CRR.</w:t>
      </w:r>
      <w:bookmarkEnd w:id="160"/>
    </w:p>
    <w:tbl>
      <w:tblPr>
        <w:tblW w:w="4512" w:type="pct"/>
        <w:jc w:val="center"/>
        <w:tblCellMar>
          <w:left w:w="70" w:type="dxa"/>
          <w:right w:w="70" w:type="dxa"/>
        </w:tblCellMar>
        <w:tblLook w:val="04A0" w:firstRow="1" w:lastRow="0" w:firstColumn="1" w:lastColumn="0" w:noHBand="0" w:noVBand="1"/>
      </w:tblPr>
      <w:tblGrid>
        <w:gridCol w:w="687"/>
        <w:gridCol w:w="1008"/>
        <w:gridCol w:w="1008"/>
        <w:gridCol w:w="1008"/>
        <w:gridCol w:w="1025"/>
        <w:gridCol w:w="1097"/>
        <w:gridCol w:w="1008"/>
        <w:gridCol w:w="1116"/>
      </w:tblGrid>
      <w:tr w:rsidR="00976B05" w:rsidRPr="002946A9" w14:paraId="268AA966" w14:textId="77777777" w:rsidTr="007675D8">
        <w:trPr>
          <w:trHeight w:val="227"/>
          <w:jc w:val="center"/>
        </w:trPr>
        <w:tc>
          <w:tcPr>
            <w:tcW w:w="454" w:type="pct"/>
            <w:tcBorders>
              <w:top w:val="single" w:sz="8" w:space="0" w:color="FFFFFF"/>
              <w:left w:val="single" w:sz="8" w:space="0" w:color="FFFFFF"/>
              <w:bottom w:val="single" w:sz="8" w:space="0" w:color="FFFFFF"/>
              <w:right w:val="single" w:sz="8" w:space="0" w:color="FFFFFF"/>
            </w:tcBorders>
            <w:shd w:val="clear" w:color="000000" w:fill="BFE2A8"/>
            <w:vAlign w:val="center"/>
            <w:hideMark/>
          </w:tcPr>
          <w:p w14:paraId="7B839553" w14:textId="77777777" w:rsidR="007675D8" w:rsidRPr="002946A9" w:rsidRDefault="007675D8" w:rsidP="007675D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NIVEL</w:t>
            </w:r>
          </w:p>
        </w:tc>
        <w:tc>
          <w:tcPr>
            <w:tcW w:w="633" w:type="pct"/>
            <w:tcBorders>
              <w:top w:val="single" w:sz="8" w:space="0" w:color="FFFFFF"/>
              <w:left w:val="nil"/>
              <w:bottom w:val="single" w:sz="8" w:space="0" w:color="FFFFFF"/>
              <w:right w:val="single" w:sz="8" w:space="0" w:color="FFFFFF"/>
            </w:tcBorders>
            <w:shd w:val="clear" w:color="000000" w:fill="BFE2A8"/>
            <w:noWrap/>
            <w:vAlign w:val="center"/>
            <w:hideMark/>
          </w:tcPr>
          <w:p w14:paraId="02047E8D" w14:textId="77777777" w:rsidR="007675D8" w:rsidRPr="002946A9" w:rsidRDefault="007675D8" w:rsidP="007675D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Año 2020</w:t>
            </w:r>
          </w:p>
        </w:tc>
        <w:tc>
          <w:tcPr>
            <w:tcW w:w="633" w:type="pct"/>
            <w:tcBorders>
              <w:top w:val="single" w:sz="8" w:space="0" w:color="FFFFFF"/>
              <w:left w:val="nil"/>
              <w:bottom w:val="single" w:sz="8" w:space="0" w:color="FFFFFF"/>
              <w:right w:val="single" w:sz="8" w:space="0" w:color="FFFFFF"/>
            </w:tcBorders>
            <w:shd w:val="clear" w:color="000000" w:fill="BFE2A8"/>
            <w:noWrap/>
            <w:vAlign w:val="center"/>
            <w:hideMark/>
          </w:tcPr>
          <w:p w14:paraId="0177A232" w14:textId="77777777" w:rsidR="007675D8" w:rsidRPr="002946A9" w:rsidRDefault="007675D8" w:rsidP="007675D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Año 2021</w:t>
            </w:r>
          </w:p>
        </w:tc>
        <w:tc>
          <w:tcPr>
            <w:tcW w:w="633" w:type="pct"/>
            <w:tcBorders>
              <w:top w:val="single" w:sz="8" w:space="0" w:color="FFFFFF"/>
              <w:left w:val="nil"/>
              <w:bottom w:val="single" w:sz="8" w:space="0" w:color="FFFFFF"/>
              <w:right w:val="single" w:sz="8" w:space="0" w:color="FFFFFF"/>
            </w:tcBorders>
            <w:shd w:val="clear" w:color="000000" w:fill="BFE2A8"/>
            <w:noWrap/>
            <w:vAlign w:val="center"/>
            <w:hideMark/>
          </w:tcPr>
          <w:p w14:paraId="659609C4" w14:textId="77777777" w:rsidR="007675D8" w:rsidRPr="002946A9" w:rsidRDefault="007675D8" w:rsidP="007675D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Año 2022</w:t>
            </w:r>
          </w:p>
        </w:tc>
        <w:tc>
          <w:tcPr>
            <w:tcW w:w="666" w:type="pct"/>
            <w:tcBorders>
              <w:top w:val="single" w:sz="8" w:space="0" w:color="FFFFFF"/>
              <w:left w:val="nil"/>
              <w:bottom w:val="single" w:sz="8" w:space="0" w:color="FFFFFF"/>
              <w:right w:val="single" w:sz="8" w:space="0" w:color="FFFFFF"/>
            </w:tcBorders>
            <w:shd w:val="clear" w:color="000000" w:fill="BFE2A8"/>
            <w:noWrap/>
            <w:vAlign w:val="center"/>
            <w:hideMark/>
          </w:tcPr>
          <w:p w14:paraId="48019E7B" w14:textId="77777777" w:rsidR="007675D8" w:rsidRPr="002946A9" w:rsidRDefault="007675D8" w:rsidP="007675D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Año 2023</w:t>
            </w:r>
          </w:p>
        </w:tc>
        <w:tc>
          <w:tcPr>
            <w:tcW w:w="711" w:type="pct"/>
            <w:tcBorders>
              <w:top w:val="single" w:sz="8" w:space="0" w:color="FFFFFF"/>
              <w:left w:val="nil"/>
              <w:bottom w:val="single" w:sz="8" w:space="0" w:color="FFFFFF"/>
              <w:right w:val="single" w:sz="8" w:space="0" w:color="FFFFFF"/>
            </w:tcBorders>
            <w:shd w:val="clear" w:color="000000" w:fill="BFE2A8"/>
            <w:noWrap/>
            <w:vAlign w:val="center"/>
            <w:hideMark/>
          </w:tcPr>
          <w:p w14:paraId="0129AC34" w14:textId="77777777" w:rsidR="007675D8" w:rsidRPr="002946A9" w:rsidRDefault="007675D8" w:rsidP="007675D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Año 2024</w:t>
            </w:r>
          </w:p>
        </w:tc>
        <w:tc>
          <w:tcPr>
            <w:tcW w:w="633" w:type="pct"/>
            <w:tcBorders>
              <w:top w:val="single" w:sz="8" w:space="0" w:color="FFFFFF"/>
              <w:left w:val="nil"/>
              <w:bottom w:val="single" w:sz="8" w:space="0" w:color="FFFFFF"/>
              <w:right w:val="single" w:sz="8" w:space="0" w:color="FFFFFF"/>
            </w:tcBorders>
            <w:shd w:val="clear" w:color="000000" w:fill="BFE2A8"/>
            <w:noWrap/>
            <w:vAlign w:val="center"/>
            <w:hideMark/>
          </w:tcPr>
          <w:p w14:paraId="36C0005D" w14:textId="77777777" w:rsidR="007675D8" w:rsidRPr="002946A9" w:rsidRDefault="007675D8" w:rsidP="007675D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Año 2025</w:t>
            </w:r>
          </w:p>
        </w:tc>
        <w:tc>
          <w:tcPr>
            <w:tcW w:w="635" w:type="pct"/>
            <w:tcBorders>
              <w:top w:val="single" w:sz="8" w:space="0" w:color="FFFFFF"/>
              <w:left w:val="nil"/>
              <w:bottom w:val="single" w:sz="8" w:space="0" w:color="FFFFFF"/>
              <w:right w:val="single" w:sz="8" w:space="0" w:color="FFFFFF"/>
            </w:tcBorders>
            <w:shd w:val="clear" w:color="000000" w:fill="BFE2A8"/>
            <w:noWrap/>
            <w:vAlign w:val="center"/>
            <w:hideMark/>
          </w:tcPr>
          <w:p w14:paraId="7EDAAF79" w14:textId="77777777" w:rsidR="007675D8" w:rsidRPr="002946A9" w:rsidRDefault="007675D8" w:rsidP="007675D8">
            <w:pPr>
              <w:spacing w:after="0" w:line="240" w:lineRule="auto"/>
              <w:jc w:val="center"/>
              <w:rPr>
                <w:rFonts w:ascii="Trebuchet MS" w:eastAsia="Times New Roman" w:hAnsi="Trebuchet MS" w:cs="Calibri"/>
                <w:b/>
                <w:bCs/>
                <w:i/>
                <w:iCs/>
                <w:color w:val="000000"/>
                <w:sz w:val="16"/>
                <w:szCs w:val="16"/>
                <w:lang w:eastAsia="es-CO"/>
              </w:rPr>
            </w:pPr>
            <w:r w:rsidRPr="002946A9">
              <w:rPr>
                <w:rFonts w:ascii="Trebuchet MS" w:eastAsia="Times New Roman" w:hAnsi="Trebuchet MS" w:cs="Calibri"/>
                <w:b/>
                <w:bCs/>
                <w:i/>
                <w:iCs/>
                <w:color w:val="000000"/>
                <w:sz w:val="16"/>
                <w:szCs w:val="16"/>
                <w:lang w:eastAsia="es-CO"/>
              </w:rPr>
              <w:t>CRR</w:t>
            </w:r>
            <w:r w:rsidRPr="002946A9">
              <w:rPr>
                <w:rFonts w:ascii="Trebuchet MS" w:eastAsia="Times New Roman" w:hAnsi="Trebuchet MS" w:cs="Calibri"/>
                <w:b/>
                <w:bCs/>
                <w:i/>
                <w:iCs/>
                <w:color w:val="000000"/>
                <w:sz w:val="16"/>
                <w:szCs w:val="16"/>
                <w:vertAlign w:val="subscript"/>
                <w:lang w:eastAsia="es-CO"/>
              </w:rPr>
              <w:t>j</w:t>
            </w:r>
            <w:r w:rsidRPr="002946A9">
              <w:rPr>
                <w:rFonts w:ascii="Trebuchet MS" w:eastAsia="Times New Roman" w:hAnsi="Trebuchet MS" w:cs="Calibri"/>
                <w:b/>
                <w:bCs/>
                <w:color w:val="000000"/>
                <w:sz w:val="16"/>
                <w:szCs w:val="16"/>
                <w:lang w:eastAsia="es-CO"/>
              </w:rPr>
              <w:t>*8%</w:t>
            </w:r>
          </w:p>
        </w:tc>
      </w:tr>
      <w:tr w:rsidR="00976B05" w:rsidRPr="002946A9" w14:paraId="5A25EDDB" w14:textId="77777777" w:rsidTr="007675D8">
        <w:trPr>
          <w:trHeight w:val="227"/>
          <w:jc w:val="center"/>
        </w:trPr>
        <w:tc>
          <w:tcPr>
            <w:tcW w:w="454" w:type="pct"/>
            <w:tcBorders>
              <w:top w:val="nil"/>
              <w:left w:val="single" w:sz="8" w:space="0" w:color="FFFFFF"/>
              <w:bottom w:val="single" w:sz="8" w:space="0" w:color="FFFFFF"/>
              <w:right w:val="single" w:sz="8" w:space="0" w:color="FFFFFF"/>
            </w:tcBorders>
            <w:shd w:val="clear" w:color="000000" w:fill="BFE2A8"/>
            <w:vAlign w:val="center"/>
            <w:hideMark/>
          </w:tcPr>
          <w:p w14:paraId="30916C06" w14:textId="77777777" w:rsidR="007675D8" w:rsidRPr="002946A9" w:rsidRDefault="007675D8" w:rsidP="007675D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3</w:t>
            </w:r>
          </w:p>
        </w:tc>
        <w:tc>
          <w:tcPr>
            <w:tcW w:w="633" w:type="pct"/>
            <w:tcBorders>
              <w:top w:val="nil"/>
              <w:left w:val="nil"/>
              <w:bottom w:val="single" w:sz="8" w:space="0" w:color="FFFFFF"/>
              <w:right w:val="single" w:sz="8" w:space="0" w:color="FFFFFF"/>
            </w:tcBorders>
            <w:shd w:val="clear" w:color="000000" w:fill="D6EAAF"/>
            <w:noWrap/>
            <w:vAlign w:val="center"/>
            <w:hideMark/>
          </w:tcPr>
          <w:p w14:paraId="55E9DDF9" w14:textId="77777777" w:rsidR="007675D8" w:rsidRPr="002946A9" w:rsidRDefault="007675D8" w:rsidP="007675D8">
            <w:pPr>
              <w:spacing w:after="0" w:line="240" w:lineRule="auto"/>
              <w:jc w:val="right"/>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63,028.81</w:t>
            </w:r>
          </w:p>
        </w:tc>
        <w:tc>
          <w:tcPr>
            <w:tcW w:w="633" w:type="pct"/>
            <w:tcBorders>
              <w:top w:val="nil"/>
              <w:left w:val="nil"/>
              <w:bottom w:val="single" w:sz="8" w:space="0" w:color="FFFFFF"/>
              <w:right w:val="single" w:sz="8" w:space="0" w:color="FFFFFF"/>
            </w:tcBorders>
            <w:shd w:val="clear" w:color="000000" w:fill="D6EAAF"/>
            <w:noWrap/>
            <w:vAlign w:val="center"/>
            <w:hideMark/>
          </w:tcPr>
          <w:p w14:paraId="07F5715A" w14:textId="77777777" w:rsidR="007675D8" w:rsidRPr="002946A9" w:rsidRDefault="007675D8" w:rsidP="007675D8">
            <w:pPr>
              <w:spacing w:after="0" w:line="240" w:lineRule="auto"/>
              <w:jc w:val="right"/>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47,907.57</w:t>
            </w:r>
          </w:p>
        </w:tc>
        <w:tc>
          <w:tcPr>
            <w:tcW w:w="633" w:type="pct"/>
            <w:tcBorders>
              <w:top w:val="nil"/>
              <w:left w:val="nil"/>
              <w:bottom w:val="single" w:sz="8" w:space="0" w:color="FFFFFF"/>
              <w:right w:val="single" w:sz="8" w:space="0" w:color="FFFFFF"/>
            </w:tcBorders>
            <w:shd w:val="clear" w:color="000000" w:fill="D6EAAF"/>
            <w:noWrap/>
            <w:vAlign w:val="center"/>
            <w:hideMark/>
          </w:tcPr>
          <w:p w14:paraId="6E0A3FA4" w14:textId="77777777" w:rsidR="007675D8" w:rsidRPr="002946A9" w:rsidRDefault="007675D8" w:rsidP="007675D8">
            <w:pPr>
              <w:spacing w:after="0" w:line="240" w:lineRule="auto"/>
              <w:jc w:val="right"/>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46,824.11</w:t>
            </w:r>
          </w:p>
        </w:tc>
        <w:tc>
          <w:tcPr>
            <w:tcW w:w="666" w:type="pct"/>
            <w:tcBorders>
              <w:top w:val="nil"/>
              <w:left w:val="nil"/>
              <w:bottom w:val="single" w:sz="8" w:space="0" w:color="FFFFFF"/>
              <w:right w:val="single" w:sz="8" w:space="0" w:color="FFFFFF"/>
            </w:tcBorders>
            <w:shd w:val="clear" w:color="000000" w:fill="D6EAAF"/>
            <w:noWrap/>
            <w:vAlign w:val="center"/>
            <w:hideMark/>
          </w:tcPr>
          <w:p w14:paraId="1A386E64" w14:textId="7A37F59D" w:rsidR="007675D8" w:rsidRPr="002946A9" w:rsidRDefault="00F03E1B" w:rsidP="007675D8">
            <w:pPr>
              <w:spacing w:after="0" w:line="240" w:lineRule="auto"/>
              <w:jc w:val="right"/>
              <w:rPr>
                <w:rFonts w:ascii="Trebuchet MS" w:eastAsia="Times New Roman" w:hAnsi="Trebuchet MS" w:cs="Calibri"/>
                <w:color w:val="000000"/>
                <w:sz w:val="16"/>
                <w:szCs w:val="16"/>
                <w:lang w:eastAsia="es-CO"/>
              </w:rPr>
            </w:pPr>
            <w:r>
              <w:rPr>
                <w:rFonts w:ascii="Trebuchet MS" w:eastAsia="Times New Roman" w:hAnsi="Trebuchet MS" w:cs="Calibri"/>
                <w:color w:val="000000"/>
                <w:sz w:val="16"/>
                <w:szCs w:val="16"/>
                <w:lang w:eastAsia="es-CO"/>
              </w:rPr>
              <w:t>59,278.12</w:t>
            </w:r>
          </w:p>
        </w:tc>
        <w:tc>
          <w:tcPr>
            <w:tcW w:w="711" w:type="pct"/>
            <w:tcBorders>
              <w:top w:val="nil"/>
              <w:left w:val="nil"/>
              <w:bottom w:val="single" w:sz="8" w:space="0" w:color="FFFFFF"/>
              <w:right w:val="single" w:sz="8" w:space="0" w:color="FFFFFF"/>
            </w:tcBorders>
            <w:shd w:val="clear" w:color="000000" w:fill="D6EAAF"/>
            <w:noWrap/>
            <w:vAlign w:val="center"/>
            <w:hideMark/>
          </w:tcPr>
          <w:p w14:paraId="01EFB6E4" w14:textId="77777777" w:rsidR="007675D8" w:rsidRPr="002946A9" w:rsidRDefault="007675D8" w:rsidP="007675D8">
            <w:pPr>
              <w:spacing w:after="0" w:line="240" w:lineRule="auto"/>
              <w:jc w:val="right"/>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51,416.25</w:t>
            </w:r>
          </w:p>
        </w:tc>
        <w:tc>
          <w:tcPr>
            <w:tcW w:w="633" w:type="pct"/>
            <w:tcBorders>
              <w:top w:val="nil"/>
              <w:left w:val="nil"/>
              <w:bottom w:val="single" w:sz="8" w:space="0" w:color="FFFFFF"/>
              <w:right w:val="single" w:sz="8" w:space="0" w:color="FFFFFF"/>
            </w:tcBorders>
            <w:shd w:val="clear" w:color="000000" w:fill="D6EAAF"/>
            <w:noWrap/>
            <w:vAlign w:val="center"/>
            <w:hideMark/>
          </w:tcPr>
          <w:p w14:paraId="64480405" w14:textId="77777777" w:rsidR="007675D8" w:rsidRPr="002946A9" w:rsidRDefault="007675D8" w:rsidP="007675D8">
            <w:pPr>
              <w:spacing w:after="0" w:line="240" w:lineRule="auto"/>
              <w:jc w:val="right"/>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27,686.31</w:t>
            </w:r>
          </w:p>
        </w:tc>
        <w:tc>
          <w:tcPr>
            <w:tcW w:w="635" w:type="pct"/>
            <w:vMerge w:val="restart"/>
            <w:tcBorders>
              <w:top w:val="nil"/>
              <w:left w:val="single" w:sz="8" w:space="0" w:color="FFFFFF"/>
              <w:bottom w:val="single" w:sz="8" w:space="0" w:color="FFFFFF"/>
              <w:right w:val="single" w:sz="8" w:space="0" w:color="FFFFFF"/>
            </w:tcBorders>
            <w:shd w:val="clear" w:color="000000" w:fill="D6E1DB"/>
            <w:noWrap/>
            <w:vAlign w:val="center"/>
            <w:hideMark/>
          </w:tcPr>
          <w:p w14:paraId="39CF20B1" w14:textId="77777777" w:rsidR="007675D8" w:rsidRPr="002946A9" w:rsidRDefault="007675D8" w:rsidP="007675D8">
            <w:pPr>
              <w:spacing w:after="0" w:line="240" w:lineRule="auto"/>
              <w:jc w:val="center"/>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w:t>
            </w:r>
          </w:p>
        </w:tc>
      </w:tr>
      <w:tr w:rsidR="001F3163" w:rsidRPr="002946A9" w14:paraId="30E3A269" w14:textId="77777777" w:rsidTr="007675D8">
        <w:trPr>
          <w:trHeight w:val="227"/>
          <w:jc w:val="center"/>
        </w:trPr>
        <w:tc>
          <w:tcPr>
            <w:tcW w:w="454" w:type="pct"/>
            <w:tcBorders>
              <w:top w:val="nil"/>
              <w:left w:val="single" w:sz="8" w:space="0" w:color="FFFFFF"/>
              <w:bottom w:val="single" w:sz="8" w:space="0" w:color="FFFFFF"/>
              <w:right w:val="single" w:sz="8" w:space="0" w:color="FFFFFF"/>
            </w:tcBorders>
            <w:shd w:val="clear" w:color="000000" w:fill="BFE2A8"/>
            <w:vAlign w:val="center"/>
            <w:hideMark/>
          </w:tcPr>
          <w:p w14:paraId="7C22D64D" w14:textId="77777777" w:rsidR="007675D8" w:rsidRPr="002946A9" w:rsidRDefault="007675D8" w:rsidP="007675D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2</w:t>
            </w:r>
          </w:p>
        </w:tc>
        <w:tc>
          <w:tcPr>
            <w:tcW w:w="633" w:type="pct"/>
            <w:tcBorders>
              <w:top w:val="nil"/>
              <w:left w:val="nil"/>
              <w:bottom w:val="single" w:sz="8" w:space="0" w:color="FFFFFF"/>
              <w:right w:val="single" w:sz="8" w:space="0" w:color="FFFFFF"/>
            </w:tcBorders>
            <w:shd w:val="clear" w:color="000000" w:fill="EAF4D7"/>
            <w:noWrap/>
            <w:vAlign w:val="center"/>
            <w:hideMark/>
          </w:tcPr>
          <w:p w14:paraId="5F844FD1" w14:textId="77777777" w:rsidR="007675D8" w:rsidRPr="002946A9" w:rsidRDefault="007675D8" w:rsidP="007675D8">
            <w:pPr>
              <w:spacing w:after="0" w:line="240" w:lineRule="auto"/>
              <w:jc w:val="right"/>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128,060.76</w:t>
            </w:r>
          </w:p>
        </w:tc>
        <w:tc>
          <w:tcPr>
            <w:tcW w:w="633" w:type="pct"/>
            <w:tcBorders>
              <w:top w:val="nil"/>
              <w:left w:val="nil"/>
              <w:bottom w:val="single" w:sz="8" w:space="0" w:color="FFFFFF"/>
              <w:right w:val="single" w:sz="8" w:space="0" w:color="FFFFFF"/>
            </w:tcBorders>
            <w:shd w:val="clear" w:color="000000" w:fill="EAF4D7"/>
            <w:noWrap/>
            <w:vAlign w:val="center"/>
            <w:hideMark/>
          </w:tcPr>
          <w:p w14:paraId="71F6EAE7" w14:textId="77777777" w:rsidR="007675D8" w:rsidRPr="002946A9" w:rsidRDefault="007675D8" w:rsidP="007675D8">
            <w:pPr>
              <w:spacing w:after="0" w:line="240" w:lineRule="auto"/>
              <w:jc w:val="right"/>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168,092.93</w:t>
            </w:r>
          </w:p>
        </w:tc>
        <w:tc>
          <w:tcPr>
            <w:tcW w:w="633" w:type="pct"/>
            <w:tcBorders>
              <w:top w:val="nil"/>
              <w:left w:val="nil"/>
              <w:bottom w:val="single" w:sz="8" w:space="0" w:color="FFFFFF"/>
              <w:right w:val="single" w:sz="8" w:space="0" w:color="FFFFFF"/>
            </w:tcBorders>
            <w:shd w:val="clear" w:color="000000" w:fill="EAF4D7"/>
            <w:noWrap/>
            <w:vAlign w:val="center"/>
            <w:hideMark/>
          </w:tcPr>
          <w:p w14:paraId="289E81ED" w14:textId="77777777" w:rsidR="007675D8" w:rsidRPr="002946A9" w:rsidRDefault="007675D8" w:rsidP="007675D8">
            <w:pPr>
              <w:spacing w:after="0" w:line="240" w:lineRule="auto"/>
              <w:jc w:val="right"/>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142,609.53</w:t>
            </w:r>
          </w:p>
        </w:tc>
        <w:tc>
          <w:tcPr>
            <w:tcW w:w="666" w:type="pct"/>
            <w:tcBorders>
              <w:top w:val="nil"/>
              <w:left w:val="nil"/>
              <w:bottom w:val="single" w:sz="8" w:space="0" w:color="FFFFFF"/>
              <w:right w:val="single" w:sz="8" w:space="0" w:color="FFFFFF"/>
            </w:tcBorders>
            <w:shd w:val="clear" w:color="000000" w:fill="EAF4D7"/>
            <w:noWrap/>
            <w:vAlign w:val="center"/>
            <w:hideMark/>
          </w:tcPr>
          <w:p w14:paraId="63EB2B0D" w14:textId="74AD3E71" w:rsidR="007675D8" w:rsidRPr="002946A9" w:rsidRDefault="00976B05" w:rsidP="007675D8">
            <w:pPr>
              <w:spacing w:after="0" w:line="240" w:lineRule="auto"/>
              <w:jc w:val="right"/>
              <w:rPr>
                <w:rFonts w:ascii="Trebuchet MS" w:eastAsia="Times New Roman" w:hAnsi="Trebuchet MS" w:cs="Calibri"/>
                <w:color w:val="000000"/>
                <w:sz w:val="16"/>
                <w:szCs w:val="16"/>
                <w:lang w:eastAsia="es-CO"/>
              </w:rPr>
            </w:pPr>
            <w:r>
              <w:rPr>
                <w:rFonts w:ascii="Trebuchet MS" w:eastAsia="Times New Roman" w:hAnsi="Trebuchet MS" w:cs="Calibri"/>
                <w:color w:val="000000"/>
                <w:sz w:val="16"/>
                <w:szCs w:val="16"/>
                <w:lang w:eastAsia="es-CO"/>
              </w:rPr>
              <w:t>183,020.10</w:t>
            </w:r>
          </w:p>
        </w:tc>
        <w:tc>
          <w:tcPr>
            <w:tcW w:w="711" w:type="pct"/>
            <w:tcBorders>
              <w:top w:val="nil"/>
              <w:left w:val="nil"/>
              <w:bottom w:val="single" w:sz="8" w:space="0" w:color="FFFFFF"/>
              <w:right w:val="single" w:sz="8" w:space="0" w:color="FFFFFF"/>
            </w:tcBorders>
            <w:shd w:val="clear" w:color="000000" w:fill="EAF4D7"/>
            <w:noWrap/>
            <w:vAlign w:val="center"/>
            <w:hideMark/>
          </w:tcPr>
          <w:p w14:paraId="4FDF7647" w14:textId="77777777" w:rsidR="007675D8" w:rsidRPr="002946A9" w:rsidRDefault="007675D8" w:rsidP="007675D8">
            <w:pPr>
              <w:spacing w:after="0" w:line="240" w:lineRule="auto"/>
              <w:jc w:val="right"/>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149,877.41</w:t>
            </w:r>
          </w:p>
        </w:tc>
        <w:tc>
          <w:tcPr>
            <w:tcW w:w="633" w:type="pct"/>
            <w:tcBorders>
              <w:top w:val="nil"/>
              <w:left w:val="nil"/>
              <w:bottom w:val="single" w:sz="8" w:space="0" w:color="FFFFFF"/>
              <w:right w:val="single" w:sz="8" w:space="0" w:color="FFFFFF"/>
            </w:tcBorders>
            <w:shd w:val="clear" w:color="000000" w:fill="EAF4D7"/>
            <w:noWrap/>
            <w:vAlign w:val="center"/>
            <w:hideMark/>
          </w:tcPr>
          <w:p w14:paraId="4AC9527E" w14:textId="77777777" w:rsidR="007675D8" w:rsidRPr="002946A9" w:rsidRDefault="007675D8" w:rsidP="007675D8">
            <w:pPr>
              <w:spacing w:after="0" w:line="240" w:lineRule="auto"/>
              <w:jc w:val="right"/>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111,464.45</w:t>
            </w:r>
          </w:p>
        </w:tc>
        <w:tc>
          <w:tcPr>
            <w:tcW w:w="635" w:type="pct"/>
            <w:vMerge/>
            <w:tcBorders>
              <w:top w:val="nil"/>
              <w:left w:val="single" w:sz="8" w:space="0" w:color="FFFFFF"/>
              <w:bottom w:val="single" w:sz="8" w:space="0" w:color="FFFFFF"/>
              <w:right w:val="single" w:sz="8" w:space="0" w:color="FFFFFF"/>
            </w:tcBorders>
            <w:vAlign w:val="center"/>
            <w:hideMark/>
          </w:tcPr>
          <w:p w14:paraId="286E774E" w14:textId="77777777" w:rsidR="007675D8" w:rsidRPr="002946A9" w:rsidRDefault="007675D8" w:rsidP="007675D8">
            <w:pPr>
              <w:spacing w:after="0" w:line="240" w:lineRule="auto"/>
              <w:rPr>
                <w:rFonts w:ascii="Trebuchet MS" w:eastAsia="Times New Roman" w:hAnsi="Trebuchet MS" w:cs="Calibri"/>
                <w:color w:val="000000"/>
                <w:sz w:val="16"/>
                <w:szCs w:val="16"/>
                <w:lang w:eastAsia="es-CO"/>
              </w:rPr>
            </w:pPr>
          </w:p>
        </w:tc>
      </w:tr>
      <w:tr w:rsidR="001F3163" w:rsidRPr="002946A9" w14:paraId="2BB4B70F" w14:textId="77777777" w:rsidTr="007675D8">
        <w:trPr>
          <w:trHeight w:val="227"/>
          <w:jc w:val="center"/>
        </w:trPr>
        <w:tc>
          <w:tcPr>
            <w:tcW w:w="454" w:type="pct"/>
            <w:tcBorders>
              <w:top w:val="nil"/>
              <w:left w:val="single" w:sz="8" w:space="0" w:color="FFFFFF"/>
              <w:bottom w:val="single" w:sz="8" w:space="0" w:color="FFFFFF"/>
              <w:right w:val="single" w:sz="8" w:space="0" w:color="FFFFFF"/>
            </w:tcBorders>
            <w:shd w:val="clear" w:color="000000" w:fill="BFE2A8"/>
            <w:vAlign w:val="center"/>
            <w:hideMark/>
          </w:tcPr>
          <w:p w14:paraId="27DA5D07" w14:textId="77777777" w:rsidR="007675D8" w:rsidRPr="002946A9" w:rsidRDefault="007675D8" w:rsidP="007675D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1</w:t>
            </w:r>
          </w:p>
        </w:tc>
        <w:tc>
          <w:tcPr>
            <w:tcW w:w="633" w:type="pct"/>
            <w:tcBorders>
              <w:top w:val="nil"/>
              <w:left w:val="nil"/>
              <w:bottom w:val="single" w:sz="8" w:space="0" w:color="FFFFFF"/>
              <w:right w:val="single" w:sz="8" w:space="0" w:color="FFFFFF"/>
            </w:tcBorders>
            <w:shd w:val="clear" w:color="000000" w:fill="D6EAAF"/>
            <w:noWrap/>
            <w:vAlign w:val="center"/>
            <w:hideMark/>
          </w:tcPr>
          <w:p w14:paraId="7F2FA8EF" w14:textId="77777777" w:rsidR="007675D8" w:rsidRPr="002946A9" w:rsidRDefault="007675D8" w:rsidP="007675D8">
            <w:pPr>
              <w:spacing w:after="0" w:line="240" w:lineRule="auto"/>
              <w:jc w:val="right"/>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57,607.87</w:t>
            </w:r>
          </w:p>
        </w:tc>
        <w:tc>
          <w:tcPr>
            <w:tcW w:w="633" w:type="pct"/>
            <w:tcBorders>
              <w:top w:val="nil"/>
              <w:left w:val="nil"/>
              <w:bottom w:val="single" w:sz="8" w:space="0" w:color="FFFFFF"/>
              <w:right w:val="single" w:sz="8" w:space="0" w:color="FFFFFF"/>
            </w:tcBorders>
            <w:shd w:val="clear" w:color="000000" w:fill="D6EAAF"/>
            <w:noWrap/>
            <w:vAlign w:val="center"/>
            <w:hideMark/>
          </w:tcPr>
          <w:p w14:paraId="6270DF65" w14:textId="77777777" w:rsidR="007675D8" w:rsidRPr="002946A9" w:rsidRDefault="007675D8" w:rsidP="007675D8">
            <w:pPr>
              <w:spacing w:after="0" w:line="240" w:lineRule="auto"/>
              <w:jc w:val="right"/>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74,773.14</w:t>
            </w:r>
          </w:p>
        </w:tc>
        <w:tc>
          <w:tcPr>
            <w:tcW w:w="633" w:type="pct"/>
            <w:tcBorders>
              <w:top w:val="nil"/>
              <w:left w:val="nil"/>
              <w:bottom w:val="single" w:sz="8" w:space="0" w:color="FFFFFF"/>
              <w:right w:val="single" w:sz="8" w:space="0" w:color="FFFFFF"/>
            </w:tcBorders>
            <w:shd w:val="clear" w:color="000000" w:fill="D6EAAF"/>
            <w:noWrap/>
            <w:vAlign w:val="center"/>
            <w:hideMark/>
          </w:tcPr>
          <w:p w14:paraId="1F370839" w14:textId="77777777" w:rsidR="007675D8" w:rsidRPr="002946A9" w:rsidRDefault="007675D8" w:rsidP="007675D8">
            <w:pPr>
              <w:spacing w:after="0" w:line="240" w:lineRule="auto"/>
              <w:jc w:val="right"/>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67,770.01</w:t>
            </w:r>
          </w:p>
        </w:tc>
        <w:tc>
          <w:tcPr>
            <w:tcW w:w="666" w:type="pct"/>
            <w:tcBorders>
              <w:top w:val="nil"/>
              <w:left w:val="nil"/>
              <w:bottom w:val="single" w:sz="8" w:space="0" w:color="FFFFFF"/>
              <w:right w:val="single" w:sz="8" w:space="0" w:color="FFFFFF"/>
            </w:tcBorders>
            <w:shd w:val="clear" w:color="000000" w:fill="D6EAAF"/>
            <w:noWrap/>
            <w:vAlign w:val="center"/>
            <w:hideMark/>
          </w:tcPr>
          <w:p w14:paraId="1D434714" w14:textId="77777777" w:rsidR="007675D8" w:rsidRPr="002946A9" w:rsidRDefault="007675D8" w:rsidP="007675D8">
            <w:pPr>
              <w:spacing w:after="0" w:line="240" w:lineRule="auto"/>
              <w:jc w:val="right"/>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66,251.12</w:t>
            </w:r>
          </w:p>
        </w:tc>
        <w:tc>
          <w:tcPr>
            <w:tcW w:w="711" w:type="pct"/>
            <w:tcBorders>
              <w:top w:val="nil"/>
              <w:left w:val="nil"/>
              <w:bottom w:val="single" w:sz="8" w:space="0" w:color="FFFFFF"/>
              <w:right w:val="single" w:sz="8" w:space="0" w:color="FFFFFF"/>
            </w:tcBorders>
            <w:shd w:val="clear" w:color="000000" w:fill="D6EAAF"/>
            <w:noWrap/>
            <w:vAlign w:val="center"/>
            <w:hideMark/>
          </w:tcPr>
          <w:p w14:paraId="390A91F9" w14:textId="77777777" w:rsidR="007675D8" w:rsidRPr="002946A9" w:rsidRDefault="007675D8" w:rsidP="007675D8">
            <w:pPr>
              <w:spacing w:after="0" w:line="240" w:lineRule="auto"/>
              <w:jc w:val="right"/>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63,266.75</w:t>
            </w:r>
          </w:p>
        </w:tc>
        <w:tc>
          <w:tcPr>
            <w:tcW w:w="633" w:type="pct"/>
            <w:tcBorders>
              <w:top w:val="nil"/>
              <w:left w:val="nil"/>
              <w:bottom w:val="single" w:sz="8" w:space="0" w:color="FFFFFF"/>
              <w:right w:val="single" w:sz="8" w:space="0" w:color="FFFFFF"/>
            </w:tcBorders>
            <w:shd w:val="clear" w:color="000000" w:fill="D6EAAF"/>
            <w:noWrap/>
            <w:vAlign w:val="center"/>
            <w:hideMark/>
          </w:tcPr>
          <w:p w14:paraId="658ED0C6" w14:textId="77777777" w:rsidR="007675D8" w:rsidRPr="002946A9" w:rsidRDefault="007675D8" w:rsidP="007675D8">
            <w:pPr>
              <w:spacing w:after="0" w:line="240" w:lineRule="auto"/>
              <w:jc w:val="right"/>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65,198.70</w:t>
            </w:r>
          </w:p>
        </w:tc>
        <w:tc>
          <w:tcPr>
            <w:tcW w:w="635" w:type="pct"/>
            <w:vMerge/>
            <w:tcBorders>
              <w:top w:val="nil"/>
              <w:left w:val="single" w:sz="8" w:space="0" w:color="FFFFFF"/>
              <w:bottom w:val="single" w:sz="8" w:space="0" w:color="FFFFFF"/>
              <w:right w:val="single" w:sz="8" w:space="0" w:color="FFFFFF"/>
            </w:tcBorders>
            <w:vAlign w:val="center"/>
            <w:hideMark/>
          </w:tcPr>
          <w:p w14:paraId="32EC3B89" w14:textId="77777777" w:rsidR="007675D8" w:rsidRPr="002946A9" w:rsidRDefault="007675D8" w:rsidP="007675D8">
            <w:pPr>
              <w:spacing w:after="0" w:line="240" w:lineRule="auto"/>
              <w:rPr>
                <w:rFonts w:ascii="Trebuchet MS" w:eastAsia="Times New Roman" w:hAnsi="Trebuchet MS" w:cs="Calibri"/>
                <w:color w:val="000000"/>
                <w:sz w:val="16"/>
                <w:szCs w:val="16"/>
                <w:lang w:eastAsia="es-CO"/>
              </w:rPr>
            </w:pPr>
          </w:p>
        </w:tc>
      </w:tr>
      <w:tr w:rsidR="00976B05" w:rsidRPr="002946A9" w14:paraId="0D97B5A4" w14:textId="77777777" w:rsidTr="007675D8">
        <w:trPr>
          <w:trHeight w:val="227"/>
          <w:jc w:val="center"/>
        </w:trPr>
        <w:tc>
          <w:tcPr>
            <w:tcW w:w="454" w:type="pct"/>
            <w:tcBorders>
              <w:top w:val="nil"/>
              <w:left w:val="single" w:sz="8" w:space="0" w:color="FFFFFF"/>
              <w:bottom w:val="single" w:sz="8" w:space="0" w:color="FFFFFF"/>
              <w:right w:val="single" w:sz="8" w:space="0" w:color="FFFFFF"/>
            </w:tcBorders>
            <w:shd w:val="clear" w:color="000000" w:fill="BFE2A8"/>
            <w:vAlign w:val="center"/>
            <w:hideMark/>
          </w:tcPr>
          <w:p w14:paraId="4EDF8E71" w14:textId="77777777" w:rsidR="007675D8" w:rsidRPr="002946A9" w:rsidRDefault="007675D8" w:rsidP="007675D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TOTAL</w:t>
            </w:r>
          </w:p>
        </w:tc>
        <w:tc>
          <w:tcPr>
            <w:tcW w:w="633" w:type="pct"/>
            <w:tcBorders>
              <w:top w:val="nil"/>
              <w:left w:val="nil"/>
              <w:bottom w:val="single" w:sz="8" w:space="0" w:color="FFFFFF"/>
              <w:right w:val="single" w:sz="8" w:space="0" w:color="FFFFFF"/>
            </w:tcBorders>
            <w:shd w:val="clear" w:color="000000" w:fill="BFE2A8"/>
            <w:noWrap/>
            <w:vAlign w:val="center"/>
            <w:hideMark/>
          </w:tcPr>
          <w:p w14:paraId="716876A4" w14:textId="77777777" w:rsidR="007675D8" w:rsidRPr="002946A9" w:rsidRDefault="007675D8" w:rsidP="007675D8">
            <w:pPr>
              <w:spacing w:after="0" w:line="240" w:lineRule="auto"/>
              <w:jc w:val="right"/>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248,697.43</w:t>
            </w:r>
          </w:p>
        </w:tc>
        <w:tc>
          <w:tcPr>
            <w:tcW w:w="633" w:type="pct"/>
            <w:tcBorders>
              <w:top w:val="nil"/>
              <w:left w:val="nil"/>
              <w:bottom w:val="single" w:sz="8" w:space="0" w:color="FFFFFF"/>
              <w:right w:val="single" w:sz="8" w:space="0" w:color="FFFFFF"/>
            </w:tcBorders>
            <w:shd w:val="clear" w:color="000000" w:fill="BFE2A8"/>
            <w:noWrap/>
            <w:vAlign w:val="center"/>
            <w:hideMark/>
          </w:tcPr>
          <w:p w14:paraId="4F9C5981" w14:textId="77777777" w:rsidR="007675D8" w:rsidRPr="002946A9" w:rsidRDefault="007675D8" w:rsidP="007675D8">
            <w:pPr>
              <w:spacing w:after="0" w:line="240" w:lineRule="auto"/>
              <w:jc w:val="right"/>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290,773.64</w:t>
            </w:r>
          </w:p>
        </w:tc>
        <w:tc>
          <w:tcPr>
            <w:tcW w:w="633" w:type="pct"/>
            <w:tcBorders>
              <w:top w:val="nil"/>
              <w:left w:val="nil"/>
              <w:bottom w:val="single" w:sz="8" w:space="0" w:color="FFFFFF"/>
              <w:right w:val="single" w:sz="8" w:space="0" w:color="FFFFFF"/>
            </w:tcBorders>
            <w:shd w:val="clear" w:color="000000" w:fill="BFE2A8"/>
            <w:noWrap/>
            <w:vAlign w:val="center"/>
            <w:hideMark/>
          </w:tcPr>
          <w:p w14:paraId="3C22814E" w14:textId="77777777" w:rsidR="007675D8" w:rsidRPr="002946A9" w:rsidRDefault="007675D8" w:rsidP="007675D8">
            <w:pPr>
              <w:spacing w:after="0" w:line="240" w:lineRule="auto"/>
              <w:jc w:val="right"/>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257,203.65</w:t>
            </w:r>
          </w:p>
        </w:tc>
        <w:tc>
          <w:tcPr>
            <w:tcW w:w="666" w:type="pct"/>
            <w:tcBorders>
              <w:top w:val="nil"/>
              <w:left w:val="nil"/>
              <w:bottom w:val="single" w:sz="8" w:space="0" w:color="FFFFFF"/>
              <w:right w:val="single" w:sz="8" w:space="0" w:color="FFFFFF"/>
            </w:tcBorders>
            <w:shd w:val="clear" w:color="000000" w:fill="BFE2A8"/>
            <w:noWrap/>
            <w:vAlign w:val="center"/>
            <w:hideMark/>
          </w:tcPr>
          <w:p w14:paraId="12C76634" w14:textId="34BA440A" w:rsidR="007675D8" w:rsidRPr="002946A9" w:rsidRDefault="001F3163" w:rsidP="007675D8">
            <w:pPr>
              <w:spacing w:after="0" w:line="240" w:lineRule="auto"/>
              <w:jc w:val="right"/>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30</w:t>
            </w:r>
            <w:r>
              <w:rPr>
                <w:rFonts w:ascii="Trebuchet MS" w:eastAsia="Times New Roman" w:hAnsi="Trebuchet MS" w:cs="Calibri"/>
                <w:b/>
                <w:bCs/>
                <w:color w:val="000000"/>
                <w:sz w:val="16"/>
                <w:szCs w:val="16"/>
                <w:lang w:eastAsia="es-CO"/>
              </w:rPr>
              <w:t>8</w:t>
            </w:r>
            <w:r w:rsidR="007675D8" w:rsidRPr="002946A9">
              <w:rPr>
                <w:rFonts w:ascii="Trebuchet MS" w:eastAsia="Times New Roman" w:hAnsi="Trebuchet MS" w:cs="Calibri"/>
                <w:b/>
                <w:bCs/>
                <w:color w:val="000000"/>
                <w:sz w:val="16"/>
                <w:szCs w:val="16"/>
                <w:lang w:eastAsia="es-CO"/>
              </w:rPr>
              <w:t>,</w:t>
            </w:r>
            <w:r>
              <w:rPr>
                <w:rFonts w:ascii="Trebuchet MS" w:eastAsia="Times New Roman" w:hAnsi="Trebuchet MS" w:cs="Calibri"/>
                <w:b/>
                <w:bCs/>
                <w:color w:val="000000"/>
                <w:sz w:val="16"/>
                <w:szCs w:val="16"/>
                <w:lang w:eastAsia="es-CO"/>
              </w:rPr>
              <w:t>549</w:t>
            </w:r>
            <w:r w:rsidR="007675D8" w:rsidRPr="002946A9">
              <w:rPr>
                <w:rFonts w:ascii="Trebuchet MS" w:eastAsia="Times New Roman" w:hAnsi="Trebuchet MS" w:cs="Calibri"/>
                <w:b/>
                <w:bCs/>
                <w:color w:val="000000"/>
                <w:sz w:val="16"/>
                <w:szCs w:val="16"/>
                <w:lang w:eastAsia="es-CO"/>
              </w:rPr>
              <w:t>.</w:t>
            </w:r>
            <w:r>
              <w:rPr>
                <w:rFonts w:ascii="Trebuchet MS" w:eastAsia="Times New Roman" w:hAnsi="Trebuchet MS" w:cs="Calibri"/>
                <w:b/>
                <w:bCs/>
                <w:color w:val="000000"/>
                <w:sz w:val="16"/>
                <w:szCs w:val="16"/>
                <w:lang w:eastAsia="es-CO"/>
              </w:rPr>
              <w:t>34</w:t>
            </w:r>
          </w:p>
        </w:tc>
        <w:tc>
          <w:tcPr>
            <w:tcW w:w="711" w:type="pct"/>
            <w:tcBorders>
              <w:top w:val="nil"/>
              <w:left w:val="nil"/>
              <w:bottom w:val="single" w:sz="8" w:space="0" w:color="FFFFFF"/>
              <w:right w:val="single" w:sz="8" w:space="0" w:color="FFFFFF"/>
            </w:tcBorders>
            <w:shd w:val="clear" w:color="000000" w:fill="BFE2A8"/>
            <w:noWrap/>
            <w:vAlign w:val="center"/>
            <w:hideMark/>
          </w:tcPr>
          <w:p w14:paraId="06A89CB4" w14:textId="77777777" w:rsidR="007675D8" w:rsidRPr="002946A9" w:rsidRDefault="007675D8" w:rsidP="007675D8">
            <w:pPr>
              <w:spacing w:after="0" w:line="240" w:lineRule="auto"/>
              <w:jc w:val="right"/>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264,560.40</w:t>
            </w:r>
          </w:p>
        </w:tc>
        <w:tc>
          <w:tcPr>
            <w:tcW w:w="633" w:type="pct"/>
            <w:tcBorders>
              <w:top w:val="nil"/>
              <w:left w:val="nil"/>
              <w:bottom w:val="single" w:sz="8" w:space="0" w:color="FFFFFF"/>
              <w:right w:val="single" w:sz="8" w:space="0" w:color="FFFFFF"/>
            </w:tcBorders>
            <w:shd w:val="clear" w:color="000000" w:fill="BFE2A8"/>
            <w:noWrap/>
            <w:vAlign w:val="center"/>
            <w:hideMark/>
          </w:tcPr>
          <w:p w14:paraId="0D9067A1" w14:textId="77777777" w:rsidR="007675D8" w:rsidRPr="002946A9" w:rsidRDefault="007675D8" w:rsidP="007675D8">
            <w:pPr>
              <w:spacing w:after="0" w:line="240" w:lineRule="auto"/>
              <w:jc w:val="right"/>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204,349.46</w:t>
            </w:r>
          </w:p>
        </w:tc>
        <w:tc>
          <w:tcPr>
            <w:tcW w:w="635" w:type="pct"/>
            <w:tcBorders>
              <w:top w:val="nil"/>
              <w:left w:val="nil"/>
              <w:bottom w:val="single" w:sz="8" w:space="0" w:color="FFFFFF"/>
              <w:right w:val="single" w:sz="8" w:space="0" w:color="FFFFFF"/>
            </w:tcBorders>
            <w:shd w:val="clear" w:color="000000" w:fill="BFE2A8"/>
            <w:noWrap/>
            <w:vAlign w:val="center"/>
            <w:hideMark/>
          </w:tcPr>
          <w:p w14:paraId="77E454D7" w14:textId="02A6F598" w:rsidR="007675D8" w:rsidRPr="002946A9" w:rsidRDefault="00A779AF" w:rsidP="007675D8">
            <w:pPr>
              <w:spacing w:after="0" w:line="240" w:lineRule="auto"/>
              <w:jc w:val="right"/>
              <w:rPr>
                <w:rFonts w:ascii="Trebuchet MS" w:eastAsia="Times New Roman" w:hAnsi="Trebuchet MS" w:cs="Calibri"/>
                <w:b/>
                <w:bCs/>
                <w:color w:val="000000"/>
                <w:sz w:val="16"/>
                <w:szCs w:val="16"/>
                <w:lang w:eastAsia="es-CO"/>
              </w:rPr>
            </w:pPr>
            <w:r w:rsidRPr="002946A9">
              <w:rPr>
                <w:rFonts w:ascii="Trebuchet MS" w:eastAsia="Times New Roman" w:hAnsi="Trebuchet MS" w:cs="Arial"/>
                <w:b/>
                <w:bCs/>
                <w:color w:val="000000"/>
                <w:sz w:val="18"/>
                <w:szCs w:val="18"/>
                <w:lang w:eastAsia="es-CO"/>
              </w:rPr>
              <w:t>596,341</w:t>
            </w:r>
            <w:r>
              <w:rPr>
                <w:rFonts w:ascii="Trebuchet MS" w:eastAsia="Times New Roman" w:hAnsi="Trebuchet MS" w:cs="Arial"/>
                <w:b/>
                <w:bCs/>
                <w:color w:val="000000"/>
                <w:sz w:val="18"/>
                <w:szCs w:val="18"/>
                <w:lang w:eastAsia="es-CO"/>
              </w:rPr>
              <w:t>.</w:t>
            </w:r>
            <w:r w:rsidRPr="002946A9">
              <w:rPr>
                <w:rFonts w:ascii="Trebuchet MS" w:eastAsia="Times New Roman" w:hAnsi="Trebuchet MS" w:cs="Arial"/>
                <w:b/>
                <w:bCs/>
                <w:color w:val="000000"/>
                <w:sz w:val="18"/>
                <w:szCs w:val="18"/>
                <w:lang w:eastAsia="es-CO"/>
              </w:rPr>
              <w:t>23</w:t>
            </w:r>
          </w:p>
        </w:tc>
      </w:tr>
      <w:tr w:rsidR="007675D8" w:rsidRPr="002946A9" w14:paraId="3B79A960" w14:textId="77777777" w:rsidTr="007675D8">
        <w:trPr>
          <w:trHeight w:val="227"/>
          <w:jc w:val="center"/>
        </w:trPr>
        <w:tc>
          <w:tcPr>
            <w:tcW w:w="5000" w:type="pct"/>
            <w:gridSpan w:val="8"/>
            <w:tcBorders>
              <w:top w:val="single" w:sz="8" w:space="0" w:color="FFFFFF"/>
              <w:left w:val="single" w:sz="8" w:space="0" w:color="FFFFFF"/>
              <w:bottom w:val="single" w:sz="8" w:space="0" w:color="FFFFFF"/>
              <w:right w:val="single" w:sz="8" w:space="0" w:color="FFFFFF"/>
            </w:tcBorders>
            <w:shd w:val="clear" w:color="000000" w:fill="DFF0D3"/>
            <w:vAlign w:val="center"/>
            <w:hideMark/>
          </w:tcPr>
          <w:p w14:paraId="10202009" w14:textId="77777777" w:rsidR="007675D8" w:rsidRPr="002946A9" w:rsidRDefault="007675D8" w:rsidP="007675D8">
            <w:pPr>
              <w:spacing w:after="0" w:line="240" w:lineRule="auto"/>
              <w:jc w:val="both"/>
              <w:rPr>
                <w:rFonts w:ascii="Trebuchet MS" w:eastAsia="Times New Roman" w:hAnsi="Trebuchet MS" w:cs="Calibri"/>
                <w:i/>
                <w:iCs/>
                <w:color w:val="000000"/>
                <w:sz w:val="18"/>
                <w:szCs w:val="18"/>
                <w:lang w:eastAsia="es-CO"/>
              </w:rPr>
            </w:pPr>
            <w:r w:rsidRPr="002946A9">
              <w:rPr>
                <w:rFonts w:ascii="Trebuchet MS" w:eastAsia="Times New Roman" w:hAnsi="Trebuchet MS" w:cs="Calibri"/>
                <w:i/>
                <w:iCs/>
                <w:color w:val="000000"/>
                <w:sz w:val="18"/>
                <w:szCs w:val="18"/>
                <w:lang w:eastAsia="es-CO"/>
              </w:rPr>
              <w:t>Todos los valores están en millones de pesos a diciembre del 2017.</w:t>
            </w:r>
          </w:p>
        </w:tc>
      </w:tr>
    </w:tbl>
    <w:p w14:paraId="2D562DF5" w14:textId="77777777" w:rsidR="007675D8" w:rsidRPr="002946A9" w:rsidRDefault="007675D8" w:rsidP="00DF29CB">
      <w:pPr>
        <w:ind w:left="360"/>
        <w:jc w:val="both"/>
        <w:rPr>
          <w:rFonts w:ascii="Trebuchet MS" w:hAnsi="Trebuchet MS"/>
          <w:szCs w:val="24"/>
        </w:rPr>
      </w:pPr>
    </w:p>
    <w:p w14:paraId="02E7560B" w14:textId="4FF88025" w:rsidR="00F15F99" w:rsidRPr="002946A9" w:rsidRDefault="0000256B" w:rsidP="00DF29CB">
      <w:pPr>
        <w:ind w:left="360"/>
        <w:jc w:val="both"/>
        <w:rPr>
          <w:rFonts w:ascii="Trebuchet MS" w:hAnsi="Trebuchet MS"/>
          <w:szCs w:val="24"/>
        </w:rPr>
      </w:pPr>
      <w:r w:rsidRPr="002946A9">
        <w:rPr>
          <w:rFonts w:ascii="Trebuchet MS" w:hAnsi="Trebuchet MS"/>
          <w:szCs w:val="24"/>
        </w:rPr>
        <w:t xml:space="preserve">De la </w:t>
      </w:r>
      <w:r w:rsidRPr="002946A9">
        <w:rPr>
          <w:rFonts w:ascii="Trebuchet MS" w:hAnsi="Trebuchet MS"/>
          <w:szCs w:val="24"/>
        </w:rPr>
        <w:fldChar w:fldCharType="begin"/>
      </w:r>
      <w:r w:rsidRPr="002946A9">
        <w:rPr>
          <w:rFonts w:ascii="Trebuchet MS" w:hAnsi="Trebuchet MS"/>
          <w:szCs w:val="24"/>
        </w:rPr>
        <w:instrText xml:space="preserve"> REF _Ref67042077 \h </w:instrText>
      </w:r>
      <w:r w:rsidR="00DF29CB" w:rsidRPr="002946A9">
        <w:rPr>
          <w:rFonts w:ascii="Trebuchet MS" w:hAnsi="Trebuchet MS"/>
          <w:szCs w:val="24"/>
        </w:rPr>
        <w:instrText xml:space="preserve"> \* MERGEFORMAT </w:instrText>
      </w:r>
      <w:r w:rsidRPr="002946A9">
        <w:rPr>
          <w:rFonts w:ascii="Trebuchet MS" w:hAnsi="Trebuchet MS"/>
          <w:szCs w:val="24"/>
        </w:rPr>
      </w:r>
      <w:r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2</w:t>
      </w:r>
      <w:r w:rsidR="00C944CB" w:rsidRPr="002946A9">
        <w:rPr>
          <w:rFonts w:ascii="Trebuchet MS" w:hAnsi="Trebuchet MS"/>
          <w:noProof/>
        </w:rPr>
        <w:t>.</w:t>
      </w:r>
      <w:r w:rsidR="00C944CB">
        <w:rPr>
          <w:rFonts w:ascii="Trebuchet MS" w:hAnsi="Trebuchet MS"/>
          <w:noProof/>
        </w:rPr>
        <w:t>17</w:t>
      </w:r>
      <w:r w:rsidRPr="002946A9">
        <w:rPr>
          <w:rFonts w:ascii="Trebuchet MS" w:hAnsi="Trebuchet MS"/>
          <w:szCs w:val="24"/>
        </w:rPr>
        <w:fldChar w:fldCharType="end"/>
      </w:r>
      <w:r w:rsidRPr="002946A9">
        <w:rPr>
          <w:rFonts w:ascii="Trebuchet MS" w:hAnsi="Trebuchet MS"/>
          <w:szCs w:val="24"/>
        </w:rPr>
        <w:t xml:space="preserve"> </w:t>
      </w:r>
      <w:r w:rsidR="00B41CF1" w:rsidRPr="002946A9">
        <w:rPr>
          <w:rFonts w:ascii="Trebuchet MS" w:hAnsi="Trebuchet MS"/>
          <w:szCs w:val="24"/>
        </w:rPr>
        <w:t>s</w:t>
      </w:r>
      <w:r w:rsidR="000B7FDC" w:rsidRPr="002946A9">
        <w:rPr>
          <w:rFonts w:ascii="Trebuchet MS" w:hAnsi="Trebuchet MS"/>
          <w:szCs w:val="24"/>
        </w:rPr>
        <w:t xml:space="preserve">e observa que </w:t>
      </w:r>
      <w:r w:rsidR="007B5D85" w:rsidRPr="002946A9">
        <w:rPr>
          <w:rFonts w:ascii="Trebuchet MS" w:hAnsi="Trebuchet MS"/>
          <w:szCs w:val="24"/>
        </w:rPr>
        <w:t xml:space="preserve">todos los </w:t>
      </w:r>
      <w:r w:rsidR="000B7FDC" w:rsidRPr="002946A9">
        <w:rPr>
          <w:rFonts w:ascii="Trebuchet MS" w:hAnsi="Trebuchet MS"/>
          <w:szCs w:val="24"/>
        </w:rPr>
        <w:t>valor</w:t>
      </w:r>
      <w:r w:rsidR="007B5D85" w:rsidRPr="002946A9">
        <w:rPr>
          <w:rFonts w:ascii="Trebuchet MS" w:hAnsi="Trebuchet MS"/>
          <w:szCs w:val="24"/>
        </w:rPr>
        <w:t xml:space="preserve">es de inversión </w:t>
      </w:r>
      <w:r w:rsidR="00B965D2" w:rsidRPr="002946A9">
        <w:rPr>
          <w:rFonts w:ascii="Trebuchet MS" w:hAnsi="Trebuchet MS"/>
          <w:szCs w:val="24"/>
        </w:rPr>
        <w:t xml:space="preserve">anual </w:t>
      </w:r>
      <w:r w:rsidR="00D57249" w:rsidRPr="002946A9">
        <w:rPr>
          <w:rFonts w:ascii="Trebuchet MS" w:hAnsi="Trebuchet MS"/>
          <w:szCs w:val="24"/>
        </w:rPr>
        <w:t>están por debajo</w:t>
      </w:r>
      <w:r w:rsidR="00B965D2" w:rsidRPr="002946A9">
        <w:rPr>
          <w:rFonts w:ascii="Trebuchet MS" w:hAnsi="Trebuchet MS"/>
          <w:szCs w:val="24"/>
        </w:rPr>
        <w:t xml:space="preserve"> de</w:t>
      </w:r>
      <w:r w:rsidR="00D57249" w:rsidRPr="002946A9">
        <w:rPr>
          <w:rFonts w:ascii="Trebuchet MS" w:hAnsi="Trebuchet MS"/>
          <w:szCs w:val="24"/>
        </w:rPr>
        <w:t xml:space="preserve"> </w:t>
      </w:r>
      <w:r w:rsidR="00883BC1" w:rsidRPr="002946A9">
        <w:rPr>
          <w:rFonts w:ascii="Trebuchet MS" w:hAnsi="Trebuchet MS"/>
          <w:szCs w:val="24"/>
        </w:rPr>
        <w:t xml:space="preserve">$ </w:t>
      </w:r>
      <w:r w:rsidR="00E50BAB">
        <w:rPr>
          <w:rFonts w:ascii="Trebuchet MS" w:hAnsi="Trebuchet MS"/>
          <w:szCs w:val="24"/>
        </w:rPr>
        <w:t>596,341.23</w:t>
      </w:r>
      <w:r w:rsidR="0066036B" w:rsidRPr="002946A9">
        <w:rPr>
          <w:rFonts w:ascii="Trebuchet MS" w:hAnsi="Trebuchet MS"/>
          <w:szCs w:val="24"/>
        </w:rPr>
        <w:t xml:space="preserve"> millones de pesos</w:t>
      </w:r>
      <w:r w:rsidR="00D57249" w:rsidRPr="002946A9">
        <w:rPr>
          <w:rFonts w:ascii="Trebuchet MS" w:hAnsi="Trebuchet MS"/>
          <w:szCs w:val="24"/>
        </w:rPr>
        <w:t>, con lo cual</w:t>
      </w:r>
      <w:r w:rsidR="00F6145D" w:rsidRPr="002946A9">
        <w:rPr>
          <w:rFonts w:ascii="Trebuchet MS" w:hAnsi="Trebuchet MS"/>
          <w:szCs w:val="24"/>
        </w:rPr>
        <w:t>,</w:t>
      </w:r>
      <w:r w:rsidR="00D57249" w:rsidRPr="002946A9">
        <w:rPr>
          <w:rFonts w:ascii="Trebuchet MS" w:hAnsi="Trebuchet MS"/>
          <w:szCs w:val="24"/>
        </w:rPr>
        <w:t xml:space="preserve"> se cumple </w:t>
      </w:r>
      <w:r w:rsidR="001001F2" w:rsidRPr="002946A9">
        <w:rPr>
          <w:rFonts w:ascii="Trebuchet MS" w:hAnsi="Trebuchet MS"/>
          <w:szCs w:val="24"/>
        </w:rPr>
        <w:t xml:space="preserve">con </w:t>
      </w:r>
      <w:r w:rsidR="00D57249" w:rsidRPr="002946A9">
        <w:rPr>
          <w:rFonts w:ascii="Trebuchet MS" w:hAnsi="Trebuchet MS"/>
          <w:szCs w:val="24"/>
        </w:rPr>
        <w:t>lo dispuesto en la Resolución CREG 015 de 2018.</w:t>
      </w:r>
    </w:p>
    <w:p w14:paraId="6582E785" w14:textId="62DB1CF0" w:rsidR="000A09AA" w:rsidRPr="002946A9" w:rsidRDefault="000A09AA" w:rsidP="00405118">
      <w:pPr>
        <w:spacing w:after="0"/>
        <w:ind w:left="360"/>
        <w:jc w:val="both"/>
        <w:rPr>
          <w:rFonts w:ascii="Trebuchet MS" w:hAnsi="Trebuchet MS"/>
          <w:szCs w:val="24"/>
        </w:rPr>
      </w:pPr>
    </w:p>
    <w:p w14:paraId="2482D0EE" w14:textId="4B2B7F5B" w:rsidR="005F6018" w:rsidRPr="00E50BAB" w:rsidRDefault="005F6018" w:rsidP="00DF29CB">
      <w:pPr>
        <w:pStyle w:val="Prrafodelista"/>
        <w:numPr>
          <w:ilvl w:val="1"/>
          <w:numId w:val="2"/>
        </w:numPr>
        <w:jc w:val="both"/>
        <w:outlineLvl w:val="1"/>
        <w:rPr>
          <w:rFonts w:ascii="Trebuchet MS" w:hAnsi="Trebuchet MS"/>
          <w:b/>
          <w:sz w:val="24"/>
          <w:szCs w:val="32"/>
        </w:rPr>
      </w:pPr>
      <w:bookmarkStart w:id="161" w:name="_Toc131109350"/>
      <w:r w:rsidRPr="00E50BAB">
        <w:rPr>
          <w:rFonts w:ascii="Trebuchet MS" w:hAnsi="Trebuchet MS"/>
          <w:b/>
          <w:sz w:val="24"/>
          <w:szCs w:val="32"/>
        </w:rPr>
        <w:t xml:space="preserve">Plan de inversiones aprobado para el año </w:t>
      </w:r>
      <w:r w:rsidR="00E56738" w:rsidRPr="00E50BAB">
        <w:rPr>
          <w:rFonts w:ascii="Trebuchet MS" w:hAnsi="Trebuchet MS"/>
          <w:b/>
          <w:sz w:val="24"/>
          <w:szCs w:val="32"/>
        </w:rPr>
        <w:t>2022</w:t>
      </w:r>
      <w:bookmarkEnd w:id="161"/>
    </w:p>
    <w:p w14:paraId="4995F14F" w14:textId="75DB2C92" w:rsidR="005F6018" w:rsidRPr="002946A9" w:rsidRDefault="007F0C08" w:rsidP="006D6B78">
      <w:pPr>
        <w:spacing w:after="0"/>
        <w:ind w:left="360"/>
        <w:jc w:val="both"/>
        <w:rPr>
          <w:rFonts w:ascii="Trebuchet MS" w:hAnsi="Trebuchet MS"/>
          <w:szCs w:val="24"/>
        </w:rPr>
      </w:pPr>
      <w:r w:rsidRPr="002946A9">
        <w:rPr>
          <w:rFonts w:ascii="Trebuchet MS" w:hAnsi="Trebuchet MS"/>
          <w:szCs w:val="24"/>
        </w:rPr>
        <w:t xml:space="preserve">Para el </w:t>
      </w:r>
      <w:r w:rsidR="00E56738">
        <w:rPr>
          <w:rFonts w:ascii="Trebuchet MS" w:hAnsi="Trebuchet MS"/>
          <w:szCs w:val="24"/>
        </w:rPr>
        <w:t>cuarto</w:t>
      </w:r>
      <w:r w:rsidR="00E56738" w:rsidRPr="002946A9">
        <w:rPr>
          <w:rFonts w:ascii="Trebuchet MS" w:hAnsi="Trebuchet MS"/>
          <w:szCs w:val="24"/>
        </w:rPr>
        <w:t xml:space="preserve"> </w:t>
      </w:r>
      <w:r w:rsidRPr="002946A9">
        <w:rPr>
          <w:rFonts w:ascii="Trebuchet MS" w:hAnsi="Trebuchet MS"/>
          <w:szCs w:val="24"/>
        </w:rPr>
        <w:t>año del periodo tarifario</w:t>
      </w:r>
      <w:r w:rsidR="00BD4D14" w:rsidRPr="002946A9">
        <w:rPr>
          <w:rFonts w:ascii="Trebuchet MS" w:hAnsi="Trebuchet MS"/>
          <w:szCs w:val="24"/>
        </w:rPr>
        <w:t xml:space="preserve"> (</w:t>
      </w:r>
      <w:r w:rsidRPr="002946A9">
        <w:rPr>
          <w:rFonts w:ascii="Trebuchet MS" w:hAnsi="Trebuchet MS"/>
          <w:szCs w:val="24"/>
        </w:rPr>
        <w:t xml:space="preserve">año </w:t>
      </w:r>
      <w:r w:rsidR="00E56738" w:rsidRPr="002946A9">
        <w:rPr>
          <w:rFonts w:ascii="Trebuchet MS" w:hAnsi="Trebuchet MS"/>
          <w:szCs w:val="24"/>
        </w:rPr>
        <w:t>202</w:t>
      </w:r>
      <w:r w:rsidR="00E56738">
        <w:rPr>
          <w:rFonts w:ascii="Trebuchet MS" w:hAnsi="Trebuchet MS"/>
          <w:szCs w:val="24"/>
        </w:rPr>
        <w:t>2</w:t>
      </w:r>
      <w:r w:rsidR="00BD4D14" w:rsidRPr="002946A9">
        <w:rPr>
          <w:rFonts w:ascii="Trebuchet MS" w:hAnsi="Trebuchet MS"/>
          <w:szCs w:val="24"/>
        </w:rPr>
        <w:t>)</w:t>
      </w:r>
      <w:r w:rsidRPr="002946A9">
        <w:rPr>
          <w:rFonts w:ascii="Trebuchet MS" w:hAnsi="Trebuchet MS"/>
          <w:szCs w:val="24"/>
        </w:rPr>
        <w:t>,</w:t>
      </w:r>
      <w:r w:rsidR="00E528E5" w:rsidRPr="002946A9">
        <w:rPr>
          <w:rFonts w:ascii="Trebuchet MS" w:hAnsi="Trebuchet MS"/>
          <w:szCs w:val="24"/>
        </w:rPr>
        <w:t xml:space="preserve"> dentro del plan 20</w:t>
      </w:r>
      <w:r w:rsidR="00485E7D" w:rsidRPr="002946A9">
        <w:rPr>
          <w:rFonts w:ascii="Trebuchet MS" w:hAnsi="Trebuchet MS"/>
          <w:szCs w:val="24"/>
        </w:rPr>
        <w:t>20</w:t>
      </w:r>
      <w:r w:rsidR="00E528E5" w:rsidRPr="002946A9">
        <w:rPr>
          <w:rFonts w:ascii="Trebuchet MS" w:hAnsi="Trebuchet MS"/>
          <w:szCs w:val="24"/>
        </w:rPr>
        <w:t xml:space="preserve"> – 202</w:t>
      </w:r>
      <w:r w:rsidR="00485E7D" w:rsidRPr="002946A9">
        <w:rPr>
          <w:rFonts w:ascii="Trebuchet MS" w:hAnsi="Trebuchet MS"/>
          <w:szCs w:val="24"/>
        </w:rPr>
        <w:t>5</w:t>
      </w:r>
      <w:r w:rsidR="00E528E5" w:rsidRPr="002946A9">
        <w:rPr>
          <w:rFonts w:ascii="Trebuchet MS" w:hAnsi="Trebuchet MS"/>
          <w:szCs w:val="24"/>
        </w:rPr>
        <w:t xml:space="preserve"> </w:t>
      </w:r>
      <w:r w:rsidR="00E43A65" w:rsidRPr="002946A9">
        <w:rPr>
          <w:rFonts w:ascii="Trebuchet MS" w:hAnsi="Trebuchet MS"/>
          <w:szCs w:val="24"/>
        </w:rPr>
        <w:t xml:space="preserve">se aprobaron </w:t>
      </w:r>
      <w:r w:rsidR="00C1165A" w:rsidRPr="002946A9">
        <w:rPr>
          <w:rFonts w:ascii="Trebuchet MS" w:hAnsi="Trebuchet MS"/>
          <w:szCs w:val="24"/>
        </w:rPr>
        <w:t>los proyectos, inversiones, y metas objeto de seguimiento en el presente informe.</w:t>
      </w:r>
      <w:r w:rsidR="007C0565" w:rsidRPr="002946A9">
        <w:rPr>
          <w:rFonts w:ascii="Trebuchet MS" w:hAnsi="Trebuchet MS"/>
          <w:szCs w:val="24"/>
        </w:rPr>
        <w:t xml:space="preserve"> Los valores aprobados se resumen a continuación.</w:t>
      </w:r>
      <w:r w:rsidR="00C1165A" w:rsidRPr="002946A9">
        <w:rPr>
          <w:rFonts w:ascii="Trebuchet MS" w:hAnsi="Trebuchet MS"/>
          <w:szCs w:val="24"/>
        </w:rPr>
        <w:t xml:space="preserve">  </w:t>
      </w:r>
      <w:r w:rsidRPr="002946A9">
        <w:rPr>
          <w:rFonts w:ascii="Trebuchet MS" w:hAnsi="Trebuchet MS"/>
          <w:szCs w:val="24"/>
        </w:rPr>
        <w:t xml:space="preserve"> </w:t>
      </w:r>
    </w:p>
    <w:p w14:paraId="03A6CAD4" w14:textId="30BFD5FF" w:rsidR="008C2B2E" w:rsidRPr="002946A9" w:rsidRDefault="008C2B2E" w:rsidP="00DF29CB">
      <w:pPr>
        <w:ind w:left="360"/>
        <w:jc w:val="both"/>
        <w:rPr>
          <w:rFonts w:ascii="Trebuchet MS" w:hAnsi="Trebuchet MS"/>
          <w:szCs w:val="24"/>
        </w:rPr>
      </w:pPr>
    </w:p>
    <w:p w14:paraId="62474E5D" w14:textId="47D47DA8" w:rsidR="008C2B2E" w:rsidRPr="002946A9" w:rsidRDefault="008C2B2E" w:rsidP="00DF29CB">
      <w:pPr>
        <w:numPr>
          <w:ilvl w:val="2"/>
          <w:numId w:val="2"/>
        </w:numPr>
        <w:ind w:left="1225" w:hanging="505"/>
        <w:jc w:val="both"/>
        <w:outlineLvl w:val="2"/>
        <w:rPr>
          <w:rFonts w:ascii="Trebuchet MS" w:hAnsi="Trebuchet MS"/>
          <w:b/>
          <w:bCs/>
          <w:szCs w:val="24"/>
        </w:rPr>
      </w:pPr>
      <w:bookmarkStart w:id="162" w:name="_Ref67064744"/>
      <w:bookmarkStart w:id="163" w:name="_Ref67064778"/>
      <w:bookmarkStart w:id="164" w:name="_Toc131109351"/>
      <w:r w:rsidRPr="002946A9">
        <w:rPr>
          <w:rFonts w:ascii="Trebuchet MS" w:hAnsi="Trebuchet MS"/>
          <w:b/>
          <w:bCs/>
          <w:szCs w:val="24"/>
        </w:rPr>
        <w:t xml:space="preserve">Proyectos aprobados para el año </w:t>
      </w:r>
      <w:bookmarkEnd w:id="162"/>
      <w:bookmarkEnd w:id="163"/>
      <w:r w:rsidR="00E56738" w:rsidRPr="002946A9">
        <w:rPr>
          <w:rFonts w:ascii="Trebuchet MS" w:hAnsi="Trebuchet MS"/>
          <w:b/>
          <w:bCs/>
          <w:szCs w:val="24"/>
        </w:rPr>
        <w:t>202</w:t>
      </w:r>
      <w:r w:rsidR="00E56738">
        <w:rPr>
          <w:rFonts w:ascii="Trebuchet MS" w:hAnsi="Trebuchet MS"/>
          <w:b/>
          <w:bCs/>
          <w:szCs w:val="24"/>
        </w:rPr>
        <w:t>2</w:t>
      </w:r>
      <w:bookmarkEnd w:id="164"/>
    </w:p>
    <w:p w14:paraId="649623E5" w14:textId="62F25A03" w:rsidR="008C2B2E" w:rsidRPr="002946A9" w:rsidRDefault="00F92E93" w:rsidP="00B53086">
      <w:pPr>
        <w:spacing w:after="0"/>
        <w:ind w:left="360"/>
        <w:jc w:val="both"/>
        <w:rPr>
          <w:rFonts w:ascii="Trebuchet MS" w:hAnsi="Trebuchet MS"/>
          <w:szCs w:val="24"/>
        </w:rPr>
      </w:pPr>
      <w:r w:rsidRPr="002946A9">
        <w:rPr>
          <w:rFonts w:ascii="Trebuchet MS" w:hAnsi="Trebuchet MS"/>
          <w:szCs w:val="24"/>
        </w:rPr>
        <w:t xml:space="preserve">Los proyectos de inversión aprobados para su ejecución en el año </w:t>
      </w:r>
      <w:r w:rsidR="00E56738" w:rsidRPr="002946A9">
        <w:rPr>
          <w:rFonts w:ascii="Trebuchet MS" w:hAnsi="Trebuchet MS"/>
          <w:szCs w:val="24"/>
        </w:rPr>
        <w:t>202</w:t>
      </w:r>
      <w:r w:rsidR="00E56738">
        <w:rPr>
          <w:rFonts w:ascii="Trebuchet MS" w:hAnsi="Trebuchet MS"/>
          <w:szCs w:val="24"/>
        </w:rPr>
        <w:t>2</w:t>
      </w:r>
      <w:r w:rsidR="00E56738" w:rsidRPr="002946A9">
        <w:rPr>
          <w:rFonts w:ascii="Trebuchet MS" w:hAnsi="Trebuchet MS"/>
          <w:szCs w:val="24"/>
        </w:rPr>
        <w:t xml:space="preserve"> </w:t>
      </w:r>
      <w:r w:rsidRPr="002946A9">
        <w:rPr>
          <w:rFonts w:ascii="Trebuchet MS" w:hAnsi="Trebuchet MS"/>
          <w:szCs w:val="24"/>
        </w:rPr>
        <w:t>se presentan</w:t>
      </w:r>
      <w:r w:rsidR="00426AA7" w:rsidRPr="002946A9">
        <w:rPr>
          <w:rFonts w:ascii="Trebuchet MS" w:hAnsi="Trebuchet MS"/>
          <w:szCs w:val="24"/>
        </w:rPr>
        <w:t xml:space="preserve"> de forma agrupada </w:t>
      </w:r>
      <w:r w:rsidRPr="002946A9">
        <w:rPr>
          <w:rFonts w:ascii="Trebuchet MS" w:hAnsi="Trebuchet MS"/>
          <w:szCs w:val="24"/>
        </w:rPr>
        <w:t xml:space="preserve">en la </w:t>
      </w:r>
      <w:r w:rsidRPr="002946A9">
        <w:rPr>
          <w:rFonts w:ascii="Trebuchet MS" w:hAnsi="Trebuchet MS"/>
          <w:szCs w:val="24"/>
        </w:rPr>
        <w:fldChar w:fldCharType="begin"/>
      </w:r>
      <w:r w:rsidRPr="002946A9">
        <w:rPr>
          <w:rFonts w:ascii="Trebuchet MS" w:hAnsi="Trebuchet MS"/>
          <w:szCs w:val="24"/>
        </w:rPr>
        <w:instrText xml:space="preserve"> REF _Ref67064371 \h </w:instrText>
      </w:r>
      <w:r w:rsidR="00DF29CB" w:rsidRPr="002946A9">
        <w:rPr>
          <w:rFonts w:ascii="Trebuchet MS" w:hAnsi="Trebuchet MS"/>
          <w:szCs w:val="24"/>
        </w:rPr>
        <w:instrText xml:space="preserve"> \* MERGEFORMAT </w:instrText>
      </w:r>
      <w:r w:rsidRPr="002946A9">
        <w:rPr>
          <w:rFonts w:ascii="Trebuchet MS" w:hAnsi="Trebuchet MS"/>
          <w:szCs w:val="24"/>
        </w:rPr>
      </w:r>
      <w:r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2</w:t>
      </w:r>
      <w:r w:rsidR="00C944CB" w:rsidRPr="002946A9">
        <w:rPr>
          <w:rFonts w:ascii="Trebuchet MS" w:hAnsi="Trebuchet MS"/>
          <w:noProof/>
        </w:rPr>
        <w:t>.</w:t>
      </w:r>
      <w:r w:rsidR="00C944CB">
        <w:rPr>
          <w:rFonts w:ascii="Trebuchet MS" w:hAnsi="Trebuchet MS"/>
          <w:noProof/>
        </w:rPr>
        <w:t>18</w:t>
      </w:r>
      <w:r w:rsidRPr="002946A9">
        <w:rPr>
          <w:rFonts w:ascii="Trebuchet MS" w:hAnsi="Trebuchet MS"/>
          <w:szCs w:val="24"/>
        </w:rPr>
        <w:fldChar w:fldCharType="end"/>
      </w:r>
      <w:r w:rsidRPr="002946A9">
        <w:rPr>
          <w:rFonts w:ascii="Trebuchet MS" w:hAnsi="Trebuchet MS"/>
          <w:szCs w:val="24"/>
        </w:rPr>
        <w:t>. Se indican los niveles de tensión y tipo de inversión definidos para cada proyecto.</w:t>
      </w:r>
    </w:p>
    <w:p w14:paraId="500FFD9F" w14:textId="10819FD2" w:rsidR="00110BDC" w:rsidRPr="002946A9" w:rsidRDefault="00110BDC" w:rsidP="00DF29CB">
      <w:pPr>
        <w:spacing w:after="0"/>
        <w:ind w:left="360"/>
        <w:jc w:val="both"/>
        <w:rPr>
          <w:rFonts w:ascii="Trebuchet MS" w:hAnsi="Trebuchet MS"/>
          <w:szCs w:val="24"/>
        </w:rPr>
      </w:pPr>
    </w:p>
    <w:p w14:paraId="3D5C1E07" w14:textId="3E028BE4" w:rsidR="00801CA7" w:rsidRPr="00E11F7D" w:rsidRDefault="00AD4A33" w:rsidP="00E11F7D">
      <w:pPr>
        <w:ind w:left="1416" w:hanging="1056"/>
        <w:jc w:val="both"/>
        <w:rPr>
          <w:rFonts w:ascii="Trebuchet MS" w:hAnsi="Trebuchet MS"/>
        </w:rPr>
      </w:pPr>
      <w:bookmarkStart w:id="165" w:name="_Ref67064371"/>
      <w:bookmarkStart w:id="166" w:name="_Toc131032786"/>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18</w:t>
      </w:r>
      <w:r w:rsidRPr="002946A9">
        <w:rPr>
          <w:rFonts w:ascii="Trebuchet MS" w:hAnsi="Trebuchet MS"/>
        </w:rPr>
        <w:fldChar w:fldCharType="end"/>
      </w:r>
      <w:bookmarkEnd w:id="165"/>
      <w:r w:rsidRPr="002946A9">
        <w:rPr>
          <w:rFonts w:ascii="Trebuchet MS" w:hAnsi="Trebuchet MS"/>
        </w:rPr>
        <w:t xml:space="preserve">  </w:t>
      </w:r>
      <w:r w:rsidR="00E41B0C" w:rsidRPr="002946A9">
        <w:rPr>
          <w:rFonts w:ascii="Trebuchet MS" w:hAnsi="Trebuchet MS"/>
        </w:rPr>
        <w:t xml:space="preserve">Proyectos </w:t>
      </w:r>
      <w:r w:rsidR="005572D2" w:rsidRPr="002946A9">
        <w:rPr>
          <w:rFonts w:ascii="Trebuchet MS" w:hAnsi="Trebuchet MS"/>
        </w:rPr>
        <w:t xml:space="preserve">de inversión </w:t>
      </w:r>
      <w:r w:rsidR="00E41B0C" w:rsidRPr="002946A9">
        <w:rPr>
          <w:rFonts w:ascii="Trebuchet MS" w:hAnsi="Trebuchet MS"/>
        </w:rPr>
        <w:t xml:space="preserve">aprobados </w:t>
      </w:r>
      <w:r w:rsidR="001E4E49" w:rsidRPr="002946A9">
        <w:rPr>
          <w:rFonts w:ascii="Trebuchet MS" w:hAnsi="Trebuchet MS"/>
        </w:rPr>
        <w:t xml:space="preserve">para el año </w:t>
      </w:r>
      <w:r w:rsidR="00C22B01" w:rsidRPr="002946A9">
        <w:rPr>
          <w:rFonts w:ascii="Trebuchet MS" w:hAnsi="Trebuchet MS"/>
        </w:rPr>
        <w:t>202</w:t>
      </w:r>
      <w:r w:rsidR="00C22B01">
        <w:rPr>
          <w:rFonts w:ascii="Trebuchet MS" w:hAnsi="Trebuchet MS"/>
        </w:rPr>
        <w:t>2</w:t>
      </w:r>
      <w:r w:rsidRPr="002946A9">
        <w:rPr>
          <w:rFonts w:ascii="Trebuchet MS" w:hAnsi="Trebuchet MS"/>
          <w:i/>
          <w:iCs/>
        </w:rPr>
        <w:t>.</w:t>
      </w:r>
      <w:bookmarkEnd w:id="166"/>
    </w:p>
    <w:tbl>
      <w:tblPr>
        <w:tblStyle w:val="Tablaconcuadrcula6concolores-nfasis1"/>
        <w:tblW w:w="8801" w:type="dxa"/>
        <w:tblLook w:val="04A0" w:firstRow="1" w:lastRow="0" w:firstColumn="1" w:lastColumn="0" w:noHBand="0" w:noVBand="1"/>
      </w:tblPr>
      <w:tblGrid>
        <w:gridCol w:w="1600"/>
        <w:gridCol w:w="5268"/>
        <w:gridCol w:w="942"/>
        <w:gridCol w:w="991"/>
      </w:tblGrid>
      <w:tr w:rsidR="00B06561" w:rsidRPr="00B06561" w14:paraId="32AB740A" w14:textId="77777777" w:rsidTr="00B06561">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00" w:type="dxa"/>
            <w:noWrap/>
            <w:vAlign w:val="center"/>
            <w:hideMark/>
          </w:tcPr>
          <w:p w14:paraId="031F988C" w14:textId="77777777" w:rsidR="00B06561" w:rsidRPr="00EF3F98" w:rsidRDefault="00B06561" w:rsidP="00EF3F98">
            <w:pPr>
              <w:jc w:val="cente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Código en banco de proyectos</w:t>
            </w:r>
          </w:p>
        </w:tc>
        <w:tc>
          <w:tcPr>
            <w:tcW w:w="5268" w:type="dxa"/>
            <w:noWrap/>
            <w:vAlign w:val="center"/>
            <w:hideMark/>
          </w:tcPr>
          <w:p w14:paraId="6E2BE0A3" w14:textId="77777777" w:rsidR="00B06561" w:rsidRPr="00EF3F98" w:rsidRDefault="00B06561" w:rsidP="00EF3F98">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Nombre del proyecto</w:t>
            </w:r>
          </w:p>
        </w:tc>
        <w:tc>
          <w:tcPr>
            <w:tcW w:w="942" w:type="dxa"/>
            <w:noWrap/>
            <w:vAlign w:val="center"/>
            <w:hideMark/>
          </w:tcPr>
          <w:p w14:paraId="2455CCBF" w14:textId="77777777" w:rsidR="00B06561" w:rsidRPr="00EF3F98" w:rsidRDefault="00B06561" w:rsidP="00EF3F98">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Nivel de tensión</w:t>
            </w:r>
          </w:p>
        </w:tc>
        <w:tc>
          <w:tcPr>
            <w:tcW w:w="991" w:type="dxa"/>
            <w:noWrap/>
            <w:vAlign w:val="center"/>
            <w:hideMark/>
          </w:tcPr>
          <w:p w14:paraId="0A9C8BCA" w14:textId="77777777" w:rsidR="00B06561" w:rsidRPr="00EF3F98" w:rsidRDefault="00B06561" w:rsidP="00EF3F98">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Tipo inversión</w:t>
            </w:r>
          </w:p>
        </w:tc>
      </w:tr>
      <w:tr w:rsidR="0085122F" w:rsidRPr="00B06561" w14:paraId="75D7DB19" w14:textId="77777777" w:rsidTr="00B0656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768F6B30"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BP19907132999</w:t>
            </w:r>
          </w:p>
        </w:tc>
        <w:tc>
          <w:tcPr>
            <w:tcW w:w="5268" w:type="dxa"/>
            <w:noWrap/>
            <w:hideMark/>
          </w:tcPr>
          <w:p w14:paraId="770FFC2E" w14:textId="77777777" w:rsidR="0085122F" w:rsidRPr="00EF3F98" w:rsidRDefault="0085122F" w:rsidP="0085122F">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Gestión y control pérdidas de energía - EPM</w:t>
            </w:r>
          </w:p>
        </w:tc>
        <w:tc>
          <w:tcPr>
            <w:tcW w:w="942" w:type="dxa"/>
            <w:noWrap/>
            <w:hideMark/>
          </w:tcPr>
          <w:p w14:paraId="3B4A78B5" w14:textId="1F600DBA"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5F6EB8">
              <w:t>2 y 1</w:t>
            </w:r>
          </w:p>
        </w:tc>
        <w:tc>
          <w:tcPr>
            <w:tcW w:w="991" w:type="dxa"/>
            <w:noWrap/>
            <w:hideMark/>
          </w:tcPr>
          <w:p w14:paraId="3305854E" w14:textId="6CC4CB0D"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56E2A">
              <w:t>IV</w:t>
            </w:r>
          </w:p>
        </w:tc>
      </w:tr>
      <w:tr w:rsidR="009D0507" w:rsidRPr="00B06561" w14:paraId="555BDEED" w14:textId="77777777" w:rsidTr="00B06561">
        <w:trPr>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74FD3F25"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NEG0097TYDLI</w:t>
            </w:r>
          </w:p>
        </w:tc>
        <w:tc>
          <w:tcPr>
            <w:tcW w:w="0" w:type="dxa"/>
            <w:noWrap/>
            <w:hideMark/>
          </w:tcPr>
          <w:p w14:paraId="326C7264" w14:textId="77777777" w:rsidR="0085122F" w:rsidRPr="00EF3F98" w:rsidRDefault="0085122F" w:rsidP="0085122F">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Expansión VP T&amp;D</w:t>
            </w:r>
          </w:p>
        </w:tc>
        <w:tc>
          <w:tcPr>
            <w:tcW w:w="0" w:type="dxa"/>
            <w:noWrap/>
            <w:hideMark/>
          </w:tcPr>
          <w:p w14:paraId="056D3B3A" w14:textId="40251D10"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5F6EB8">
              <w:t>3,2 y 1</w:t>
            </w:r>
          </w:p>
        </w:tc>
        <w:tc>
          <w:tcPr>
            <w:tcW w:w="991" w:type="dxa"/>
            <w:noWrap/>
            <w:hideMark/>
          </w:tcPr>
          <w:p w14:paraId="4A85CBD4" w14:textId="4CF82254"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w:t>
            </w:r>
          </w:p>
        </w:tc>
      </w:tr>
      <w:tr w:rsidR="0085122F" w:rsidRPr="00B06561" w14:paraId="21292116" w14:textId="77777777" w:rsidTr="00B0656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5935670E"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NEG0100TYDLI</w:t>
            </w:r>
          </w:p>
        </w:tc>
        <w:tc>
          <w:tcPr>
            <w:tcW w:w="5268" w:type="dxa"/>
            <w:noWrap/>
            <w:hideMark/>
          </w:tcPr>
          <w:p w14:paraId="70BF7872" w14:textId="77777777" w:rsidR="0085122F" w:rsidRPr="00EF3F98" w:rsidRDefault="0085122F" w:rsidP="0085122F">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Reposición VP T&amp;D</w:t>
            </w:r>
          </w:p>
        </w:tc>
        <w:tc>
          <w:tcPr>
            <w:tcW w:w="942" w:type="dxa"/>
            <w:noWrap/>
            <w:hideMark/>
          </w:tcPr>
          <w:p w14:paraId="7C7CB0FC" w14:textId="19294542"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5F6EB8">
              <w:t>3,2 y 1</w:t>
            </w:r>
          </w:p>
        </w:tc>
        <w:tc>
          <w:tcPr>
            <w:tcW w:w="991" w:type="dxa"/>
            <w:noWrap/>
            <w:hideMark/>
          </w:tcPr>
          <w:p w14:paraId="569EB240" w14:textId="366687EF"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III y I</w:t>
            </w:r>
          </w:p>
        </w:tc>
      </w:tr>
      <w:tr w:rsidR="009D0507" w:rsidRPr="00B06561" w14:paraId="32E9FB30" w14:textId="77777777" w:rsidTr="00B06561">
        <w:trPr>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41E708AE"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NEG0705TYDCE</w:t>
            </w:r>
          </w:p>
        </w:tc>
        <w:tc>
          <w:tcPr>
            <w:tcW w:w="0" w:type="dxa"/>
            <w:noWrap/>
            <w:hideMark/>
          </w:tcPr>
          <w:p w14:paraId="5744E42F" w14:textId="77777777" w:rsidR="0085122F" w:rsidRPr="00EF3F98" w:rsidRDefault="0085122F" w:rsidP="0085122F">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Reposición de subestaciones y líneas</w:t>
            </w:r>
          </w:p>
        </w:tc>
        <w:tc>
          <w:tcPr>
            <w:tcW w:w="0" w:type="dxa"/>
            <w:noWrap/>
            <w:hideMark/>
          </w:tcPr>
          <w:p w14:paraId="08F2CB46" w14:textId="017CB729"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5F6EB8">
              <w:t>4,3 y 2</w:t>
            </w:r>
          </w:p>
        </w:tc>
        <w:tc>
          <w:tcPr>
            <w:tcW w:w="991" w:type="dxa"/>
            <w:noWrap/>
            <w:hideMark/>
          </w:tcPr>
          <w:p w14:paraId="656CFAFE" w14:textId="52109C69"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III y II</w:t>
            </w:r>
          </w:p>
        </w:tc>
      </w:tr>
      <w:tr w:rsidR="0085122F" w:rsidRPr="00B06561" w14:paraId="41ECECA2" w14:textId="77777777" w:rsidTr="00B0656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2C4869DA"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NEG1166TYDLI</w:t>
            </w:r>
          </w:p>
        </w:tc>
        <w:tc>
          <w:tcPr>
            <w:tcW w:w="5268" w:type="dxa"/>
            <w:noWrap/>
            <w:hideMark/>
          </w:tcPr>
          <w:p w14:paraId="71118923" w14:textId="77777777" w:rsidR="0085122F" w:rsidRPr="00EF3F98" w:rsidRDefault="0085122F" w:rsidP="0085122F">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Expansión y reposición de la Red de Fibra óptica</w:t>
            </w:r>
          </w:p>
        </w:tc>
        <w:tc>
          <w:tcPr>
            <w:tcW w:w="942" w:type="dxa"/>
            <w:noWrap/>
            <w:hideMark/>
          </w:tcPr>
          <w:p w14:paraId="48C705B7" w14:textId="04BC6D2C"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5F6EB8">
              <w:t>4 y 3</w:t>
            </w:r>
          </w:p>
        </w:tc>
        <w:tc>
          <w:tcPr>
            <w:tcW w:w="991" w:type="dxa"/>
            <w:noWrap/>
            <w:hideMark/>
          </w:tcPr>
          <w:p w14:paraId="16331D04" w14:textId="48005CB2"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w:t>
            </w:r>
          </w:p>
        </w:tc>
      </w:tr>
      <w:tr w:rsidR="009D0507" w:rsidRPr="00B06561" w14:paraId="6A0929F0" w14:textId="77777777" w:rsidTr="00B06561">
        <w:trPr>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393ED5F3"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PEI0101TYDCE</w:t>
            </w:r>
          </w:p>
        </w:tc>
        <w:tc>
          <w:tcPr>
            <w:tcW w:w="0" w:type="dxa"/>
            <w:noWrap/>
            <w:hideMark/>
          </w:tcPr>
          <w:p w14:paraId="3AA28F9D" w14:textId="77777777" w:rsidR="0085122F" w:rsidRPr="00EF3F98" w:rsidRDefault="0085122F" w:rsidP="0085122F">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Nueva subestación Santa Rosa 110 kV</w:t>
            </w:r>
          </w:p>
        </w:tc>
        <w:tc>
          <w:tcPr>
            <w:tcW w:w="0" w:type="dxa"/>
            <w:noWrap/>
            <w:hideMark/>
          </w:tcPr>
          <w:p w14:paraId="096C46B1" w14:textId="7389BD2C"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5F6EB8">
              <w:t>4,3 y 2</w:t>
            </w:r>
          </w:p>
        </w:tc>
        <w:tc>
          <w:tcPr>
            <w:tcW w:w="991" w:type="dxa"/>
            <w:noWrap/>
            <w:hideMark/>
          </w:tcPr>
          <w:p w14:paraId="19E0A0D0" w14:textId="44CB0519"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III y II</w:t>
            </w:r>
          </w:p>
        </w:tc>
      </w:tr>
      <w:tr w:rsidR="0085122F" w:rsidRPr="00B06561" w14:paraId="42EE4C51" w14:textId="77777777" w:rsidTr="00B0656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03FABB4B"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PEI0108TYDCE</w:t>
            </w:r>
          </w:p>
        </w:tc>
        <w:tc>
          <w:tcPr>
            <w:tcW w:w="5268" w:type="dxa"/>
            <w:noWrap/>
            <w:hideMark/>
          </w:tcPr>
          <w:p w14:paraId="44EFD7A1" w14:textId="77777777" w:rsidR="0085122F" w:rsidRPr="00EF3F98" w:rsidRDefault="0085122F" w:rsidP="0085122F">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Ampliación y normalización subestación Cañasgordas 44/13.2 kV</w:t>
            </w:r>
          </w:p>
        </w:tc>
        <w:tc>
          <w:tcPr>
            <w:tcW w:w="942" w:type="dxa"/>
            <w:noWrap/>
            <w:hideMark/>
          </w:tcPr>
          <w:p w14:paraId="40301BD9" w14:textId="4428C37E"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5F6EB8">
              <w:t>4,3 y 2</w:t>
            </w:r>
          </w:p>
        </w:tc>
        <w:tc>
          <w:tcPr>
            <w:tcW w:w="991" w:type="dxa"/>
            <w:noWrap/>
            <w:hideMark/>
          </w:tcPr>
          <w:p w14:paraId="10A91DF0" w14:textId="0843EFE2"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III , II y I</w:t>
            </w:r>
          </w:p>
        </w:tc>
      </w:tr>
      <w:tr w:rsidR="009D0507" w:rsidRPr="00B06561" w14:paraId="5AE519AD" w14:textId="77777777" w:rsidTr="00B06561">
        <w:trPr>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4AF287E2"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PEI0335TYDTO</w:t>
            </w:r>
          </w:p>
        </w:tc>
        <w:tc>
          <w:tcPr>
            <w:tcW w:w="0" w:type="dxa"/>
            <w:noWrap/>
            <w:hideMark/>
          </w:tcPr>
          <w:p w14:paraId="5553B561" w14:textId="77777777" w:rsidR="0085122F" w:rsidRPr="00EF3F98" w:rsidRDefault="0085122F" w:rsidP="0085122F">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Consolidación Centros de Control</w:t>
            </w:r>
          </w:p>
        </w:tc>
        <w:tc>
          <w:tcPr>
            <w:tcW w:w="0" w:type="dxa"/>
            <w:noWrap/>
            <w:hideMark/>
          </w:tcPr>
          <w:p w14:paraId="076220A2" w14:textId="449C0040"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5F6EB8">
              <w:t>4</w:t>
            </w:r>
          </w:p>
        </w:tc>
        <w:tc>
          <w:tcPr>
            <w:tcW w:w="991" w:type="dxa"/>
            <w:noWrap/>
            <w:hideMark/>
          </w:tcPr>
          <w:p w14:paraId="5A8AAAE3" w14:textId="5BADA44E"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56E2A">
              <w:t>I</w:t>
            </w:r>
          </w:p>
        </w:tc>
      </w:tr>
      <w:tr w:rsidR="0085122F" w:rsidRPr="00B06561" w14:paraId="7F4E3C95" w14:textId="77777777" w:rsidTr="00B0656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3C0D26AA"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PEI0348TYDLI</w:t>
            </w:r>
          </w:p>
        </w:tc>
        <w:tc>
          <w:tcPr>
            <w:tcW w:w="5268" w:type="dxa"/>
            <w:noWrap/>
            <w:hideMark/>
          </w:tcPr>
          <w:p w14:paraId="5F911C0D" w14:textId="77777777" w:rsidR="0085122F" w:rsidRPr="00EF3F98" w:rsidRDefault="0085122F" w:rsidP="0085122F">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Cumplimiento Resolución 0222/2011, sobre manejo integral de residuos peligrosos tipo PCB's</w:t>
            </w:r>
          </w:p>
        </w:tc>
        <w:tc>
          <w:tcPr>
            <w:tcW w:w="942" w:type="dxa"/>
            <w:noWrap/>
            <w:hideMark/>
          </w:tcPr>
          <w:p w14:paraId="5CEE05D3" w14:textId="512E9464"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5F6EB8">
              <w:t>1</w:t>
            </w:r>
          </w:p>
        </w:tc>
        <w:tc>
          <w:tcPr>
            <w:tcW w:w="991" w:type="dxa"/>
            <w:noWrap/>
            <w:hideMark/>
          </w:tcPr>
          <w:p w14:paraId="32624718" w14:textId="234D7A37"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III</w:t>
            </w:r>
          </w:p>
        </w:tc>
      </w:tr>
      <w:tr w:rsidR="009D0507" w:rsidRPr="00B06561" w14:paraId="2BA5C5B5" w14:textId="77777777" w:rsidTr="00B06561">
        <w:trPr>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77770A4D"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PEI0417TYDCE</w:t>
            </w:r>
          </w:p>
        </w:tc>
        <w:tc>
          <w:tcPr>
            <w:tcW w:w="0" w:type="dxa"/>
            <w:noWrap/>
            <w:hideMark/>
          </w:tcPr>
          <w:p w14:paraId="2CD314A6" w14:textId="77777777" w:rsidR="0085122F" w:rsidRPr="00EF3F98" w:rsidRDefault="0085122F" w:rsidP="0085122F">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Normalización de la subestación El Limón 44/13.2 kV</w:t>
            </w:r>
          </w:p>
        </w:tc>
        <w:tc>
          <w:tcPr>
            <w:tcW w:w="0" w:type="dxa"/>
            <w:noWrap/>
            <w:hideMark/>
          </w:tcPr>
          <w:p w14:paraId="38CBF4B4" w14:textId="218843C8"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5F6EB8">
              <w:t>4 y 2</w:t>
            </w:r>
          </w:p>
        </w:tc>
        <w:tc>
          <w:tcPr>
            <w:tcW w:w="991" w:type="dxa"/>
            <w:noWrap/>
            <w:hideMark/>
          </w:tcPr>
          <w:p w14:paraId="0377736A" w14:textId="03885614"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 y I</w:t>
            </w:r>
          </w:p>
        </w:tc>
      </w:tr>
      <w:tr w:rsidR="0085122F" w:rsidRPr="00B06561" w14:paraId="03E25522" w14:textId="77777777" w:rsidTr="00B0656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65A5A0C6"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PEI0444TYDCE</w:t>
            </w:r>
          </w:p>
        </w:tc>
        <w:tc>
          <w:tcPr>
            <w:tcW w:w="5268" w:type="dxa"/>
            <w:noWrap/>
            <w:hideMark/>
          </w:tcPr>
          <w:p w14:paraId="1E15AD6A" w14:textId="77777777" w:rsidR="0085122F" w:rsidRPr="00EF3F98" w:rsidRDefault="0085122F" w:rsidP="0085122F">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Modernización subestación Chigorodó 44/13.2 kV</w:t>
            </w:r>
          </w:p>
        </w:tc>
        <w:tc>
          <w:tcPr>
            <w:tcW w:w="942" w:type="dxa"/>
            <w:noWrap/>
            <w:hideMark/>
          </w:tcPr>
          <w:p w14:paraId="40AA7B0C" w14:textId="39AAD6BC"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5F6EB8">
              <w:t>4, 3 y 2</w:t>
            </w:r>
          </w:p>
        </w:tc>
        <w:tc>
          <w:tcPr>
            <w:tcW w:w="991" w:type="dxa"/>
            <w:noWrap/>
            <w:hideMark/>
          </w:tcPr>
          <w:p w14:paraId="673F5665" w14:textId="5B3D016B"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III, II y I</w:t>
            </w:r>
          </w:p>
        </w:tc>
      </w:tr>
      <w:tr w:rsidR="009D0507" w:rsidRPr="00B06561" w14:paraId="067ED73A" w14:textId="77777777" w:rsidTr="00B06561">
        <w:trPr>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1CE8B72B"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PEI0513TYDCE</w:t>
            </w:r>
          </w:p>
        </w:tc>
        <w:tc>
          <w:tcPr>
            <w:tcW w:w="0" w:type="dxa"/>
            <w:noWrap/>
            <w:hideMark/>
          </w:tcPr>
          <w:p w14:paraId="26C7C0D8" w14:textId="77777777" w:rsidR="0085122F" w:rsidRPr="00EF3F98" w:rsidRDefault="0085122F" w:rsidP="0085122F">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Modernización subestación Guadalupe IV 220/44/13.2 kV</w:t>
            </w:r>
          </w:p>
        </w:tc>
        <w:tc>
          <w:tcPr>
            <w:tcW w:w="0" w:type="dxa"/>
            <w:noWrap/>
            <w:hideMark/>
          </w:tcPr>
          <w:p w14:paraId="583DD83D" w14:textId="1F22F9BA"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5F6EB8">
              <w:t>4 y 3</w:t>
            </w:r>
          </w:p>
        </w:tc>
        <w:tc>
          <w:tcPr>
            <w:tcW w:w="991" w:type="dxa"/>
            <w:noWrap/>
            <w:hideMark/>
          </w:tcPr>
          <w:p w14:paraId="579D77B9" w14:textId="2D2214C5"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III y II</w:t>
            </w:r>
          </w:p>
        </w:tc>
      </w:tr>
      <w:tr w:rsidR="0085122F" w:rsidRPr="00B06561" w14:paraId="06F0D1CD" w14:textId="77777777" w:rsidTr="00B0656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52E7B65C"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PEI0555TYDCE</w:t>
            </w:r>
          </w:p>
        </w:tc>
        <w:tc>
          <w:tcPr>
            <w:tcW w:w="5268" w:type="dxa"/>
            <w:noWrap/>
            <w:hideMark/>
          </w:tcPr>
          <w:p w14:paraId="1E4BBE44" w14:textId="77777777" w:rsidR="0085122F" w:rsidRPr="00EF3F98" w:rsidRDefault="0085122F" w:rsidP="0085122F">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Modernización subestación San Jerónimo 110/44/13.2 kV</w:t>
            </w:r>
          </w:p>
        </w:tc>
        <w:tc>
          <w:tcPr>
            <w:tcW w:w="942" w:type="dxa"/>
            <w:noWrap/>
            <w:hideMark/>
          </w:tcPr>
          <w:p w14:paraId="5ACEFE2F" w14:textId="0E01B6D5"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5F6EB8">
              <w:t>4,3 y 2</w:t>
            </w:r>
          </w:p>
        </w:tc>
        <w:tc>
          <w:tcPr>
            <w:tcW w:w="991" w:type="dxa"/>
            <w:noWrap/>
            <w:hideMark/>
          </w:tcPr>
          <w:p w14:paraId="51FA35DA" w14:textId="44B6C5C5"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III, II y I</w:t>
            </w:r>
          </w:p>
        </w:tc>
      </w:tr>
      <w:tr w:rsidR="009D0507" w:rsidRPr="00B06561" w14:paraId="6586EFA5" w14:textId="77777777" w:rsidTr="00B06561">
        <w:trPr>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5FAD64A3"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PEI0557TYDLI</w:t>
            </w:r>
          </w:p>
        </w:tc>
        <w:tc>
          <w:tcPr>
            <w:tcW w:w="0" w:type="dxa"/>
            <w:noWrap/>
            <w:hideMark/>
          </w:tcPr>
          <w:p w14:paraId="19FA9FC7" w14:textId="77777777" w:rsidR="0085122F" w:rsidRPr="00EF3F98" w:rsidRDefault="0085122F" w:rsidP="0085122F">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Conexión subestaciones Urabá - Nueva Colonia - Apartadó 110 kV</w:t>
            </w:r>
          </w:p>
        </w:tc>
        <w:tc>
          <w:tcPr>
            <w:tcW w:w="0" w:type="dxa"/>
            <w:noWrap/>
            <w:hideMark/>
          </w:tcPr>
          <w:p w14:paraId="3ED0519C" w14:textId="25481DD9"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5F6EB8">
              <w:t>4, 3 y 2</w:t>
            </w:r>
          </w:p>
        </w:tc>
        <w:tc>
          <w:tcPr>
            <w:tcW w:w="991" w:type="dxa"/>
            <w:noWrap/>
            <w:hideMark/>
          </w:tcPr>
          <w:p w14:paraId="58D7AFFA" w14:textId="1F816EFE"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III, II y I</w:t>
            </w:r>
          </w:p>
        </w:tc>
      </w:tr>
      <w:tr w:rsidR="0085122F" w:rsidRPr="00B06561" w14:paraId="5034A57E" w14:textId="77777777" w:rsidTr="00B0656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04A48761"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PEI0609TYDCE</w:t>
            </w:r>
          </w:p>
        </w:tc>
        <w:tc>
          <w:tcPr>
            <w:tcW w:w="5268" w:type="dxa"/>
            <w:noWrap/>
            <w:hideMark/>
          </w:tcPr>
          <w:p w14:paraId="36EA4012" w14:textId="77777777" w:rsidR="0085122F" w:rsidRPr="00EF3F98" w:rsidRDefault="0085122F" w:rsidP="0085122F">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Conexión PCH TZ II 10.5 MW - Subestación Tarazá 44 kV</w:t>
            </w:r>
          </w:p>
        </w:tc>
        <w:tc>
          <w:tcPr>
            <w:tcW w:w="942" w:type="dxa"/>
            <w:noWrap/>
            <w:hideMark/>
          </w:tcPr>
          <w:p w14:paraId="53A8D658" w14:textId="579B7CD6"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5F6EB8">
              <w:t>4 y 3</w:t>
            </w:r>
          </w:p>
        </w:tc>
        <w:tc>
          <w:tcPr>
            <w:tcW w:w="991" w:type="dxa"/>
            <w:noWrap/>
            <w:hideMark/>
          </w:tcPr>
          <w:p w14:paraId="0F33C5B7" w14:textId="657B28BA"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III, II y I</w:t>
            </w:r>
          </w:p>
        </w:tc>
      </w:tr>
      <w:tr w:rsidR="009D0507" w:rsidRPr="00B06561" w14:paraId="067FB74A" w14:textId="77777777" w:rsidTr="00B06561">
        <w:trPr>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0EBDAC77"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PEI0804GENCE</w:t>
            </w:r>
          </w:p>
        </w:tc>
        <w:tc>
          <w:tcPr>
            <w:tcW w:w="0" w:type="dxa"/>
            <w:noWrap/>
            <w:hideMark/>
          </w:tcPr>
          <w:p w14:paraId="1D8E14F8" w14:textId="77777777" w:rsidR="0085122F" w:rsidRPr="00EF3F98" w:rsidRDefault="0085122F" w:rsidP="0085122F">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Reposición servicios auxiliares subestación El Salto</w:t>
            </w:r>
          </w:p>
        </w:tc>
        <w:tc>
          <w:tcPr>
            <w:tcW w:w="0" w:type="dxa"/>
            <w:noWrap/>
            <w:hideMark/>
          </w:tcPr>
          <w:p w14:paraId="6EC7295C" w14:textId="3C616787"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5F6EB8">
              <w:t>4,3 y 2</w:t>
            </w:r>
          </w:p>
        </w:tc>
        <w:tc>
          <w:tcPr>
            <w:tcW w:w="991" w:type="dxa"/>
            <w:noWrap/>
            <w:hideMark/>
          </w:tcPr>
          <w:p w14:paraId="698AA242" w14:textId="788C544F"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III</w:t>
            </w:r>
          </w:p>
        </w:tc>
      </w:tr>
      <w:tr w:rsidR="0085122F" w:rsidRPr="00B06561" w14:paraId="0C132C18" w14:textId="77777777" w:rsidTr="00B0656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6CA74847"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PEI0829TYDCE</w:t>
            </w:r>
          </w:p>
        </w:tc>
        <w:tc>
          <w:tcPr>
            <w:tcW w:w="5268" w:type="dxa"/>
            <w:noWrap/>
            <w:hideMark/>
          </w:tcPr>
          <w:p w14:paraId="688CC70C" w14:textId="77777777" w:rsidR="0085122F" w:rsidRPr="00EF3F98" w:rsidRDefault="0085122F" w:rsidP="0085122F">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Plan de choque VP T&amp;D - Subestaciones</w:t>
            </w:r>
          </w:p>
        </w:tc>
        <w:tc>
          <w:tcPr>
            <w:tcW w:w="942" w:type="dxa"/>
            <w:noWrap/>
            <w:hideMark/>
          </w:tcPr>
          <w:p w14:paraId="7BBD0FEA" w14:textId="073D45F9"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5F6EB8">
              <w:t>4,3 y 2</w:t>
            </w:r>
          </w:p>
        </w:tc>
        <w:tc>
          <w:tcPr>
            <w:tcW w:w="991" w:type="dxa"/>
            <w:noWrap/>
            <w:hideMark/>
          </w:tcPr>
          <w:p w14:paraId="1F188E2E" w14:textId="10E00E03"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III, II y I</w:t>
            </w:r>
          </w:p>
        </w:tc>
      </w:tr>
      <w:tr w:rsidR="009D0507" w:rsidRPr="00B06561" w14:paraId="4A79A610" w14:textId="77777777" w:rsidTr="00B06561">
        <w:trPr>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568F3CBB"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PEI0847TYDLI</w:t>
            </w:r>
          </w:p>
        </w:tc>
        <w:tc>
          <w:tcPr>
            <w:tcW w:w="0" w:type="dxa"/>
            <w:noWrap/>
            <w:hideMark/>
          </w:tcPr>
          <w:p w14:paraId="5019AB9F" w14:textId="77777777" w:rsidR="0085122F" w:rsidRPr="00EF3F98" w:rsidRDefault="0085122F" w:rsidP="0085122F">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Repotenciación líneas Valle de Aburrá 110 kV</w:t>
            </w:r>
          </w:p>
        </w:tc>
        <w:tc>
          <w:tcPr>
            <w:tcW w:w="0" w:type="dxa"/>
            <w:noWrap/>
            <w:hideMark/>
          </w:tcPr>
          <w:p w14:paraId="03D9DCDD" w14:textId="4FD6DB1D"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5F6EB8">
              <w:t>4</w:t>
            </w:r>
          </w:p>
        </w:tc>
        <w:tc>
          <w:tcPr>
            <w:tcW w:w="991" w:type="dxa"/>
            <w:noWrap/>
            <w:hideMark/>
          </w:tcPr>
          <w:p w14:paraId="57FAC58D" w14:textId="7DE582D2"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III</w:t>
            </w:r>
          </w:p>
        </w:tc>
      </w:tr>
      <w:tr w:rsidR="0085122F" w:rsidRPr="00B06561" w14:paraId="783B1059" w14:textId="77777777" w:rsidTr="00B0656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37E4869C"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PEI0998TYDCE</w:t>
            </w:r>
          </w:p>
        </w:tc>
        <w:tc>
          <w:tcPr>
            <w:tcW w:w="5268" w:type="dxa"/>
            <w:noWrap/>
            <w:hideMark/>
          </w:tcPr>
          <w:p w14:paraId="550CDD7F" w14:textId="77777777" w:rsidR="0085122F" w:rsidRPr="00EF3F98" w:rsidRDefault="0085122F" w:rsidP="0085122F">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Nueva subestación Caicedo 110 kV</w:t>
            </w:r>
          </w:p>
        </w:tc>
        <w:tc>
          <w:tcPr>
            <w:tcW w:w="942" w:type="dxa"/>
            <w:noWrap/>
            <w:hideMark/>
          </w:tcPr>
          <w:p w14:paraId="699A2E45" w14:textId="353AEE1D"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5F6EB8">
              <w:t>4</w:t>
            </w:r>
          </w:p>
        </w:tc>
        <w:tc>
          <w:tcPr>
            <w:tcW w:w="991" w:type="dxa"/>
            <w:noWrap/>
            <w:hideMark/>
          </w:tcPr>
          <w:p w14:paraId="5AEE04CD" w14:textId="5A7E31F4"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w:t>
            </w:r>
          </w:p>
        </w:tc>
      </w:tr>
      <w:tr w:rsidR="009D0507" w:rsidRPr="00B06561" w14:paraId="048A929C" w14:textId="77777777" w:rsidTr="00B06561">
        <w:trPr>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0CEF2B68"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PEI1000TYDLI</w:t>
            </w:r>
          </w:p>
        </w:tc>
        <w:tc>
          <w:tcPr>
            <w:tcW w:w="0" w:type="dxa"/>
            <w:noWrap/>
            <w:hideMark/>
          </w:tcPr>
          <w:p w14:paraId="4E60FF09" w14:textId="77777777" w:rsidR="0085122F" w:rsidRPr="00EF3F98" w:rsidRDefault="0085122F" w:rsidP="0085122F">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Plan mejoramiento calidad del servicio</w:t>
            </w:r>
          </w:p>
        </w:tc>
        <w:tc>
          <w:tcPr>
            <w:tcW w:w="0" w:type="dxa"/>
            <w:noWrap/>
            <w:hideMark/>
          </w:tcPr>
          <w:p w14:paraId="7A24D655" w14:textId="5A31E589"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5F6EB8">
              <w:t>3 y 2</w:t>
            </w:r>
          </w:p>
        </w:tc>
        <w:tc>
          <w:tcPr>
            <w:tcW w:w="991" w:type="dxa"/>
            <w:noWrap/>
            <w:hideMark/>
          </w:tcPr>
          <w:p w14:paraId="723F6174" w14:textId="18E211EB"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III</w:t>
            </w:r>
          </w:p>
        </w:tc>
      </w:tr>
      <w:tr w:rsidR="0085122F" w:rsidRPr="00B06561" w14:paraId="773E82E5" w14:textId="77777777" w:rsidTr="00B0656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53271AB3"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PEI1104TYDLI</w:t>
            </w:r>
          </w:p>
        </w:tc>
        <w:tc>
          <w:tcPr>
            <w:tcW w:w="5268" w:type="dxa"/>
            <w:noWrap/>
            <w:hideMark/>
          </w:tcPr>
          <w:p w14:paraId="1E382F6E" w14:textId="77777777" w:rsidR="0085122F" w:rsidRPr="00EF3F98" w:rsidRDefault="0085122F" w:rsidP="0085122F">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Solución a alta cargabilidad en redes del oriente antioqueño</w:t>
            </w:r>
          </w:p>
        </w:tc>
        <w:tc>
          <w:tcPr>
            <w:tcW w:w="942" w:type="dxa"/>
            <w:noWrap/>
            <w:hideMark/>
          </w:tcPr>
          <w:p w14:paraId="6C803FBD" w14:textId="6C1D957F"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5F6EB8">
              <w:t>3 y 2</w:t>
            </w:r>
          </w:p>
        </w:tc>
        <w:tc>
          <w:tcPr>
            <w:tcW w:w="991" w:type="dxa"/>
            <w:noWrap/>
            <w:hideMark/>
          </w:tcPr>
          <w:p w14:paraId="0F1A1905" w14:textId="383547CE"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III y II</w:t>
            </w:r>
          </w:p>
        </w:tc>
      </w:tr>
      <w:tr w:rsidR="009D0507" w:rsidRPr="00B06561" w14:paraId="062705A9" w14:textId="77777777" w:rsidTr="00B06561">
        <w:trPr>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3430803B"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PEI1142TYDCE</w:t>
            </w:r>
          </w:p>
        </w:tc>
        <w:tc>
          <w:tcPr>
            <w:tcW w:w="0" w:type="dxa"/>
            <w:noWrap/>
            <w:hideMark/>
          </w:tcPr>
          <w:p w14:paraId="43B426C8" w14:textId="77777777" w:rsidR="0085122F" w:rsidRPr="00EF3F98" w:rsidRDefault="0085122F" w:rsidP="0085122F">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Conexión Sofasa 4 MW - Subestación Envigado 44 kV</w:t>
            </w:r>
          </w:p>
        </w:tc>
        <w:tc>
          <w:tcPr>
            <w:tcW w:w="0" w:type="dxa"/>
            <w:noWrap/>
            <w:hideMark/>
          </w:tcPr>
          <w:p w14:paraId="7140AE34" w14:textId="1A281760"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5F6EB8">
              <w:t>4 y 3</w:t>
            </w:r>
          </w:p>
        </w:tc>
        <w:tc>
          <w:tcPr>
            <w:tcW w:w="991" w:type="dxa"/>
            <w:noWrap/>
            <w:hideMark/>
          </w:tcPr>
          <w:p w14:paraId="59680224" w14:textId="6733BA0B"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w:t>
            </w:r>
          </w:p>
        </w:tc>
      </w:tr>
      <w:tr w:rsidR="0085122F" w:rsidRPr="00B06561" w14:paraId="1CE52867" w14:textId="77777777" w:rsidTr="00B0656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2210CB0F"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PEI1160TYDCE</w:t>
            </w:r>
          </w:p>
        </w:tc>
        <w:tc>
          <w:tcPr>
            <w:tcW w:w="5268" w:type="dxa"/>
            <w:noWrap/>
            <w:hideMark/>
          </w:tcPr>
          <w:p w14:paraId="794ACDCC" w14:textId="77777777" w:rsidR="0085122F" w:rsidRPr="00EF3F98" w:rsidRDefault="0085122F" w:rsidP="0085122F">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Conexión PCH Caracolí 3.95 MW - Subestación Caracolí 44 kV</w:t>
            </w:r>
          </w:p>
        </w:tc>
        <w:tc>
          <w:tcPr>
            <w:tcW w:w="942" w:type="dxa"/>
            <w:noWrap/>
            <w:hideMark/>
          </w:tcPr>
          <w:p w14:paraId="45C5F2A9" w14:textId="4656A819"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5F6EB8">
              <w:t>4 y 3</w:t>
            </w:r>
          </w:p>
        </w:tc>
        <w:tc>
          <w:tcPr>
            <w:tcW w:w="991" w:type="dxa"/>
            <w:noWrap/>
            <w:hideMark/>
          </w:tcPr>
          <w:p w14:paraId="55FB186E" w14:textId="1889DEC1" w:rsidR="0085122F" w:rsidRPr="00EF3F98" w:rsidRDefault="0085122F" w:rsidP="00EF3F98">
            <w:pPr>
              <w:jc w:val="cente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Calibri"/>
                <w:color w:val="000000"/>
                <w:sz w:val="18"/>
                <w:szCs w:val="18"/>
                <w:lang w:eastAsia="es-CO"/>
              </w:rPr>
            </w:pPr>
            <w:r w:rsidRPr="00E56E2A">
              <w:t>II</w:t>
            </w:r>
          </w:p>
        </w:tc>
      </w:tr>
      <w:tr w:rsidR="009D0507" w:rsidRPr="00B06561" w14:paraId="27B10F94" w14:textId="77777777" w:rsidTr="00B06561">
        <w:trPr>
          <w:trHeight w:val="287"/>
        </w:trPr>
        <w:tc>
          <w:tcPr>
            <w:cnfStyle w:val="001000000000" w:firstRow="0" w:lastRow="0" w:firstColumn="1" w:lastColumn="0" w:oddVBand="0" w:evenVBand="0" w:oddHBand="0" w:evenHBand="0" w:firstRowFirstColumn="0" w:firstRowLastColumn="0" w:lastRowFirstColumn="0" w:lastRowLastColumn="0"/>
            <w:tcW w:w="1600" w:type="dxa"/>
            <w:noWrap/>
            <w:hideMark/>
          </w:tcPr>
          <w:p w14:paraId="1E4BB53C" w14:textId="77777777" w:rsidR="0085122F" w:rsidRPr="00EF3F98" w:rsidRDefault="0085122F" w:rsidP="0085122F">
            <w:pPr>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PIGA04</w:t>
            </w:r>
          </w:p>
        </w:tc>
        <w:tc>
          <w:tcPr>
            <w:tcW w:w="0" w:type="dxa"/>
            <w:noWrap/>
            <w:hideMark/>
          </w:tcPr>
          <w:p w14:paraId="59749304" w14:textId="77777777" w:rsidR="0085122F" w:rsidRPr="00EF3F98" w:rsidRDefault="0085122F" w:rsidP="0085122F">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F3F98">
              <w:rPr>
                <w:rFonts w:ascii="Trebuchet MS" w:eastAsia="Times New Roman" w:hAnsi="Trebuchet MS" w:cs="Calibri"/>
                <w:color w:val="000000"/>
                <w:sz w:val="18"/>
                <w:szCs w:val="18"/>
                <w:lang w:eastAsia="es-CO"/>
              </w:rPr>
              <w:t>Inversiones reconocidas para Gestión de Activos 4</w:t>
            </w:r>
          </w:p>
        </w:tc>
        <w:tc>
          <w:tcPr>
            <w:tcW w:w="0" w:type="dxa"/>
            <w:noWrap/>
            <w:hideMark/>
          </w:tcPr>
          <w:p w14:paraId="6838E096" w14:textId="72BF7091"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5F6EB8">
              <w:t>4</w:t>
            </w:r>
          </w:p>
        </w:tc>
        <w:tc>
          <w:tcPr>
            <w:tcW w:w="991" w:type="dxa"/>
            <w:noWrap/>
            <w:hideMark/>
          </w:tcPr>
          <w:p w14:paraId="690CB60D" w14:textId="5A4012A4" w:rsidR="0085122F" w:rsidRPr="00EF3F98" w:rsidRDefault="0085122F" w:rsidP="00EF3F98">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18"/>
                <w:szCs w:val="18"/>
                <w:lang w:eastAsia="es-CO"/>
              </w:rPr>
            </w:pPr>
            <w:r w:rsidRPr="00E56E2A">
              <w:t>IV</w:t>
            </w:r>
          </w:p>
        </w:tc>
      </w:tr>
    </w:tbl>
    <w:p w14:paraId="16293BA6" w14:textId="76004620" w:rsidR="00B06561" w:rsidRDefault="00B06561" w:rsidP="00307E2B">
      <w:pPr>
        <w:spacing w:after="0"/>
        <w:ind w:left="360"/>
        <w:jc w:val="both"/>
        <w:rPr>
          <w:rFonts w:ascii="Trebuchet MS" w:hAnsi="Trebuchet MS"/>
          <w:szCs w:val="24"/>
        </w:rPr>
      </w:pPr>
      <w:r>
        <w:rPr>
          <w:rFonts w:ascii="Trebuchet MS" w:hAnsi="Trebuchet MS"/>
          <w:szCs w:val="24"/>
        </w:rPr>
        <w:br/>
      </w:r>
    </w:p>
    <w:p w14:paraId="32DFE564" w14:textId="5EF3256A" w:rsidR="00574A1D" w:rsidRPr="002946A9" w:rsidRDefault="00574A1D" w:rsidP="00B53086">
      <w:pPr>
        <w:spacing w:after="0"/>
        <w:ind w:left="360"/>
        <w:jc w:val="both"/>
        <w:rPr>
          <w:rFonts w:ascii="Trebuchet MS" w:hAnsi="Trebuchet MS"/>
          <w:szCs w:val="24"/>
        </w:rPr>
      </w:pPr>
      <w:r w:rsidRPr="002946A9">
        <w:rPr>
          <w:rFonts w:ascii="Trebuchet MS" w:hAnsi="Trebuchet MS"/>
          <w:szCs w:val="24"/>
        </w:rPr>
        <w:t>Los</w:t>
      </w:r>
      <w:r w:rsidR="002A5321" w:rsidRPr="002946A9">
        <w:rPr>
          <w:rFonts w:ascii="Trebuchet MS" w:hAnsi="Trebuchet MS"/>
          <w:szCs w:val="24"/>
        </w:rPr>
        <w:t xml:space="preserve"> </w:t>
      </w:r>
      <w:r w:rsidRPr="002946A9">
        <w:rPr>
          <w:rFonts w:ascii="Trebuchet MS" w:hAnsi="Trebuchet MS"/>
          <w:szCs w:val="24"/>
        </w:rPr>
        <w:t xml:space="preserve">proyectos de </w:t>
      </w:r>
      <w:r w:rsidR="00C00ACE" w:rsidRPr="002946A9">
        <w:rPr>
          <w:rFonts w:ascii="Trebuchet MS" w:hAnsi="Trebuchet MS"/>
          <w:szCs w:val="24"/>
        </w:rPr>
        <w:t xml:space="preserve">inversión presentados en la </w:t>
      </w:r>
      <w:r w:rsidR="00C00ACE" w:rsidRPr="002946A9">
        <w:rPr>
          <w:rFonts w:ascii="Trebuchet MS" w:hAnsi="Trebuchet MS"/>
          <w:szCs w:val="24"/>
        </w:rPr>
        <w:fldChar w:fldCharType="begin"/>
      </w:r>
      <w:r w:rsidR="00C00ACE" w:rsidRPr="002946A9">
        <w:rPr>
          <w:rFonts w:ascii="Trebuchet MS" w:hAnsi="Trebuchet MS"/>
          <w:szCs w:val="24"/>
        </w:rPr>
        <w:instrText xml:space="preserve"> REF _Ref67064371 \h </w:instrText>
      </w:r>
      <w:r w:rsidR="00DF29CB" w:rsidRPr="002946A9">
        <w:rPr>
          <w:rFonts w:ascii="Trebuchet MS" w:hAnsi="Trebuchet MS"/>
          <w:szCs w:val="24"/>
        </w:rPr>
        <w:instrText xml:space="preserve"> \* MERGEFORMAT </w:instrText>
      </w:r>
      <w:r w:rsidR="00C00ACE" w:rsidRPr="002946A9">
        <w:rPr>
          <w:rFonts w:ascii="Trebuchet MS" w:hAnsi="Trebuchet MS"/>
          <w:szCs w:val="24"/>
        </w:rPr>
      </w:r>
      <w:r w:rsidR="00C00ACE"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2</w:t>
      </w:r>
      <w:r w:rsidR="00C944CB" w:rsidRPr="002946A9">
        <w:rPr>
          <w:rFonts w:ascii="Trebuchet MS" w:hAnsi="Trebuchet MS"/>
          <w:noProof/>
        </w:rPr>
        <w:t>.</w:t>
      </w:r>
      <w:r w:rsidR="00C944CB">
        <w:rPr>
          <w:rFonts w:ascii="Trebuchet MS" w:hAnsi="Trebuchet MS"/>
          <w:noProof/>
        </w:rPr>
        <w:t>18</w:t>
      </w:r>
      <w:r w:rsidR="00C00ACE" w:rsidRPr="002946A9">
        <w:rPr>
          <w:rFonts w:ascii="Trebuchet MS" w:hAnsi="Trebuchet MS"/>
          <w:szCs w:val="24"/>
        </w:rPr>
        <w:fldChar w:fldCharType="end"/>
      </w:r>
      <w:r w:rsidR="002812D3" w:rsidRPr="002946A9">
        <w:rPr>
          <w:rFonts w:ascii="Trebuchet MS" w:hAnsi="Trebuchet MS"/>
          <w:szCs w:val="24"/>
        </w:rPr>
        <w:t xml:space="preserve"> </w:t>
      </w:r>
      <w:r w:rsidR="00CC106A" w:rsidRPr="002946A9">
        <w:rPr>
          <w:rFonts w:ascii="Trebuchet MS" w:hAnsi="Trebuchet MS"/>
          <w:szCs w:val="24"/>
        </w:rPr>
        <w:t>se pueden desagregar por municipio</w:t>
      </w:r>
      <w:r w:rsidR="002A5321" w:rsidRPr="002946A9">
        <w:rPr>
          <w:rFonts w:ascii="Trebuchet MS" w:hAnsi="Trebuchet MS"/>
          <w:szCs w:val="24"/>
        </w:rPr>
        <w:t xml:space="preserve">, </w:t>
      </w:r>
      <w:r w:rsidR="00A17803" w:rsidRPr="002946A9">
        <w:rPr>
          <w:rFonts w:ascii="Trebuchet MS" w:hAnsi="Trebuchet MS"/>
          <w:szCs w:val="24"/>
        </w:rPr>
        <w:t xml:space="preserve">nivel de tensión y </w:t>
      </w:r>
      <w:r w:rsidR="00F758C3" w:rsidRPr="002946A9">
        <w:rPr>
          <w:rFonts w:ascii="Trebuchet MS" w:hAnsi="Trebuchet MS"/>
          <w:szCs w:val="24"/>
        </w:rPr>
        <w:t>tipo de inversión</w:t>
      </w:r>
      <w:r w:rsidR="009E0A8A" w:rsidRPr="002946A9">
        <w:rPr>
          <w:rFonts w:ascii="Trebuchet MS" w:hAnsi="Trebuchet MS"/>
          <w:szCs w:val="24"/>
        </w:rPr>
        <w:t>. Los montos aprobados con</w:t>
      </w:r>
      <w:r w:rsidR="001A50B5" w:rsidRPr="002946A9">
        <w:rPr>
          <w:rFonts w:ascii="Trebuchet MS" w:hAnsi="Trebuchet MS"/>
          <w:szCs w:val="24"/>
        </w:rPr>
        <w:t xml:space="preserve"> este nivel de detalle</w:t>
      </w:r>
      <w:r w:rsidR="009E0A8A" w:rsidRPr="002946A9">
        <w:rPr>
          <w:rFonts w:ascii="Trebuchet MS" w:hAnsi="Trebuchet MS"/>
          <w:szCs w:val="24"/>
        </w:rPr>
        <w:t xml:space="preserve"> se pueden consultar en los </w:t>
      </w:r>
      <w:r w:rsidR="009E0A8A" w:rsidRPr="0063758D">
        <w:rPr>
          <w:rFonts w:ascii="Trebuchet MS" w:hAnsi="Trebuchet MS"/>
          <w:szCs w:val="24"/>
        </w:rPr>
        <w:t>anexos 2 y 7.</w:t>
      </w:r>
    </w:p>
    <w:p w14:paraId="4A816D34" w14:textId="36941AF2" w:rsidR="008C2B2E" w:rsidRPr="002946A9" w:rsidRDefault="008C2B2E" w:rsidP="00DF29CB">
      <w:pPr>
        <w:ind w:left="360"/>
        <w:jc w:val="both"/>
        <w:rPr>
          <w:rFonts w:ascii="Trebuchet MS" w:hAnsi="Trebuchet MS"/>
          <w:szCs w:val="24"/>
        </w:rPr>
      </w:pPr>
    </w:p>
    <w:p w14:paraId="57DDB4A7" w14:textId="645825FF" w:rsidR="008C2B2E" w:rsidRPr="002946A9" w:rsidRDefault="008C2B2E" w:rsidP="00DF29CB">
      <w:pPr>
        <w:numPr>
          <w:ilvl w:val="2"/>
          <w:numId w:val="2"/>
        </w:numPr>
        <w:jc w:val="both"/>
        <w:outlineLvl w:val="2"/>
        <w:rPr>
          <w:rFonts w:ascii="Trebuchet MS" w:hAnsi="Trebuchet MS"/>
          <w:b/>
          <w:bCs/>
          <w:szCs w:val="24"/>
        </w:rPr>
      </w:pPr>
      <w:bookmarkStart w:id="167" w:name="_Toc131109352"/>
      <w:r w:rsidRPr="002946A9">
        <w:rPr>
          <w:rFonts w:ascii="Trebuchet MS" w:hAnsi="Trebuchet MS"/>
          <w:b/>
          <w:bCs/>
          <w:szCs w:val="24"/>
        </w:rPr>
        <w:t>Inversiones aprobadas para el año 202</w:t>
      </w:r>
      <w:r w:rsidR="00CB5C8E">
        <w:rPr>
          <w:rFonts w:ascii="Trebuchet MS" w:hAnsi="Trebuchet MS"/>
          <w:b/>
          <w:bCs/>
          <w:szCs w:val="24"/>
        </w:rPr>
        <w:t>2</w:t>
      </w:r>
      <w:bookmarkEnd w:id="167"/>
    </w:p>
    <w:p w14:paraId="331DF2B7" w14:textId="5F33BDC3" w:rsidR="00984CBE" w:rsidRPr="002946A9" w:rsidRDefault="00B469E4" w:rsidP="00DF29CB">
      <w:pPr>
        <w:ind w:left="360"/>
        <w:jc w:val="both"/>
        <w:rPr>
          <w:rFonts w:ascii="Trebuchet MS" w:hAnsi="Trebuchet MS" w:cs="Arial"/>
        </w:rPr>
      </w:pPr>
      <w:r w:rsidRPr="002946A9">
        <w:rPr>
          <w:rFonts w:ascii="Trebuchet MS" w:hAnsi="Trebuchet MS"/>
        </w:rPr>
        <w:t xml:space="preserve">Las inversiones aprobadas para ser ejecutadas en el año </w:t>
      </w:r>
      <w:r w:rsidR="0085122F" w:rsidRPr="002946A9">
        <w:rPr>
          <w:rFonts w:ascii="Trebuchet MS" w:hAnsi="Trebuchet MS"/>
        </w:rPr>
        <w:t>202</w:t>
      </w:r>
      <w:r w:rsidR="0085122F">
        <w:rPr>
          <w:rFonts w:ascii="Trebuchet MS" w:hAnsi="Trebuchet MS"/>
        </w:rPr>
        <w:t>2</w:t>
      </w:r>
      <w:r w:rsidR="00EE118E" w:rsidRPr="002946A9">
        <w:rPr>
          <w:rFonts w:ascii="Trebuchet MS" w:hAnsi="Trebuchet MS"/>
        </w:rPr>
        <w:t>, y</w:t>
      </w:r>
      <w:r w:rsidRPr="002946A9">
        <w:rPr>
          <w:rFonts w:ascii="Trebuchet MS" w:hAnsi="Trebuchet MS"/>
        </w:rPr>
        <w:t xml:space="preserve"> que se derivan de los proyectos indicados en el numera</w:t>
      </w:r>
      <w:r w:rsidR="00B33EA1" w:rsidRPr="002946A9">
        <w:rPr>
          <w:rFonts w:ascii="Trebuchet MS" w:hAnsi="Trebuchet MS"/>
        </w:rPr>
        <w:t xml:space="preserve">l </w:t>
      </w:r>
      <w:r w:rsidR="00EE118E" w:rsidRPr="002946A9">
        <w:rPr>
          <w:rFonts w:ascii="Trebuchet MS" w:hAnsi="Trebuchet MS"/>
        </w:rPr>
        <w:fldChar w:fldCharType="begin"/>
      </w:r>
      <w:r w:rsidR="00EE118E" w:rsidRPr="002946A9">
        <w:rPr>
          <w:rFonts w:ascii="Trebuchet MS" w:hAnsi="Trebuchet MS"/>
        </w:rPr>
        <w:instrText xml:space="preserve"> REF _Ref67064778 \r \h </w:instrText>
      </w:r>
      <w:r w:rsidR="004C2004" w:rsidRPr="002946A9">
        <w:rPr>
          <w:rFonts w:ascii="Trebuchet MS" w:hAnsi="Trebuchet MS"/>
        </w:rPr>
        <w:instrText xml:space="preserve"> \* MERGEFORMAT </w:instrText>
      </w:r>
      <w:r w:rsidR="00EE118E" w:rsidRPr="002946A9">
        <w:rPr>
          <w:rFonts w:ascii="Trebuchet MS" w:hAnsi="Trebuchet MS"/>
        </w:rPr>
      </w:r>
      <w:r w:rsidR="00EE118E" w:rsidRPr="002946A9">
        <w:rPr>
          <w:rFonts w:ascii="Trebuchet MS" w:hAnsi="Trebuchet MS"/>
        </w:rPr>
        <w:fldChar w:fldCharType="separate"/>
      </w:r>
      <w:r w:rsidR="00C944CB">
        <w:rPr>
          <w:rFonts w:ascii="Trebuchet MS" w:hAnsi="Trebuchet MS"/>
        </w:rPr>
        <w:t>2.4.1</w:t>
      </w:r>
      <w:r w:rsidR="00EE118E" w:rsidRPr="002946A9">
        <w:rPr>
          <w:rFonts w:ascii="Trebuchet MS" w:hAnsi="Trebuchet MS"/>
        </w:rPr>
        <w:fldChar w:fldCharType="end"/>
      </w:r>
      <w:r w:rsidR="00EE118E" w:rsidRPr="002946A9">
        <w:rPr>
          <w:rFonts w:ascii="Trebuchet MS" w:hAnsi="Trebuchet MS"/>
        </w:rPr>
        <w:t xml:space="preserve">, se </w:t>
      </w:r>
      <w:r w:rsidR="00D017CA" w:rsidRPr="002946A9">
        <w:rPr>
          <w:rFonts w:ascii="Trebuchet MS" w:hAnsi="Trebuchet MS"/>
        </w:rPr>
        <w:t xml:space="preserve">incluyen en la variable </w:t>
      </w:r>
      <w:r w:rsidR="00F67DD8" w:rsidRPr="002946A9">
        <w:rPr>
          <w:rFonts w:ascii="Trebuchet MS" w:hAnsi="Trebuchet MS" w:cstheme="minorHAnsi"/>
          <w:i/>
          <w:iCs/>
        </w:rPr>
        <w:t>INVA</w:t>
      </w:r>
      <w:r w:rsidR="00F67DD8" w:rsidRPr="002946A9">
        <w:rPr>
          <w:rFonts w:ascii="Trebuchet MS" w:hAnsi="Trebuchet MS" w:cstheme="minorHAnsi"/>
          <w:i/>
          <w:iCs/>
          <w:vertAlign w:val="subscript"/>
        </w:rPr>
        <w:t>j,n,l,</w:t>
      </w:r>
      <w:r w:rsidR="00E402A8">
        <w:rPr>
          <w:rFonts w:ascii="Trebuchet MS" w:hAnsi="Trebuchet MS" w:cstheme="minorHAnsi"/>
          <w:i/>
          <w:iCs/>
          <w:vertAlign w:val="subscript"/>
        </w:rPr>
        <w:t>4</w:t>
      </w:r>
      <w:r w:rsidR="004C2004" w:rsidRPr="002946A9">
        <w:rPr>
          <w:rFonts w:ascii="Trebuchet MS" w:hAnsi="Trebuchet MS" w:cs="Arial"/>
        </w:rPr>
        <w:t>, la cual, está definida por nivel de tensión</w:t>
      </w:r>
      <w:r w:rsidR="00A04694" w:rsidRPr="002946A9">
        <w:rPr>
          <w:rFonts w:ascii="Trebuchet MS" w:hAnsi="Trebuchet MS" w:cs="Arial"/>
        </w:rPr>
        <w:t xml:space="preserve"> (</w:t>
      </w:r>
      <w:r w:rsidR="00A04694" w:rsidRPr="002946A9">
        <w:rPr>
          <w:rFonts w:ascii="Trebuchet MS" w:hAnsi="Trebuchet MS" w:cs="Arial"/>
          <w:i/>
          <w:iCs/>
        </w:rPr>
        <w:t>n</w:t>
      </w:r>
      <w:r w:rsidR="00A04694" w:rsidRPr="002946A9">
        <w:rPr>
          <w:rFonts w:ascii="Trebuchet MS" w:hAnsi="Trebuchet MS" w:cs="Arial"/>
        </w:rPr>
        <w:t>)</w:t>
      </w:r>
      <w:r w:rsidR="004C2004" w:rsidRPr="002946A9">
        <w:rPr>
          <w:rFonts w:ascii="Trebuchet MS" w:hAnsi="Trebuchet MS" w:cs="Arial"/>
        </w:rPr>
        <w:t xml:space="preserve"> y categoría de activos</w:t>
      </w:r>
      <w:r w:rsidR="00A04694" w:rsidRPr="002946A9">
        <w:rPr>
          <w:rFonts w:ascii="Trebuchet MS" w:hAnsi="Trebuchet MS" w:cs="Arial"/>
        </w:rPr>
        <w:t xml:space="preserve"> (</w:t>
      </w:r>
      <w:r w:rsidR="00A04694" w:rsidRPr="002946A9">
        <w:rPr>
          <w:rFonts w:ascii="Trebuchet MS" w:hAnsi="Trebuchet MS" w:cs="Arial"/>
          <w:i/>
          <w:iCs/>
        </w:rPr>
        <w:t>l</w:t>
      </w:r>
      <w:r w:rsidR="00A04694" w:rsidRPr="002946A9">
        <w:rPr>
          <w:rFonts w:ascii="Trebuchet MS" w:hAnsi="Trebuchet MS" w:cs="Arial"/>
        </w:rPr>
        <w:t>)</w:t>
      </w:r>
      <w:r w:rsidR="002105B6" w:rsidRPr="002946A9">
        <w:rPr>
          <w:rFonts w:ascii="Trebuchet MS" w:hAnsi="Trebuchet MS" w:cs="Arial"/>
        </w:rPr>
        <w:t xml:space="preserve">. </w:t>
      </w:r>
      <w:r w:rsidR="00A04694" w:rsidRPr="002946A9">
        <w:rPr>
          <w:rFonts w:ascii="Trebuchet MS" w:hAnsi="Trebuchet MS" w:cs="Arial"/>
        </w:rPr>
        <w:t>Los</w:t>
      </w:r>
      <w:r w:rsidR="00FC31C6" w:rsidRPr="002946A9">
        <w:rPr>
          <w:rFonts w:ascii="Trebuchet MS" w:hAnsi="Trebuchet MS" w:cs="Arial"/>
        </w:rPr>
        <w:t xml:space="preserve"> valores aprobados</w:t>
      </w:r>
      <w:r w:rsidR="00A04694" w:rsidRPr="002946A9">
        <w:rPr>
          <w:rFonts w:ascii="Trebuchet MS" w:hAnsi="Trebuchet MS" w:cs="Arial"/>
        </w:rPr>
        <w:t xml:space="preserve"> para esta variable se presentan en la</w:t>
      </w:r>
      <w:r w:rsidR="00D76B34" w:rsidRPr="002946A9">
        <w:rPr>
          <w:rFonts w:ascii="Trebuchet MS" w:hAnsi="Trebuchet MS" w:cs="Arial"/>
        </w:rPr>
        <w:t xml:space="preserve"> </w:t>
      </w:r>
      <w:r w:rsidR="00D76B34" w:rsidRPr="002946A9">
        <w:rPr>
          <w:rFonts w:ascii="Trebuchet MS" w:hAnsi="Trebuchet MS" w:cs="Arial"/>
        </w:rPr>
        <w:fldChar w:fldCharType="begin"/>
      </w:r>
      <w:r w:rsidR="00D76B34" w:rsidRPr="002946A9">
        <w:rPr>
          <w:rFonts w:ascii="Trebuchet MS" w:hAnsi="Trebuchet MS" w:cs="Arial"/>
        </w:rPr>
        <w:instrText xml:space="preserve"> REF _Ref67067707 \h </w:instrText>
      </w:r>
      <w:r w:rsidR="00DF29CB" w:rsidRPr="002946A9">
        <w:rPr>
          <w:rFonts w:ascii="Trebuchet MS" w:hAnsi="Trebuchet MS" w:cs="Arial"/>
        </w:rPr>
        <w:instrText xml:space="preserve"> \* MERGEFORMAT </w:instrText>
      </w:r>
      <w:r w:rsidR="00D76B34" w:rsidRPr="002946A9">
        <w:rPr>
          <w:rFonts w:ascii="Trebuchet MS" w:hAnsi="Trebuchet MS" w:cs="Arial"/>
        </w:rPr>
      </w:r>
      <w:r w:rsidR="00D76B34" w:rsidRPr="002946A9">
        <w:rPr>
          <w:rFonts w:ascii="Trebuchet MS" w:hAnsi="Trebuchet MS" w:cs="Arial"/>
        </w:rPr>
        <w:fldChar w:fldCharType="separate"/>
      </w:r>
      <w:r w:rsidR="00C944CB" w:rsidRPr="002946A9">
        <w:rPr>
          <w:rFonts w:ascii="Trebuchet MS" w:hAnsi="Trebuchet MS"/>
        </w:rPr>
        <w:t xml:space="preserve">Tabla </w:t>
      </w:r>
      <w:r w:rsidR="00C944CB">
        <w:rPr>
          <w:rFonts w:ascii="Trebuchet MS" w:hAnsi="Trebuchet MS"/>
          <w:noProof/>
        </w:rPr>
        <w:t>2</w:t>
      </w:r>
      <w:r w:rsidR="00C944CB" w:rsidRPr="002946A9">
        <w:rPr>
          <w:rFonts w:ascii="Trebuchet MS" w:hAnsi="Trebuchet MS"/>
          <w:noProof/>
        </w:rPr>
        <w:t>.</w:t>
      </w:r>
      <w:r w:rsidR="00C944CB">
        <w:rPr>
          <w:rFonts w:ascii="Trebuchet MS" w:hAnsi="Trebuchet MS"/>
          <w:noProof/>
        </w:rPr>
        <w:t>19</w:t>
      </w:r>
      <w:r w:rsidR="00D76B34" w:rsidRPr="002946A9">
        <w:rPr>
          <w:rFonts w:ascii="Trebuchet MS" w:hAnsi="Trebuchet MS" w:cs="Arial"/>
        </w:rPr>
        <w:fldChar w:fldCharType="end"/>
      </w:r>
      <w:r w:rsidR="00D76B34" w:rsidRPr="002946A9">
        <w:rPr>
          <w:rFonts w:ascii="Trebuchet MS" w:hAnsi="Trebuchet MS" w:cs="Arial"/>
        </w:rPr>
        <w:t>.</w:t>
      </w:r>
      <w:r w:rsidR="00A04694" w:rsidRPr="002946A9">
        <w:rPr>
          <w:rFonts w:ascii="Trebuchet MS" w:hAnsi="Trebuchet MS" w:cs="Arial"/>
        </w:rPr>
        <w:t xml:space="preserve"> </w:t>
      </w:r>
    </w:p>
    <w:p w14:paraId="3D9F3EBB" w14:textId="2123B708" w:rsidR="00984CBE" w:rsidRPr="002946A9" w:rsidRDefault="00984CBE" w:rsidP="006D6B78">
      <w:pPr>
        <w:spacing w:after="0"/>
        <w:ind w:left="360"/>
        <w:jc w:val="both"/>
        <w:rPr>
          <w:rFonts w:ascii="Trebuchet MS" w:hAnsi="Trebuchet MS" w:cs="Arial"/>
        </w:rPr>
      </w:pPr>
    </w:p>
    <w:p w14:paraId="763E4841" w14:textId="771DBA40" w:rsidR="00E80012" w:rsidRPr="00E44705" w:rsidRDefault="009C4DEA" w:rsidP="00E44705">
      <w:pPr>
        <w:ind w:left="1416" w:hanging="1056"/>
        <w:rPr>
          <w:rFonts w:ascii="Trebuchet MS" w:hAnsi="Trebuchet MS"/>
        </w:rPr>
      </w:pPr>
      <w:bookmarkStart w:id="168" w:name="_Ref67067707"/>
      <w:bookmarkStart w:id="169" w:name="_Toc131032787"/>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19</w:t>
      </w:r>
      <w:r w:rsidRPr="002946A9">
        <w:rPr>
          <w:rFonts w:ascii="Trebuchet MS" w:hAnsi="Trebuchet MS"/>
        </w:rPr>
        <w:fldChar w:fldCharType="end"/>
      </w:r>
      <w:bookmarkEnd w:id="168"/>
      <w:r w:rsidRPr="002946A9">
        <w:rPr>
          <w:rFonts w:ascii="Trebuchet MS" w:hAnsi="Trebuchet MS"/>
        </w:rPr>
        <w:t xml:space="preserve">  </w:t>
      </w:r>
      <w:r w:rsidR="002159D9" w:rsidRPr="002946A9">
        <w:rPr>
          <w:rFonts w:ascii="Trebuchet MS" w:hAnsi="Trebuchet MS"/>
        </w:rPr>
        <w:t xml:space="preserve">Inversiones aprobadas para los proyectos del plan de inversión año </w:t>
      </w:r>
      <w:r w:rsidR="0085122F" w:rsidRPr="002946A9">
        <w:rPr>
          <w:rFonts w:ascii="Trebuchet MS" w:hAnsi="Trebuchet MS"/>
        </w:rPr>
        <w:t>202</w:t>
      </w:r>
      <w:r w:rsidR="0085122F">
        <w:rPr>
          <w:rFonts w:ascii="Trebuchet MS" w:hAnsi="Trebuchet MS"/>
        </w:rPr>
        <w:t>2</w:t>
      </w:r>
      <w:r w:rsidR="002159D9" w:rsidRPr="002946A9">
        <w:rPr>
          <w:rFonts w:ascii="Trebuchet MS" w:hAnsi="Trebuchet MS"/>
        </w:rPr>
        <w:t>.</w:t>
      </w:r>
      <w:bookmarkEnd w:id="169"/>
    </w:p>
    <w:tbl>
      <w:tblPr>
        <w:tblW w:w="9204" w:type="dxa"/>
        <w:tblLayout w:type="fixed"/>
        <w:tblCellMar>
          <w:left w:w="70" w:type="dxa"/>
          <w:right w:w="70" w:type="dxa"/>
        </w:tblCellMar>
        <w:tblLook w:val="04A0" w:firstRow="1" w:lastRow="0" w:firstColumn="1" w:lastColumn="0" w:noHBand="0" w:noVBand="1"/>
      </w:tblPr>
      <w:tblGrid>
        <w:gridCol w:w="350"/>
        <w:gridCol w:w="1483"/>
        <w:gridCol w:w="1418"/>
        <w:gridCol w:w="1559"/>
        <w:gridCol w:w="1417"/>
        <w:gridCol w:w="1418"/>
        <w:gridCol w:w="1559"/>
      </w:tblGrid>
      <w:tr w:rsidR="0085122F" w:rsidRPr="002946A9" w14:paraId="6165A8E9" w14:textId="77777777" w:rsidTr="00E16BBB">
        <w:trPr>
          <w:trHeight w:val="320"/>
        </w:trPr>
        <w:tc>
          <w:tcPr>
            <w:tcW w:w="350"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7064922B" w14:textId="77777777" w:rsidR="0085122F" w:rsidRPr="002946A9" w:rsidRDefault="0085122F" w:rsidP="00E16BBB">
            <w:pPr>
              <w:spacing w:after="0" w:line="240" w:lineRule="auto"/>
              <w:jc w:val="center"/>
              <w:rPr>
                <w:rFonts w:ascii="Trebuchet MS" w:eastAsia="Times New Roman" w:hAnsi="Trebuchet MS" w:cs="Calibri"/>
                <w:b/>
                <w:bCs/>
                <w:i/>
                <w:iCs/>
                <w:color w:val="000000"/>
                <w:sz w:val="16"/>
                <w:szCs w:val="16"/>
                <w:lang w:eastAsia="es-CO"/>
              </w:rPr>
            </w:pPr>
            <w:r w:rsidRPr="002946A9">
              <w:rPr>
                <w:rFonts w:ascii="Trebuchet MS" w:eastAsia="Times New Roman" w:hAnsi="Trebuchet MS" w:cs="Calibri"/>
                <w:b/>
                <w:bCs/>
                <w:i/>
                <w:iCs/>
                <w:color w:val="000000"/>
                <w:sz w:val="16"/>
                <w:szCs w:val="16"/>
                <w:lang w:eastAsia="es-CO"/>
              </w:rPr>
              <w:t>l</w:t>
            </w:r>
          </w:p>
        </w:tc>
        <w:tc>
          <w:tcPr>
            <w:tcW w:w="1483"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5D487E38" w14:textId="77777777" w:rsidR="0085122F" w:rsidRPr="002946A9" w:rsidRDefault="0085122F" w:rsidP="00E16BBB">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Descripción</w:t>
            </w:r>
          </w:p>
        </w:tc>
        <w:tc>
          <w:tcPr>
            <w:tcW w:w="7371" w:type="dxa"/>
            <w:gridSpan w:val="5"/>
            <w:tcBorders>
              <w:top w:val="single" w:sz="8" w:space="0" w:color="FFFFFF"/>
              <w:left w:val="nil"/>
              <w:bottom w:val="single" w:sz="8" w:space="0" w:color="FFFFFF"/>
              <w:right w:val="single" w:sz="8" w:space="0" w:color="FFFFFF"/>
            </w:tcBorders>
            <w:shd w:val="clear" w:color="000000" w:fill="BFE2A8"/>
            <w:noWrap/>
            <w:vAlign w:val="center"/>
            <w:hideMark/>
          </w:tcPr>
          <w:p w14:paraId="411F1B43" w14:textId="7D118516" w:rsidR="0085122F" w:rsidRPr="002946A9" w:rsidRDefault="0085122F" w:rsidP="00E16BBB">
            <w:pPr>
              <w:spacing w:after="0" w:line="240" w:lineRule="auto"/>
              <w:jc w:val="center"/>
              <w:rPr>
                <w:rFonts w:ascii="Trebuchet MS" w:eastAsia="Times New Roman" w:hAnsi="Trebuchet MS" w:cs="Calibri"/>
                <w:b/>
                <w:bCs/>
                <w:i/>
                <w:iCs/>
                <w:color w:val="000000"/>
                <w:sz w:val="20"/>
                <w:szCs w:val="20"/>
                <w:lang w:eastAsia="es-CO"/>
              </w:rPr>
            </w:pPr>
            <w:r w:rsidRPr="002946A9">
              <w:rPr>
                <w:rFonts w:ascii="Trebuchet MS" w:eastAsia="Times New Roman" w:hAnsi="Trebuchet MS" w:cs="Calibri"/>
                <w:b/>
                <w:bCs/>
                <w:i/>
                <w:iCs/>
                <w:color w:val="000000"/>
                <w:sz w:val="20"/>
                <w:szCs w:val="20"/>
                <w:lang w:eastAsia="es-CO"/>
              </w:rPr>
              <w:t>INVA</w:t>
            </w:r>
            <w:r w:rsidRPr="002946A9">
              <w:rPr>
                <w:rFonts w:ascii="Trebuchet MS" w:eastAsia="Times New Roman" w:hAnsi="Trebuchet MS" w:cs="Calibri"/>
                <w:b/>
                <w:bCs/>
                <w:i/>
                <w:iCs/>
                <w:color w:val="000000"/>
                <w:sz w:val="20"/>
                <w:szCs w:val="20"/>
                <w:vertAlign w:val="subscript"/>
                <w:lang w:eastAsia="es-CO"/>
              </w:rPr>
              <w:t>j,n,l,</w:t>
            </w:r>
            <w:r>
              <w:rPr>
                <w:rFonts w:ascii="Trebuchet MS" w:eastAsia="Times New Roman" w:hAnsi="Trebuchet MS" w:cs="Calibri"/>
                <w:b/>
                <w:bCs/>
                <w:i/>
                <w:iCs/>
                <w:color w:val="000000"/>
                <w:sz w:val="20"/>
                <w:szCs w:val="20"/>
                <w:vertAlign w:val="subscript"/>
                <w:lang w:eastAsia="es-CO"/>
              </w:rPr>
              <w:t>4</w:t>
            </w:r>
            <w:r w:rsidRPr="002946A9">
              <w:rPr>
                <w:rFonts w:ascii="Trebuchet MS" w:eastAsia="Times New Roman" w:hAnsi="Trebuchet MS" w:cs="Calibri"/>
                <w:b/>
                <w:bCs/>
                <w:i/>
                <w:iCs/>
                <w:color w:val="000000"/>
                <w:sz w:val="20"/>
                <w:szCs w:val="20"/>
                <w:vertAlign w:val="superscript"/>
                <w:lang w:eastAsia="es-CO"/>
              </w:rPr>
              <w:t>*</w:t>
            </w:r>
          </w:p>
        </w:tc>
      </w:tr>
      <w:tr w:rsidR="0085122F" w:rsidRPr="002946A9" w14:paraId="581A014A" w14:textId="77777777" w:rsidTr="00E16BBB">
        <w:trPr>
          <w:trHeight w:val="300"/>
        </w:trPr>
        <w:tc>
          <w:tcPr>
            <w:tcW w:w="350" w:type="dxa"/>
            <w:vMerge/>
            <w:tcBorders>
              <w:top w:val="single" w:sz="8" w:space="0" w:color="FFFFFF"/>
              <w:left w:val="single" w:sz="8" w:space="0" w:color="FFFFFF"/>
              <w:bottom w:val="single" w:sz="8" w:space="0" w:color="FFFFFF"/>
              <w:right w:val="single" w:sz="8" w:space="0" w:color="FFFFFF"/>
            </w:tcBorders>
            <w:vAlign w:val="center"/>
            <w:hideMark/>
          </w:tcPr>
          <w:p w14:paraId="140DEF1A" w14:textId="77777777" w:rsidR="0085122F" w:rsidRPr="002946A9" w:rsidRDefault="0085122F" w:rsidP="00E16BBB">
            <w:pPr>
              <w:spacing w:after="0" w:line="240" w:lineRule="auto"/>
              <w:rPr>
                <w:rFonts w:ascii="Trebuchet MS" w:eastAsia="Times New Roman" w:hAnsi="Trebuchet MS" w:cs="Calibri"/>
                <w:b/>
                <w:bCs/>
                <w:i/>
                <w:iCs/>
                <w:color w:val="000000"/>
                <w:sz w:val="16"/>
                <w:szCs w:val="16"/>
                <w:lang w:eastAsia="es-CO"/>
              </w:rPr>
            </w:pPr>
          </w:p>
        </w:tc>
        <w:tc>
          <w:tcPr>
            <w:tcW w:w="1483" w:type="dxa"/>
            <w:vMerge/>
            <w:tcBorders>
              <w:top w:val="single" w:sz="8" w:space="0" w:color="FFFFFF"/>
              <w:left w:val="single" w:sz="8" w:space="0" w:color="FFFFFF"/>
              <w:bottom w:val="single" w:sz="8" w:space="0" w:color="FFFFFF"/>
              <w:right w:val="single" w:sz="8" w:space="0" w:color="FFFFFF"/>
            </w:tcBorders>
            <w:vAlign w:val="center"/>
            <w:hideMark/>
          </w:tcPr>
          <w:p w14:paraId="759A86F8" w14:textId="77777777" w:rsidR="0085122F" w:rsidRPr="002946A9" w:rsidRDefault="0085122F" w:rsidP="00E16BBB">
            <w:pPr>
              <w:spacing w:after="0" w:line="240" w:lineRule="auto"/>
              <w:rPr>
                <w:rFonts w:ascii="Trebuchet MS" w:eastAsia="Times New Roman" w:hAnsi="Trebuchet MS" w:cs="Calibri"/>
                <w:b/>
                <w:bCs/>
                <w:color w:val="000000"/>
                <w:sz w:val="16"/>
                <w:szCs w:val="16"/>
                <w:lang w:eastAsia="es-CO"/>
              </w:rPr>
            </w:pPr>
          </w:p>
        </w:tc>
        <w:tc>
          <w:tcPr>
            <w:tcW w:w="1418" w:type="dxa"/>
            <w:tcBorders>
              <w:top w:val="nil"/>
              <w:left w:val="nil"/>
              <w:bottom w:val="single" w:sz="8" w:space="0" w:color="FFFFFF"/>
              <w:right w:val="single" w:sz="8" w:space="0" w:color="FFFFFF"/>
            </w:tcBorders>
            <w:shd w:val="clear" w:color="000000" w:fill="BFE2A8"/>
            <w:noWrap/>
            <w:vAlign w:val="center"/>
            <w:hideMark/>
          </w:tcPr>
          <w:p w14:paraId="4438BFB8" w14:textId="77777777" w:rsidR="0085122F" w:rsidRPr="002946A9" w:rsidRDefault="0085122F" w:rsidP="00E16BBB">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N1</w:t>
            </w:r>
          </w:p>
        </w:tc>
        <w:tc>
          <w:tcPr>
            <w:tcW w:w="1559" w:type="dxa"/>
            <w:tcBorders>
              <w:top w:val="nil"/>
              <w:left w:val="nil"/>
              <w:bottom w:val="single" w:sz="8" w:space="0" w:color="FFFFFF"/>
              <w:right w:val="single" w:sz="8" w:space="0" w:color="FFFFFF"/>
            </w:tcBorders>
            <w:shd w:val="clear" w:color="000000" w:fill="BFE2A8"/>
            <w:noWrap/>
            <w:vAlign w:val="center"/>
            <w:hideMark/>
          </w:tcPr>
          <w:p w14:paraId="501FD7C6" w14:textId="77777777" w:rsidR="0085122F" w:rsidRPr="002946A9" w:rsidRDefault="0085122F" w:rsidP="00E16BBB">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N2</w:t>
            </w:r>
          </w:p>
        </w:tc>
        <w:tc>
          <w:tcPr>
            <w:tcW w:w="1417" w:type="dxa"/>
            <w:tcBorders>
              <w:top w:val="nil"/>
              <w:left w:val="nil"/>
              <w:bottom w:val="single" w:sz="8" w:space="0" w:color="FFFFFF"/>
              <w:right w:val="single" w:sz="8" w:space="0" w:color="FFFFFF"/>
            </w:tcBorders>
            <w:shd w:val="clear" w:color="000000" w:fill="BFE2A8"/>
            <w:noWrap/>
            <w:vAlign w:val="center"/>
            <w:hideMark/>
          </w:tcPr>
          <w:p w14:paraId="70A5B047" w14:textId="77777777" w:rsidR="0085122F" w:rsidRPr="002946A9" w:rsidRDefault="0085122F" w:rsidP="00E16BBB">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N3</w:t>
            </w:r>
          </w:p>
        </w:tc>
        <w:tc>
          <w:tcPr>
            <w:tcW w:w="1418" w:type="dxa"/>
            <w:tcBorders>
              <w:top w:val="nil"/>
              <w:left w:val="nil"/>
              <w:bottom w:val="single" w:sz="8" w:space="0" w:color="FFFFFF"/>
              <w:right w:val="single" w:sz="8" w:space="0" w:color="FFFFFF"/>
            </w:tcBorders>
            <w:shd w:val="clear" w:color="000000" w:fill="BFE2A8"/>
            <w:noWrap/>
            <w:vAlign w:val="center"/>
            <w:hideMark/>
          </w:tcPr>
          <w:p w14:paraId="1F687C78" w14:textId="77777777" w:rsidR="0085122F" w:rsidRPr="002946A9" w:rsidRDefault="0085122F" w:rsidP="00E16BBB">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N4</w:t>
            </w:r>
          </w:p>
        </w:tc>
        <w:tc>
          <w:tcPr>
            <w:tcW w:w="1559" w:type="dxa"/>
            <w:tcBorders>
              <w:top w:val="nil"/>
              <w:left w:val="nil"/>
              <w:bottom w:val="single" w:sz="8" w:space="0" w:color="FFFFFF"/>
              <w:right w:val="single" w:sz="8" w:space="0" w:color="FFFFFF"/>
            </w:tcBorders>
            <w:shd w:val="clear" w:color="000000" w:fill="BFE2A8"/>
            <w:noWrap/>
            <w:vAlign w:val="center"/>
            <w:hideMark/>
          </w:tcPr>
          <w:p w14:paraId="067BD7FF" w14:textId="77777777" w:rsidR="0085122F" w:rsidRPr="002946A9" w:rsidRDefault="0085122F" w:rsidP="00E16BBB">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TOTAL</w:t>
            </w:r>
          </w:p>
        </w:tc>
      </w:tr>
      <w:tr w:rsidR="00A90CA8" w:rsidRPr="00162AF5" w14:paraId="4B1831C9" w14:textId="77777777" w:rsidTr="00EF3F98">
        <w:trPr>
          <w:trHeight w:val="300"/>
        </w:trPr>
        <w:tc>
          <w:tcPr>
            <w:tcW w:w="350" w:type="dxa"/>
            <w:tcBorders>
              <w:top w:val="nil"/>
              <w:left w:val="single" w:sz="8" w:space="0" w:color="FFFFFF"/>
              <w:bottom w:val="single" w:sz="8" w:space="0" w:color="FFFFFF"/>
              <w:right w:val="single" w:sz="8" w:space="0" w:color="FFFFFF"/>
            </w:tcBorders>
            <w:shd w:val="clear" w:color="000000" w:fill="BFE2A8"/>
            <w:noWrap/>
            <w:vAlign w:val="center"/>
            <w:hideMark/>
          </w:tcPr>
          <w:p w14:paraId="78B061CD" w14:textId="77777777" w:rsidR="00A90CA8" w:rsidRPr="002946A9" w:rsidRDefault="00A90CA8" w:rsidP="00A90CA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1</w:t>
            </w:r>
          </w:p>
        </w:tc>
        <w:tc>
          <w:tcPr>
            <w:tcW w:w="1483" w:type="dxa"/>
            <w:tcBorders>
              <w:top w:val="nil"/>
              <w:left w:val="nil"/>
              <w:bottom w:val="single" w:sz="8" w:space="0" w:color="FFFFFF"/>
              <w:right w:val="single" w:sz="8" w:space="0" w:color="FFFFFF"/>
            </w:tcBorders>
            <w:shd w:val="clear" w:color="000000" w:fill="D6EAAF"/>
            <w:noWrap/>
            <w:vAlign w:val="center"/>
            <w:hideMark/>
          </w:tcPr>
          <w:p w14:paraId="21A4E139" w14:textId="77777777" w:rsidR="00A90CA8" w:rsidRPr="002946A9" w:rsidRDefault="00A90CA8" w:rsidP="00A90CA8">
            <w:pPr>
              <w:spacing w:after="0" w:line="240" w:lineRule="auto"/>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Transformadores de potencia</w:t>
            </w:r>
          </w:p>
        </w:tc>
        <w:tc>
          <w:tcPr>
            <w:tcW w:w="1418" w:type="dxa"/>
            <w:tcBorders>
              <w:top w:val="nil"/>
              <w:left w:val="nil"/>
              <w:bottom w:val="single" w:sz="8" w:space="0" w:color="FFFFFF"/>
              <w:right w:val="single" w:sz="8" w:space="0" w:color="FFFFFF"/>
            </w:tcBorders>
            <w:shd w:val="clear" w:color="000000" w:fill="BFBFBF"/>
            <w:noWrap/>
            <w:vAlign w:val="center"/>
            <w:hideMark/>
          </w:tcPr>
          <w:p w14:paraId="4D6102FA" w14:textId="32C4CD76" w:rsidR="00A90CA8" w:rsidRPr="00A90CA8" w:rsidRDefault="00A90CA8" w:rsidP="00A90CA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w:t>
            </w:r>
          </w:p>
        </w:tc>
        <w:tc>
          <w:tcPr>
            <w:tcW w:w="1559" w:type="dxa"/>
            <w:tcBorders>
              <w:top w:val="nil"/>
              <w:left w:val="nil"/>
              <w:bottom w:val="single" w:sz="8" w:space="0" w:color="FFFFFF"/>
              <w:right w:val="single" w:sz="8" w:space="0" w:color="FFFFFF"/>
            </w:tcBorders>
            <w:shd w:val="clear" w:color="000000" w:fill="D6EAAF"/>
            <w:noWrap/>
            <w:vAlign w:val="center"/>
          </w:tcPr>
          <w:p w14:paraId="1DBBFE4C" w14:textId="161707E8"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7,114,658,500</w:t>
            </w:r>
          </w:p>
        </w:tc>
        <w:tc>
          <w:tcPr>
            <w:tcW w:w="1417" w:type="dxa"/>
            <w:tcBorders>
              <w:top w:val="nil"/>
              <w:left w:val="nil"/>
              <w:bottom w:val="single" w:sz="8" w:space="0" w:color="FFFFFF"/>
              <w:right w:val="single" w:sz="8" w:space="0" w:color="FFFFFF"/>
            </w:tcBorders>
            <w:shd w:val="clear" w:color="000000" w:fill="D6EAAF"/>
            <w:noWrap/>
            <w:vAlign w:val="center"/>
          </w:tcPr>
          <w:p w14:paraId="50177C68" w14:textId="192EF431"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7,452,612,000</w:t>
            </w:r>
          </w:p>
        </w:tc>
        <w:tc>
          <w:tcPr>
            <w:tcW w:w="1418" w:type="dxa"/>
            <w:tcBorders>
              <w:top w:val="nil"/>
              <w:left w:val="nil"/>
              <w:bottom w:val="single" w:sz="8" w:space="0" w:color="FFFFFF"/>
              <w:right w:val="single" w:sz="8" w:space="0" w:color="FFFFFF"/>
            </w:tcBorders>
            <w:shd w:val="clear" w:color="000000" w:fill="D6EAAF"/>
            <w:noWrap/>
            <w:vAlign w:val="center"/>
          </w:tcPr>
          <w:p w14:paraId="300C709B" w14:textId="6B21F900"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0</w:t>
            </w:r>
          </w:p>
        </w:tc>
        <w:tc>
          <w:tcPr>
            <w:tcW w:w="1559" w:type="dxa"/>
            <w:tcBorders>
              <w:top w:val="nil"/>
              <w:left w:val="nil"/>
              <w:bottom w:val="single" w:sz="8" w:space="0" w:color="FFFFFF"/>
              <w:right w:val="single" w:sz="8" w:space="0" w:color="FFFFFF"/>
            </w:tcBorders>
            <w:shd w:val="clear" w:color="000000" w:fill="D6EAAF"/>
            <w:noWrap/>
            <w:vAlign w:val="center"/>
          </w:tcPr>
          <w:p w14:paraId="6848C771" w14:textId="53CE1A67"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r w:rsidRPr="00162AF5">
              <w:rPr>
                <w:rFonts w:ascii="Trebuchet MS" w:hAnsi="Trebuchet MS"/>
                <w:b/>
                <w:bCs/>
                <w:sz w:val="16"/>
                <w:szCs w:val="16"/>
              </w:rPr>
              <w:t>14,567,270,500</w:t>
            </w:r>
          </w:p>
        </w:tc>
      </w:tr>
      <w:tr w:rsidR="00A90CA8" w:rsidRPr="00162AF5" w14:paraId="7805D038" w14:textId="77777777" w:rsidTr="00EF3F98">
        <w:trPr>
          <w:trHeight w:val="300"/>
        </w:trPr>
        <w:tc>
          <w:tcPr>
            <w:tcW w:w="350" w:type="dxa"/>
            <w:tcBorders>
              <w:top w:val="nil"/>
              <w:left w:val="single" w:sz="8" w:space="0" w:color="FFFFFF"/>
              <w:bottom w:val="single" w:sz="8" w:space="0" w:color="FFFFFF"/>
              <w:right w:val="single" w:sz="8" w:space="0" w:color="FFFFFF"/>
            </w:tcBorders>
            <w:shd w:val="clear" w:color="000000" w:fill="BFE2A8"/>
            <w:noWrap/>
            <w:vAlign w:val="center"/>
            <w:hideMark/>
          </w:tcPr>
          <w:p w14:paraId="7A3ACFE5" w14:textId="77777777" w:rsidR="00A90CA8" w:rsidRPr="002946A9" w:rsidRDefault="00A90CA8" w:rsidP="00A90CA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2</w:t>
            </w:r>
          </w:p>
        </w:tc>
        <w:tc>
          <w:tcPr>
            <w:tcW w:w="1483" w:type="dxa"/>
            <w:tcBorders>
              <w:top w:val="nil"/>
              <w:left w:val="nil"/>
              <w:bottom w:val="single" w:sz="8" w:space="0" w:color="FFFFFF"/>
              <w:right w:val="single" w:sz="8" w:space="0" w:color="FFFFFF"/>
            </w:tcBorders>
            <w:shd w:val="clear" w:color="000000" w:fill="EAF4D7"/>
            <w:noWrap/>
            <w:vAlign w:val="center"/>
            <w:hideMark/>
          </w:tcPr>
          <w:p w14:paraId="3D468944" w14:textId="77777777" w:rsidR="00A90CA8" w:rsidRPr="002946A9" w:rsidRDefault="00A90CA8" w:rsidP="00A90CA8">
            <w:pPr>
              <w:spacing w:after="0" w:line="240" w:lineRule="auto"/>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Compensación reactiva</w:t>
            </w:r>
          </w:p>
        </w:tc>
        <w:tc>
          <w:tcPr>
            <w:tcW w:w="1418" w:type="dxa"/>
            <w:tcBorders>
              <w:top w:val="nil"/>
              <w:left w:val="nil"/>
              <w:bottom w:val="single" w:sz="8" w:space="0" w:color="FFFFFF"/>
              <w:right w:val="single" w:sz="8" w:space="0" w:color="FFFFFF"/>
            </w:tcBorders>
            <w:shd w:val="clear" w:color="000000" w:fill="BFBFBF"/>
            <w:noWrap/>
            <w:vAlign w:val="center"/>
            <w:hideMark/>
          </w:tcPr>
          <w:p w14:paraId="560CBFF5" w14:textId="02E44867" w:rsidR="00A90CA8" w:rsidRPr="00A90CA8" w:rsidRDefault="00A90CA8" w:rsidP="00A90CA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w:t>
            </w:r>
          </w:p>
        </w:tc>
        <w:tc>
          <w:tcPr>
            <w:tcW w:w="1559" w:type="dxa"/>
            <w:tcBorders>
              <w:top w:val="nil"/>
              <w:left w:val="nil"/>
              <w:bottom w:val="single" w:sz="8" w:space="0" w:color="FFFFFF"/>
              <w:right w:val="single" w:sz="8" w:space="0" w:color="FFFFFF"/>
            </w:tcBorders>
            <w:shd w:val="clear" w:color="000000" w:fill="EAF4D7"/>
            <w:noWrap/>
            <w:vAlign w:val="center"/>
          </w:tcPr>
          <w:p w14:paraId="422CF411" w14:textId="28705E03"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0</w:t>
            </w:r>
          </w:p>
        </w:tc>
        <w:tc>
          <w:tcPr>
            <w:tcW w:w="1417" w:type="dxa"/>
            <w:tcBorders>
              <w:top w:val="nil"/>
              <w:left w:val="nil"/>
              <w:bottom w:val="single" w:sz="8" w:space="0" w:color="FFFFFF"/>
              <w:right w:val="single" w:sz="8" w:space="0" w:color="FFFFFF"/>
            </w:tcBorders>
            <w:shd w:val="clear" w:color="000000" w:fill="EAF4D7"/>
            <w:noWrap/>
            <w:vAlign w:val="center"/>
          </w:tcPr>
          <w:p w14:paraId="519C16C0" w14:textId="3F515124"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0</w:t>
            </w:r>
          </w:p>
        </w:tc>
        <w:tc>
          <w:tcPr>
            <w:tcW w:w="1418" w:type="dxa"/>
            <w:tcBorders>
              <w:top w:val="nil"/>
              <w:left w:val="nil"/>
              <w:bottom w:val="single" w:sz="8" w:space="0" w:color="FFFFFF"/>
              <w:right w:val="single" w:sz="8" w:space="0" w:color="FFFFFF"/>
            </w:tcBorders>
            <w:shd w:val="clear" w:color="000000" w:fill="EAF4D7"/>
            <w:noWrap/>
            <w:vAlign w:val="center"/>
          </w:tcPr>
          <w:p w14:paraId="6C21B723" w14:textId="568D1251"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0</w:t>
            </w:r>
          </w:p>
        </w:tc>
        <w:tc>
          <w:tcPr>
            <w:tcW w:w="1559" w:type="dxa"/>
            <w:tcBorders>
              <w:top w:val="nil"/>
              <w:left w:val="nil"/>
              <w:bottom w:val="single" w:sz="8" w:space="0" w:color="FFFFFF"/>
              <w:right w:val="single" w:sz="8" w:space="0" w:color="FFFFFF"/>
            </w:tcBorders>
            <w:shd w:val="clear" w:color="000000" w:fill="EAF4D7"/>
            <w:noWrap/>
            <w:vAlign w:val="center"/>
          </w:tcPr>
          <w:p w14:paraId="647BAF6D" w14:textId="316FD142"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r w:rsidRPr="00162AF5">
              <w:rPr>
                <w:rFonts w:ascii="Trebuchet MS" w:hAnsi="Trebuchet MS"/>
                <w:b/>
                <w:bCs/>
                <w:sz w:val="16"/>
                <w:szCs w:val="16"/>
              </w:rPr>
              <w:t>-</w:t>
            </w:r>
          </w:p>
        </w:tc>
      </w:tr>
      <w:tr w:rsidR="00A90CA8" w:rsidRPr="00162AF5" w14:paraId="679737F8" w14:textId="77777777" w:rsidTr="00EF3F98">
        <w:trPr>
          <w:trHeight w:val="300"/>
        </w:trPr>
        <w:tc>
          <w:tcPr>
            <w:tcW w:w="350" w:type="dxa"/>
            <w:tcBorders>
              <w:top w:val="nil"/>
              <w:left w:val="single" w:sz="8" w:space="0" w:color="FFFFFF"/>
              <w:bottom w:val="single" w:sz="8" w:space="0" w:color="FFFFFF"/>
              <w:right w:val="single" w:sz="8" w:space="0" w:color="FFFFFF"/>
            </w:tcBorders>
            <w:shd w:val="clear" w:color="000000" w:fill="BFE2A8"/>
            <w:noWrap/>
            <w:vAlign w:val="center"/>
            <w:hideMark/>
          </w:tcPr>
          <w:p w14:paraId="1211FC91" w14:textId="77777777" w:rsidR="00A90CA8" w:rsidRPr="002946A9" w:rsidRDefault="00A90CA8" w:rsidP="00A90CA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3</w:t>
            </w:r>
          </w:p>
        </w:tc>
        <w:tc>
          <w:tcPr>
            <w:tcW w:w="1483" w:type="dxa"/>
            <w:tcBorders>
              <w:top w:val="nil"/>
              <w:left w:val="nil"/>
              <w:bottom w:val="single" w:sz="8" w:space="0" w:color="FFFFFF"/>
              <w:right w:val="single" w:sz="8" w:space="0" w:color="FFFFFF"/>
            </w:tcBorders>
            <w:shd w:val="clear" w:color="000000" w:fill="D6EAAF"/>
            <w:noWrap/>
            <w:vAlign w:val="center"/>
            <w:hideMark/>
          </w:tcPr>
          <w:p w14:paraId="571302D8" w14:textId="77777777" w:rsidR="00A90CA8" w:rsidRPr="002946A9" w:rsidRDefault="00A90CA8" w:rsidP="00A90CA8">
            <w:pPr>
              <w:spacing w:after="0" w:line="240" w:lineRule="auto"/>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Bahías y celdas</w:t>
            </w:r>
          </w:p>
        </w:tc>
        <w:tc>
          <w:tcPr>
            <w:tcW w:w="1418" w:type="dxa"/>
            <w:tcBorders>
              <w:top w:val="nil"/>
              <w:left w:val="nil"/>
              <w:bottom w:val="single" w:sz="8" w:space="0" w:color="FFFFFF"/>
              <w:right w:val="single" w:sz="8" w:space="0" w:color="FFFFFF"/>
            </w:tcBorders>
            <w:shd w:val="clear" w:color="000000" w:fill="BFBFBF"/>
            <w:noWrap/>
            <w:vAlign w:val="center"/>
            <w:hideMark/>
          </w:tcPr>
          <w:p w14:paraId="0F60ECD7" w14:textId="1B0B99D9" w:rsidR="00A90CA8" w:rsidRPr="00A90CA8" w:rsidRDefault="00A90CA8" w:rsidP="00A90CA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w:t>
            </w:r>
          </w:p>
        </w:tc>
        <w:tc>
          <w:tcPr>
            <w:tcW w:w="1559" w:type="dxa"/>
            <w:tcBorders>
              <w:top w:val="nil"/>
              <w:left w:val="nil"/>
              <w:bottom w:val="single" w:sz="8" w:space="0" w:color="FFFFFF"/>
              <w:right w:val="single" w:sz="8" w:space="0" w:color="FFFFFF"/>
            </w:tcBorders>
            <w:shd w:val="clear" w:color="000000" w:fill="D6EAAF"/>
            <w:noWrap/>
            <w:vAlign w:val="center"/>
          </w:tcPr>
          <w:p w14:paraId="146ABBD1" w14:textId="261F47C4"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6,721,453,095</w:t>
            </w:r>
          </w:p>
        </w:tc>
        <w:tc>
          <w:tcPr>
            <w:tcW w:w="1417" w:type="dxa"/>
            <w:tcBorders>
              <w:top w:val="nil"/>
              <w:left w:val="nil"/>
              <w:bottom w:val="single" w:sz="8" w:space="0" w:color="FFFFFF"/>
              <w:right w:val="single" w:sz="8" w:space="0" w:color="FFFFFF"/>
            </w:tcBorders>
            <w:shd w:val="clear" w:color="000000" w:fill="D6EAAF"/>
            <w:noWrap/>
            <w:vAlign w:val="center"/>
          </w:tcPr>
          <w:p w14:paraId="5DB3EDE2" w14:textId="3B36FE4B"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4,948,804,204</w:t>
            </w:r>
          </w:p>
        </w:tc>
        <w:tc>
          <w:tcPr>
            <w:tcW w:w="1418" w:type="dxa"/>
            <w:tcBorders>
              <w:top w:val="nil"/>
              <w:left w:val="nil"/>
              <w:bottom w:val="single" w:sz="8" w:space="0" w:color="FFFFFF"/>
              <w:right w:val="single" w:sz="8" w:space="0" w:color="FFFFFF"/>
            </w:tcBorders>
            <w:shd w:val="clear" w:color="000000" w:fill="D6EAAF"/>
            <w:noWrap/>
            <w:vAlign w:val="center"/>
          </w:tcPr>
          <w:p w14:paraId="5AB9D057" w14:textId="1CCECA9E"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13,969,869,380</w:t>
            </w:r>
          </w:p>
        </w:tc>
        <w:tc>
          <w:tcPr>
            <w:tcW w:w="1559" w:type="dxa"/>
            <w:tcBorders>
              <w:top w:val="nil"/>
              <w:left w:val="nil"/>
              <w:bottom w:val="single" w:sz="8" w:space="0" w:color="FFFFFF"/>
              <w:right w:val="single" w:sz="8" w:space="0" w:color="FFFFFF"/>
            </w:tcBorders>
            <w:shd w:val="clear" w:color="000000" w:fill="D6EAAF"/>
            <w:noWrap/>
            <w:vAlign w:val="center"/>
          </w:tcPr>
          <w:p w14:paraId="257A8042" w14:textId="620924A9"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r w:rsidRPr="00162AF5">
              <w:rPr>
                <w:rFonts w:ascii="Trebuchet MS" w:hAnsi="Trebuchet MS"/>
                <w:b/>
                <w:bCs/>
                <w:sz w:val="16"/>
                <w:szCs w:val="16"/>
              </w:rPr>
              <w:t>25,640,126,679</w:t>
            </w:r>
          </w:p>
        </w:tc>
      </w:tr>
      <w:tr w:rsidR="00A90CA8" w:rsidRPr="00162AF5" w14:paraId="1DEDA760" w14:textId="77777777" w:rsidTr="00EF3F98">
        <w:trPr>
          <w:trHeight w:val="300"/>
        </w:trPr>
        <w:tc>
          <w:tcPr>
            <w:tcW w:w="350" w:type="dxa"/>
            <w:tcBorders>
              <w:top w:val="nil"/>
              <w:left w:val="single" w:sz="8" w:space="0" w:color="FFFFFF"/>
              <w:bottom w:val="single" w:sz="8" w:space="0" w:color="FFFFFF"/>
              <w:right w:val="single" w:sz="8" w:space="0" w:color="FFFFFF"/>
            </w:tcBorders>
            <w:shd w:val="clear" w:color="000000" w:fill="BFE2A8"/>
            <w:noWrap/>
            <w:vAlign w:val="center"/>
            <w:hideMark/>
          </w:tcPr>
          <w:p w14:paraId="2F4B16B0" w14:textId="77777777" w:rsidR="00A90CA8" w:rsidRPr="002946A9" w:rsidRDefault="00A90CA8" w:rsidP="00A90CA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4</w:t>
            </w:r>
          </w:p>
        </w:tc>
        <w:tc>
          <w:tcPr>
            <w:tcW w:w="1483" w:type="dxa"/>
            <w:tcBorders>
              <w:top w:val="nil"/>
              <w:left w:val="nil"/>
              <w:bottom w:val="single" w:sz="8" w:space="0" w:color="FFFFFF"/>
              <w:right w:val="single" w:sz="8" w:space="0" w:color="FFFFFF"/>
            </w:tcBorders>
            <w:shd w:val="clear" w:color="000000" w:fill="EAF4D7"/>
            <w:noWrap/>
            <w:vAlign w:val="center"/>
            <w:hideMark/>
          </w:tcPr>
          <w:p w14:paraId="6EB21F7F" w14:textId="77777777" w:rsidR="00A90CA8" w:rsidRPr="002946A9" w:rsidRDefault="00A90CA8" w:rsidP="00A90CA8">
            <w:pPr>
              <w:spacing w:after="0" w:line="240" w:lineRule="auto"/>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Equipos de control y comunicaciones</w:t>
            </w:r>
          </w:p>
        </w:tc>
        <w:tc>
          <w:tcPr>
            <w:tcW w:w="1418" w:type="dxa"/>
            <w:tcBorders>
              <w:top w:val="nil"/>
              <w:left w:val="nil"/>
              <w:bottom w:val="single" w:sz="8" w:space="0" w:color="FFFFFF"/>
              <w:right w:val="single" w:sz="8" w:space="0" w:color="FFFFFF"/>
            </w:tcBorders>
            <w:shd w:val="clear" w:color="000000" w:fill="BFBFBF"/>
            <w:noWrap/>
            <w:vAlign w:val="center"/>
            <w:hideMark/>
          </w:tcPr>
          <w:p w14:paraId="426F48DE" w14:textId="3843A262" w:rsidR="00A90CA8" w:rsidRPr="00A90CA8" w:rsidRDefault="00A90CA8" w:rsidP="00A90CA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w:t>
            </w:r>
          </w:p>
        </w:tc>
        <w:tc>
          <w:tcPr>
            <w:tcW w:w="1559" w:type="dxa"/>
            <w:tcBorders>
              <w:top w:val="nil"/>
              <w:left w:val="nil"/>
              <w:bottom w:val="single" w:sz="8" w:space="0" w:color="FFFFFF"/>
              <w:right w:val="single" w:sz="8" w:space="0" w:color="FFFFFF"/>
            </w:tcBorders>
            <w:shd w:val="clear" w:color="000000" w:fill="EAF4D7"/>
            <w:noWrap/>
            <w:vAlign w:val="center"/>
          </w:tcPr>
          <w:p w14:paraId="424B3EB2" w14:textId="01E9D198"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13,186,671,400</w:t>
            </w:r>
          </w:p>
        </w:tc>
        <w:tc>
          <w:tcPr>
            <w:tcW w:w="1417" w:type="dxa"/>
            <w:tcBorders>
              <w:top w:val="nil"/>
              <w:left w:val="nil"/>
              <w:bottom w:val="single" w:sz="8" w:space="0" w:color="FFFFFF"/>
              <w:right w:val="single" w:sz="8" w:space="0" w:color="FFFFFF"/>
            </w:tcBorders>
            <w:shd w:val="clear" w:color="000000" w:fill="EAF4D7"/>
            <w:noWrap/>
            <w:vAlign w:val="center"/>
          </w:tcPr>
          <w:p w14:paraId="5BB10888" w14:textId="4700CC42"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1,668,982,836</w:t>
            </w:r>
          </w:p>
        </w:tc>
        <w:tc>
          <w:tcPr>
            <w:tcW w:w="1418" w:type="dxa"/>
            <w:tcBorders>
              <w:top w:val="nil"/>
              <w:left w:val="nil"/>
              <w:bottom w:val="single" w:sz="8" w:space="0" w:color="FFFFFF"/>
              <w:right w:val="single" w:sz="8" w:space="0" w:color="FFFFFF"/>
            </w:tcBorders>
            <w:shd w:val="clear" w:color="000000" w:fill="EAF4D7"/>
            <w:noWrap/>
            <w:vAlign w:val="center"/>
          </w:tcPr>
          <w:p w14:paraId="31A12964" w14:textId="5A60059F"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3,106,801,690</w:t>
            </w:r>
          </w:p>
        </w:tc>
        <w:tc>
          <w:tcPr>
            <w:tcW w:w="1559" w:type="dxa"/>
            <w:tcBorders>
              <w:top w:val="nil"/>
              <w:left w:val="nil"/>
              <w:bottom w:val="single" w:sz="8" w:space="0" w:color="FFFFFF"/>
              <w:right w:val="single" w:sz="8" w:space="0" w:color="FFFFFF"/>
            </w:tcBorders>
            <w:shd w:val="clear" w:color="000000" w:fill="EAF4D7"/>
            <w:noWrap/>
            <w:vAlign w:val="center"/>
          </w:tcPr>
          <w:p w14:paraId="0EBDAEF5" w14:textId="7CB8516F"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r w:rsidRPr="00162AF5">
              <w:rPr>
                <w:rFonts w:ascii="Trebuchet MS" w:hAnsi="Trebuchet MS"/>
                <w:b/>
                <w:bCs/>
                <w:sz w:val="16"/>
                <w:szCs w:val="16"/>
              </w:rPr>
              <w:t>17,962,455,926</w:t>
            </w:r>
          </w:p>
        </w:tc>
      </w:tr>
      <w:tr w:rsidR="00A90CA8" w:rsidRPr="00162AF5" w14:paraId="310A0F2E" w14:textId="77777777" w:rsidTr="00EF3F98">
        <w:trPr>
          <w:trHeight w:val="300"/>
        </w:trPr>
        <w:tc>
          <w:tcPr>
            <w:tcW w:w="350" w:type="dxa"/>
            <w:tcBorders>
              <w:top w:val="nil"/>
              <w:left w:val="single" w:sz="8" w:space="0" w:color="FFFFFF"/>
              <w:bottom w:val="single" w:sz="8" w:space="0" w:color="FFFFFF"/>
              <w:right w:val="single" w:sz="8" w:space="0" w:color="FFFFFF"/>
            </w:tcBorders>
            <w:shd w:val="clear" w:color="000000" w:fill="BFE2A8"/>
            <w:noWrap/>
            <w:vAlign w:val="center"/>
            <w:hideMark/>
          </w:tcPr>
          <w:p w14:paraId="413AD475" w14:textId="77777777" w:rsidR="00A90CA8" w:rsidRPr="002946A9" w:rsidRDefault="00A90CA8" w:rsidP="00A90CA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5</w:t>
            </w:r>
          </w:p>
        </w:tc>
        <w:tc>
          <w:tcPr>
            <w:tcW w:w="1483" w:type="dxa"/>
            <w:tcBorders>
              <w:top w:val="nil"/>
              <w:left w:val="nil"/>
              <w:bottom w:val="single" w:sz="8" w:space="0" w:color="FFFFFF"/>
              <w:right w:val="single" w:sz="8" w:space="0" w:color="FFFFFF"/>
            </w:tcBorders>
            <w:shd w:val="clear" w:color="000000" w:fill="D6EAAF"/>
            <w:noWrap/>
            <w:vAlign w:val="center"/>
            <w:hideMark/>
          </w:tcPr>
          <w:p w14:paraId="08F56A65" w14:textId="77777777" w:rsidR="00A90CA8" w:rsidRPr="002946A9" w:rsidRDefault="00A90CA8" w:rsidP="00A90CA8">
            <w:pPr>
              <w:spacing w:after="0" w:line="240" w:lineRule="auto"/>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Equipos de subestación</w:t>
            </w:r>
          </w:p>
        </w:tc>
        <w:tc>
          <w:tcPr>
            <w:tcW w:w="1418" w:type="dxa"/>
            <w:tcBorders>
              <w:top w:val="nil"/>
              <w:left w:val="nil"/>
              <w:bottom w:val="single" w:sz="8" w:space="0" w:color="FFFFFF"/>
              <w:right w:val="single" w:sz="8" w:space="0" w:color="FFFFFF"/>
            </w:tcBorders>
            <w:shd w:val="clear" w:color="000000" w:fill="BFBFBF"/>
            <w:noWrap/>
            <w:vAlign w:val="center"/>
            <w:hideMark/>
          </w:tcPr>
          <w:p w14:paraId="49FF48A8" w14:textId="496FEB7C" w:rsidR="00A90CA8" w:rsidRPr="00A90CA8" w:rsidRDefault="00A90CA8" w:rsidP="00A90CA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w:t>
            </w:r>
          </w:p>
        </w:tc>
        <w:tc>
          <w:tcPr>
            <w:tcW w:w="1559" w:type="dxa"/>
            <w:tcBorders>
              <w:top w:val="nil"/>
              <w:left w:val="nil"/>
              <w:bottom w:val="single" w:sz="8" w:space="0" w:color="FFFFFF"/>
              <w:right w:val="single" w:sz="8" w:space="0" w:color="FFFFFF"/>
            </w:tcBorders>
            <w:shd w:val="clear" w:color="000000" w:fill="D6EAAF"/>
            <w:noWrap/>
            <w:vAlign w:val="center"/>
          </w:tcPr>
          <w:p w14:paraId="61933610" w14:textId="3CF07EC9"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724,894,000</w:t>
            </w:r>
          </w:p>
        </w:tc>
        <w:tc>
          <w:tcPr>
            <w:tcW w:w="1417" w:type="dxa"/>
            <w:tcBorders>
              <w:top w:val="nil"/>
              <w:left w:val="nil"/>
              <w:bottom w:val="single" w:sz="8" w:space="0" w:color="FFFFFF"/>
              <w:right w:val="single" w:sz="8" w:space="0" w:color="FFFFFF"/>
            </w:tcBorders>
            <w:shd w:val="clear" w:color="000000" w:fill="D6EAAF"/>
            <w:noWrap/>
            <w:vAlign w:val="center"/>
          </w:tcPr>
          <w:p w14:paraId="678DE644" w14:textId="425EB080"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230,412,000</w:t>
            </w:r>
          </w:p>
        </w:tc>
        <w:tc>
          <w:tcPr>
            <w:tcW w:w="1418" w:type="dxa"/>
            <w:tcBorders>
              <w:top w:val="nil"/>
              <w:left w:val="nil"/>
              <w:bottom w:val="single" w:sz="8" w:space="0" w:color="FFFFFF"/>
              <w:right w:val="single" w:sz="8" w:space="0" w:color="FFFFFF"/>
            </w:tcBorders>
            <w:shd w:val="clear" w:color="000000" w:fill="D6EAAF"/>
            <w:noWrap/>
            <w:vAlign w:val="center"/>
          </w:tcPr>
          <w:p w14:paraId="49C7B278" w14:textId="09B9845A"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1,626,336,000</w:t>
            </w:r>
          </w:p>
        </w:tc>
        <w:tc>
          <w:tcPr>
            <w:tcW w:w="1559" w:type="dxa"/>
            <w:tcBorders>
              <w:top w:val="nil"/>
              <w:left w:val="nil"/>
              <w:bottom w:val="single" w:sz="8" w:space="0" w:color="FFFFFF"/>
              <w:right w:val="single" w:sz="8" w:space="0" w:color="FFFFFF"/>
            </w:tcBorders>
            <w:shd w:val="clear" w:color="000000" w:fill="D6EAAF"/>
            <w:noWrap/>
            <w:vAlign w:val="center"/>
          </w:tcPr>
          <w:p w14:paraId="0D16716D" w14:textId="6CCAB288"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r w:rsidRPr="00162AF5">
              <w:rPr>
                <w:rFonts w:ascii="Trebuchet MS" w:hAnsi="Trebuchet MS"/>
                <w:b/>
                <w:bCs/>
                <w:sz w:val="16"/>
                <w:szCs w:val="16"/>
              </w:rPr>
              <w:t>2,581,642,000</w:t>
            </w:r>
          </w:p>
        </w:tc>
      </w:tr>
      <w:tr w:rsidR="00A90CA8" w:rsidRPr="00162AF5" w14:paraId="003DF8D9" w14:textId="77777777" w:rsidTr="00EF3F98">
        <w:trPr>
          <w:trHeight w:val="300"/>
        </w:trPr>
        <w:tc>
          <w:tcPr>
            <w:tcW w:w="350" w:type="dxa"/>
            <w:tcBorders>
              <w:top w:val="nil"/>
              <w:left w:val="single" w:sz="8" w:space="0" w:color="FFFFFF"/>
              <w:bottom w:val="single" w:sz="8" w:space="0" w:color="FFFFFF"/>
              <w:right w:val="single" w:sz="8" w:space="0" w:color="FFFFFF"/>
            </w:tcBorders>
            <w:shd w:val="clear" w:color="000000" w:fill="BFE2A8"/>
            <w:noWrap/>
            <w:vAlign w:val="center"/>
            <w:hideMark/>
          </w:tcPr>
          <w:p w14:paraId="69F53478" w14:textId="77777777" w:rsidR="00A90CA8" w:rsidRPr="002946A9" w:rsidRDefault="00A90CA8" w:rsidP="00A90CA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6</w:t>
            </w:r>
          </w:p>
        </w:tc>
        <w:tc>
          <w:tcPr>
            <w:tcW w:w="1483" w:type="dxa"/>
            <w:tcBorders>
              <w:top w:val="nil"/>
              <w:left w:val="nil"/>
              <w:bottom w:val="single" w:sz="8" w:space="0" w:color="FFFFFF"/>
              <w:right w:val="single" w:sz="8" w:space="0" w:color="FFFFFF"/>
            </w:tcBorders>
            <w:shd w:val="clear" w:color="000000" w:fill="EAF4D7"/>
            <w:noWrap/>
            <w:vAlign w:val="center"/>
            <w:hideMark/>
          </w:tcPr>
          <w:p w14:paraId="7EEADAD9" w14:textId="77777777" w:rsidR="00A90CA8" w:rsidRPr="002946A9" w:rsidRDefault="00A90CA8" w:rsidP="00A90CA8">
            <w:pPr>
              <w:spacing w:after="0" w:line="240" w:lineRule="auto"/>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Otros activos subestación</w:t>
            </w:r>
          </w:p>
        </w:tc>
        <w:tc>
          <w:tcPr>
            <w:tcW w:w="1418" w:type="dxa"/>
            <w:tcBorders>
              <w:top w:val="nil"/>
              <w:left w:val="nil"/>
              <w:bottom w:val="single" w:sz="8" w:space="0" w:color="FFFFFF"/>
              <w:right w:val="single" w:sz="8" w:space="0" w:color="FFFFFF"/>
            </w:tcBorders>
            <w:shd w:val="clear" w:color="000000" w:fill="BFBFBF"/>
            <w:noWrap/>
            <w:vAlign w:val="center"/>
            <w:hideMark/>
          </w:tcPr>
          <w:p w14:paraId="12DAAF52" w14:textId="47CA41F9" w:rsidR="00A90CA8" w:rsidRPr="00A90CA8" w:rsidRDefault="00A90CA8" w:rsidP="00A90CA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w:t>
            </w:r>
          </w:p>
        </w:tc>
        <w:tc>
          <w:tcPr>
            <w:tcW w:w="1559" w:type="dxa"/>
            <w:tcBorders>
              <w:top w:val="nil"/>
              <w:left w:val="nil"/>
              <w:bottom w:val="single" w:sz="8" w:space="0" w:color="FFFFFF"/>
              <w:right w:val="single" w:sz="8" w:space="0" w:color="FFFFFF"/>
            </w:tcBorders>
            <w:shd w:val="clear" w:color="000000" w:fill="EAF4D7"/>
            <w:noWrap/>
            <w:vAlign w:val="center"/>
          </w:tcPr>
          <w:p w14:paraId="6A849342" w14:textId="1CE1A596"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1,406,496,000</w:t>
            </w:r>
          </w:p>
        </w:tc>
        <w:tc>
          <w:tcPr>
            <w:tcW w:w="1417" w:type="dxa"/>
            <w:tcBorders>
              <w:top w:val="nil"/>
              <w:left w:val="nil"/>
              <w:bottom w:val="single" w:sz="8" w:space="0" w:color="FFFFFF"/>
              <w:right w:val="single" w:sz="8" w:space="0" w:color="FFFFFF"/>
            </w:tcBorders>
            <w:shd w:val="clear" w:color="000000" w:fill="EAF4D7"/>
            <w:noWrap/>
            <w:vAlign w:val="center"/>
          </w:tcPr>
          <w:p w14:paraId="7B124D33" w14:textId="10E4A7C6"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1,667,593,187</w:t>
            </w:r>
          </w:p>
        </w:tc>
        <w:tc>
          <w:tcPr>
            <w:tcW w:w="1418" w:type="dxa"/>
            <w:tcBorders>
              <w:top w:val="nil"/>
              <w:left w:val="nil"/>
              <w:bottom w:val="single" w:sz="8" w:space="0" w:color="FFFFFF"/>
              <w:right w:val="single" w:sz="8" w:space="0" w:color="FFFFFF"/>
            </w:tcBorders>
            <w:shd w:val="clear" w:color="000000" w:fill="EAF4D7"/>
            <w:noWrap/>
            <w:vAlign w:val="center"/>
          </w:tcPr>
          <w:p w14:paraId="082891E5" w14:textId="71B48F32"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3,340,349,749</w:t>
            </w:r>
          </w:p>
        </w:tc>
        <w:tc>
          <w:tcPr>
            <w:tcW w:w="1559" w:type="dxa"/>
            <w:tcBorders>
              <w:top w:val="nil"/>
              <w:left w:val="nil"/>
              <w:bottom w:val="single" w:sz="8" w:space="0" w:color="FFFFFF"/>
              <w:right w:val="single" w:sz="8" w:space="0" w:color="FFFFFF"/>
            </w:tcBorders>
            <w:shd w:val="clear" w:color="000000" w:fill="EAF4D7"/>
            <w:noWrap/>
            <w:vAlign w:val="center"/>
          </w:tcPr>
          <w:p w14:paraId="1771B51E" w14:textId="42A348CB"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r w:rsidRPr="00162AF5">
              <w:rPr>
                <w:rFonts w:ascii="Trebuchet MS" w:hAnsi="Trebuchet MS"/>
                <w:b/>
                <w:bCs/>
                <w:sz w:val="16"/>
                <w:szCs w:val="16"/>
              </w:rPr>
              <w:t>6,414,438,936</w:t>
            </w:r>
          </w:p>
        </w:tc>
      </w:tr>
      <w:tr w:rsidR="00A90CA8" w:rsidRPr="00162AF5" w14:paraId="55E98914" w14:textId="77777777" w:rsidTr="00EF3F98">
        <w:trPr>
          <w:trHeight w:val="300"/>
        </w:trPr>
        <w:tc>
          <w:tcPr>
            <w:tcW w:w="350" w:type="dxa"/>
            <w:tcBorders>
              <w:top w:val="nil"/>
              <w:left w:val="single" w:sz="8" w:space="0" w:color="FFFFFF"/>
              <w:bottom w:val="single" w:sz="8" w:space="0" w:color="FFFFFF"/>
              <w:right w:val="single" w:sz="8" w:space="0" w:color="FFFFFF"/>
            </w:tcBorders>
            <w:shd w:val="clear" w:color="000000" w:fill="BFE2A8"/>
            <w:noWrap/>
            <w:vAlign w:val="center"/>
            <w:hideMark/>
          </w:tcPr>
          <w:p w14:paraId="6480521B" w14:textId="77777777" w:rsidR="00A90CA8" w:rsidRPr="002946A9" w:rsidRDefault="00A90CA8" w:rsidP="00A90CA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7</w:t>
            </w:r>
          </w:p>
        </w:tc>
        <w:tc>
          <w:tcPr>
            <w:tcW w:w="1483" w:type="dxa"/>
            <w:tcBorders>
              <w:top w:val="nil"/>
              <w:left w:val="nil"/>
              <w:bottom w:val="single" w:sz="8" w:space="0" w:color="FFFFFF"/>
              <w:right w:val="single" w:sz="8" w:space="0" w:color="FFFFFF"/>
            </w:tcBorders>
            <w:shd w:val="clear" w:color="000000" w:fill="D6EAAF"/>
            <w:noWrap/>
            <w:vAlign w:val="center"/>
            <w:hideMark/>
          </w:tcPr>
          <w:p w14:paraId="29DAB545" w14:textId="77777777" w:rsidR="00A90CA8" w:rsidRPr="002946A9" w:rsidRDefault="00A90CA8" w:rsidP="00A90CA8">
            <w:pPr>
              <w:spacing w:after="0" w:line="240" w:lineRule="auto"/>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Líneas aéreas</w:t>
            </w:r>
          </w:p>
        </w:tc>
        <w:tc>
          <w:tcPr>
            <w:tcW w:w="1418" w:type="dxa"/>
            <w:tcBorders>
              <w:top w:val="nil"/>
              <w:left w:val="nil"/>
              <w:bottom w:val="single" w:sz="8" w:space="0" w:color="FFFFFF"/>
              <w:right w:val="single" w:sz="8" w:space="0" w:color="FFFFFF"/>
            </w:tcBorders>
            <w:shd w:val="clear" w:color="000000" w:fill="BFBFBF"/>
            <w:noWrap/>
            <w:vAlign w:val="center"/>
            <w:hideMark/>
          </w:tcPr>
          <w:p w14:paraId="4668E9AA" w14:textId="7C72054A" w:rsidR="00A90CA8" w:rsidRPr="00A90CA8" w:rsidRDefault="00A90CA8" w:rsidP="00A90CA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w:t>
            </w:r>
          </w:p>
        </w:tc>
        <w:tc>
          <w:tcPr>
            <w:tcW w:w="1559" w:type="dxa"/>
            <w:tcBorders>
              <w:top w:val="nil"/>
              <w:left w:val="nil"/>
              <w:bottom w:val="single" w:sz="8" w:space="0" w:color="FFFFFF"/>
              <w:right w:val="single" w:sz="8" w:space="0" w:color="FFFFFF"/>
            </w:tcBorders>
            <w:shd w:val="clear" w:color="000000" w:fill="D6EAAF"/>
            <w:noWrap/>
            <w:vAlign w:val="center"/>
          </w:tcPr>
          <w:p w14:paraId="41D8F12E" w14:textId="24FE3F54"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89,748,392,751</w:t>
            </w:r>
          </w:p>
        </w:tc>
        <w:tc>
          <w:tcPr>
            <w:tcW w:w="1417" w:type="dxa"/>
            <w:tcBorders>
              <w:top w:val="nil"/>
              <w:left w:val="nil"/>
              <w:bottom w:val="single" w:sz="8" w:space="0" w:color="FFFFFF"/>
              <w:right w:val="single" w:sz="8" w:space="0" w:color="FFFFFF"/>
            </w:tcBorders>
            <w:shd w:val="clear" w:color="000000" w:fill="D6EAAF"/>
            <w:noWrap/>
            <w:vAlign w:val="center"/>
          </w:tcPr>
          <w:p w14:paraId="3AA9440F" w14:textId="79854DF6"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25,708,330,253</w:t>
            </w:r>
          </w:p>
        </w:tc>
        <w:tc>
          <w:tcPr>
            <w:tcW w:w="1418" w:type="dxa"/>
            <w:tcBorders>
              <w:top w:val="nil"/>
              <w:left w:val="nil"/>
              <w:bottom w:val="single" w:sz="8" w:space="0" w:color="FFFFFF"/>
              <w:right w:val="single" w:sz="8" w:space="0" w:color="FFFFFF"/>
            </w:tcBorders>
            <w:shd w:val="clear" w:color="000000" w:fill="D6EAAF"/>
            <w:noWrap/>
            <w:vAlign w:val="center"/>
          </w:tcPr>
          <w:p w14:paraId="0AA4BED5" w14:textId="2A56C7CA"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17,113,694,867</w:t>
            </w:r>
          </w:p>
        </w:tc>
        <w:tc>
          <w:tcPr>
            <w:tcW w:w="1559" w:type="dxa"/>
            <w:tcBorders>
              <w:top w:val="nil"/>
              <w:left w:val="nil"/>
              <w:bottom w:val="single" w:sz="8" w:space="0" w:color="FFFFFF"/>
              <w:right w:val="single" w:sz="8" w:space="0" w:color="FFFFFF"/>
            </w:tcBorders>
            <w:shd w:val="clear" w:color="000000" w:fill="D6EAAF"/>
            <w:noWrap/>
            <w:vAlign w:val="center"/>
          </w:tcPr>
          <w:p w14:paraId="6D399A83" w14:textId="25F71A72"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r w:rsidRPr="00162AF5">
              <w:rPr>
                <w:rFonts w:ascii="Trebuchet MS" w:hAnsi="Trebuchet MS"/>
                <w:b/>
                <w:bCs/>
                <w:sz w:val="16"/>
                <w:szCs w:val="16"/>
              </w:rPr>
              <w:t>132,570,417,871</w:t>
            </w:r>
          </w:p>
        </w:tc>
      </w:tr>
      <w:tr w:rsidR="00A90CA8" w:rsidRPr="00162AF5" w14:paraId="6AFE321C" w14:textId="77777777" w:rsidTr="00EF3F98">
        <w:trPr>
          <w:trHeight w:val="300"/>
        </w:trPr>
        <w:tc>
          <w:tcPr>
            <w:tcW w:w="350" w:type="dxa"/>
            <w:tcBorders>
              <w:top w:val="nil"/>
              <w:left w:val="single" w:sz="8" w:space="0" w:color="FFFFFF"/>
              <w:bottom w:val="single" w:sz="8" w:space="0" w:color="FFFFFF"/>
              <w:right w:val="single" w:sz="8" w:space="0" w:color="FFFFFF"/>
            </w:tcBorders>
            <w:shd w:val="clear" w:color="000000" w:fill="BFE2A8"/>
            <w:noWrap/>
            <w:vAlign w:val="center"/>
            <w:hideMark/>
          </w:tcPr>
          <w:p w14:paraId="7B3C96E9" w14:textId="77777777" w:rsidR="00A90CA8" w:rsidRPr="002946A9" w:rsidRDefault="00A90CA8" w:rsidP="00A90CA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8</w:t>
            </w:r>
          </w:p>
        </w:tc>
        <w:tc>
          <w:tcPr>
            <w:tcW w:w="1483" w:type="dxa"/>
            <w:tcBorders>
              <w:top w:val="nil"/>
              <w:left w:val="nil"/>
              <w:bottom w:val="single" w:sz="8" w:space="0" w:color="FFFFFF"/>
              <w:right w:val="single" w:sz="8" w:space="0" w:color="FFFFFF"/>
            </w:tcBorders>
            <w:shd w:val="clear" w:color="000000" w:fill="EAF4D7"/>
            <w:noWrap/>
            <w:vAlign w:val="center"/>
            <w:hideMark/>
          </w:tcPr>
          <w:p w14:paraId="5E764FE5" w14:textId="77777777" w:rsidR="00A90CA8" w:rsidRPr="002946A9" w:rsidRDefault="00A90CA8" w:rsidP="00A90CA8">
            <w:pPr>
              <w:spacing w:after="0" w:line="240" w:lineRule="auto"/>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Líneas subterráneas</w:t>
            </w:r>
          </w:p>
        </w:tc>
        <w:tc>
          <w:tcPr>
            <w:tcW w:w="1418" w:type="dxa"/>
            <w:tcBorders>
              <w:top w:val="nil"/>
              <w:left w:val="nil"/>
              <w:bottom w:val="single" w:sz="8" w:space="0" w:color="FFFFFF"/>
              <w:right w:val="single" w:sz="8" w:space="0" w:color="FFFFFF"/>
            </w:tcBorders>
            <w:shd w:val="clear" w:color="000000" w:fill="BFBFBF"/>
            <w:noWrap/>
            <w:vAlign w:val="center"/>
            <w:hideMark/>
          </w:tcPr>
          <w:p w14:paraId="7BE3E9B7" w14:textId="059DDAB8" w:rsidR="00A90CA8" w:rsidRPr="00A90CA8" w:rsidRDefault="00A90CA8" w:rsidP="00A90CA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w:t>
            </w:r>
          </w:p>
        </w:tc>
        <w:tc>
          <w:tcPr>
            <w:tcW w:w="1559" w:type="dxa"/>
            <w:tcBorders>
              <w:top w:val="nil"/>
              <w:left w:val="nil"/>
              <w:bottom w:val="single" w:sz="8" w:space="0" w:color="FFFFFF"/>
              <w:right w:val="single" w:sz="8" w:space="0" w:color="FFFFFF"/>
            </w:tcBorders>
            <w:shd w:val="clear" w:color="000000" w:fill="EAF4D7"/>
            <w:noWrap/>
            <w:vAlign w:val="center"/>
          </w:tcPr>
          <w:p w14:paraId="718A1667" w14:textId="096E7115"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9,249,284,571</w:t>
            </w:r>
          </w:p>
        </w:tc>
        <w:tc>
          <w:tcPr>
            <w:tcW w:w="1417" w:type="dxa"/>
            <w:tcBorders>
              <w:top w:val="nil"/>
              <w:left w:val="nil"/>
              <w:bottom w:val="single" w:sz="8" w:space="0" w:color="FFFFFF"/>
              <w:right w:val="single" w:sz="8" w:space="0" w:color="FFFFFF"/>
            </w:tcBorders>
            <w:shd w:val="clear" w:color="000000" w:fill="EAF4D7"/>
            <w:noWrap/>
            <w:vAlign w:val="center"/>
          </w:tcPr>
          <w:p w14:paraId="598A503F" w14:textId="07CDE6C6"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229,345,435</w:t>
            </w:r>
          </w:p>
        </w:tc>
        <w:tc>
          <w:tcPr>
            <w:tcW w:w="1418" w:type="dxa"/>
            <w:tcBorders>
              <w:top w:val="nil"/>
              <w:left w:val="nil"/>
              <w:bottom w:val="single" w:sz="8" w:space="0" w:color="FFFFFF"/>
              <w:right w:val="single" w:sz="8" w:space="0" w:color="FFFFFF"/>
            </w:tcBorders>
            <w:shd w:val="clear" w:color="000000" w:fill="EAF4D7"/>
            <w:noWrap/>
            <w:vAlign w:val="center"/>
          </w:tcPr>
          <w:p w14:paraId="2A357135" w14:textId="7F189736"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192,859,520</w:t>
            </w:r>
          </w:p>
        </w:tc>
        <w:tc>
          <w:tcPr>
            <w:tcW w:w="1559" w:type="dxa"/>
            <w:tcBorders>
              <w:top w:val="nil"/>
              <w:left w:val="nil"/>
              <w:bottom w:val="single" w:sz="8" w:space="0" w:color="FFFFFF"/>
              <w:right w:val="single" w:sz="8" w:space="0" w:color="FFFFFF"/>
            </w:tcBorders>
            <w:shd w:val="clear" w:color="000000" w:fill="EAF4D7"/>
            <w:noWrap/>
            <w:vAlign w:val="center"/>
          </w:tcPr>
          <w:p w14:paraId="5F44BC71" w14:textId="2D6E068F"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r w:rsidRPr="00162AF5">
              <w:rPr>
                <w:rFonts w:ascii="Trebuchet MS" w:hAnsi="Trebuchet MS"/>
                <w:b/>
                <w:bCs/>
                <w:sz w:val="16"/>
                <w:szCs w:val="16"/>
              </w:rPr>
              <w:t>9,671,489,526</w:t>
            </w:r>
          </w:p>
        </w:tc>
      </w:tr>
      <w:tr w:rsidR="00A90CA8" w:rsidRPr="00162AF5" w14:paraId="23820BB5" w14:textId="77777777" w:rsidTr="00EF3F98">
        <w:trPr>
          <w:trHeight w:val="300"/>
        </w:trPr>
        <w:tc>
          <w:tcPr>
            <w:tcW w:w="350" w:type="dxa"/>
            <w:tcBorders>
              <w:top w:val="nil"/>
              <w:left w:val="single" w:sz="8" w:space="0" w:color="FFFFFF"/>
              <w:bottom w:val="single" w:sz="8" w:space="0" w:color="FFFFFF"/>
              <w:right w:val="single" w:sz="8" w:space="0" w:color="FFFFFF"/>
            </w:tcBorders>
            <w:shd w:val="clear" w:color="000000" w:fill="BFE2A8"/>
            <w:noWrap/>
            <w:vAlign w:val="center"/>
            <w:hideMark/>
          </w:tcPr>
          <w:p w14:paraId="34D54E10" w14:textId="77777777" w:rsidR="00A90CA8" w:rsidRPr="002946A9" w:rsidRDefault="00A90CA8" w:rsidP="00A90CA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9</w:t>
            </w:r>
          </w:p>
        </w:tc>
        <w:tc>
          <w:tcPr>
            <w:tcW w:w="1483" w:type="dxa"/>
            <w:tcBorders>
              <w:top w:val="nil"/>
              <w:left w:val="nil"/>
              <w:bottom w:val="single" w:sz="8" w:space="0" w:color="FFFFFF"/>
              <w:right w:val="single" w:sz="8" w:space="0" w:color="FFFFFF"/>
            </w:tcBorders>
            <w:shd w:val="clear" w:color="000000" w:fill="D6EAAF"/>
            <w:noWrap/>
            <w:vAlign w:val="center"/>
            <w:hideMark/>
          </w:tcPr>
          <w:p w14:paraId="7620993F" w14:textId="77777777" w:rsidR="00A90CA8" w:rsidRPr="002946A9" w:rsidRDefault="00A90CA8" w:rsidP="00A90CA8">
            <w:pPr>
              <w:spacing w:after="0" w:line="240" w:lineRule="auto"/>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Equipos de línea</w:t>
            </w:r>
          </w:p>
        </w:tc>
        <w:tc>
          <w:tcPr>
            <w:tcW w:w="1418" w:type="dxa"/>
            <w:tcBorders>
              <w:top w:val="nil"/>
              <w:left w:val="nil"/>
              <w:bottom w:val="single" w:sz="8" w:space="0" w:color="FFFFFF"/>
              <w:right w:val="single" w:sz="8" w:space="0" w:color="FFFFFF"/>
            </w:tcBorders>
            <w:shd w:val="clear" w:color="000000" w:fill="BFBFBF"/>
            <w:noWrap/>
            <w:vAlign w:val="center"/>
            <w:hideMark/>
          </w:tcPr>
          <w:p w14:paraId="5BA3F321" w14:textId="6CA91BAC" w:rsidR="00A90CA8" w:rsidRPr="00A90CA8" w:rsidRDefault="00A90CA8" w:rsidP="00A90CA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w:t>
            </w:r>
          </w:p>
        </w:tc>
        <w:tc>
          <w:tcPr>
            <w:tcW w:w="1559" w:type="dxa"/>
            <w:tcBorders>
              <w:top w:val="nil"/>
              <w:left w:val="nil"/>
              <w:bottom w:val="single" w:sz="8" w:space="0" w:color="FFFFFF"/>
              <w:right w:val="single" w:sz="8" w:space="0" w:color="FFFFFF"/>
            </w:tcBorders>
            <w:shd w:val="clear" w:color="000000" w:fill="D6EAAF"/>
            <w:noWrap/>
            <w:vAlign w:val="center"/>
          </w:tcPr>
          <w:p w14:paraId="3BB332E6" w14:textId="085652B0"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11,096,632,000</w:t>
            </w:r>
          </w:p>
        </w:tc>
        <w:tc>
          <w:tcPr>
            <w:tcW w:w="1417" w:type="dxa"/>
            <w:tcBorders>
              <w:top w:val="nil"/>
              <w:left w:val="nil"/>
              <w:bottom w:val="single" w:sz="8" w:space="0" w:color="FFFFFF"/>
              <w:right w:val="single" w:sz="8" w:space="0" w:color="FFFFFF"/>
            </w:tcBorders>
            <w:shd w:val="clear" w:color="000000" w:fill="D6EAAF"/>
            <w:noWrap/>
            <w:vAlign w:val="center"/>
          </w:tcPr>
          <w:p w14:paraId="64B46956" w14:textId="3A6B11EE"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1,556,985,000</w:t>
            </w:r>
          </w:p>
        </w:tc>
        <w:tc>
          <w:tcPr>
            <w:tcW w:w="1418" w:type="dxa"/>
            <w:tcBorders>
              <w:top w:val="nil"/>
              <w:left w:val="nil"/>
              <w:bottom w:val="single" w:sz="8" w:space="0" w:color="FFFFFF"/>
              <w:right w:val="single" w:sz="8" w:space="0" w:color="FFFFFF"/>
            </w:tcBorders>
            <w:shd w:val="clear" w:color="000000" w:fill="D6EAAF"/>
            <w:noWrap/>
            <w:vAlign w:val="center"/>
          </w:tcPr>
          <w:p w14:paraId="7839E287" w14:textId="45E2802F"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0</w:t>
            </w:r>
          </w:p>
        </w:tc>
        <w:tc>
          <w:tcPr>
            <w:tcW w:w="1559" w:type="dxa"/>
            <w:tcBorders>
              <w:top w:val="nil"/>
              <w:left w:val="nil"/>
              <w:bottom w:val="single" w:sz="8" w:space="0" w:color="FFFFFF"/>
              <w:right w:val="single" w:sz="8" w:space="0" w:color="FFFFFF"/>
            </w:tcBorders>
            <w:shd w:val="clear" w:color="000000" w:fill="D6EAAF"/>
            <w:noWrap/>
            <w:vAlign w:val="center"/>
          </w:tcPr>
          <w:p w14:paraId="5FB45086" w14:textId="79F1D533"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r w:rsidRPr="00162AF5">
              <w:rPr>
                <w:rFonts w:ascii="Trebuchet MS" w:hAnsi="Trebuchet MS"/>
                <w:b/>
                <w:bCs/>
                <w:sz w:val="16"/>
                <w:szCs w:val="16"/>
              </w:rPr>
              <w:t>12,653,617,000</w:t>
            </w:r>
          </w:p>
        </w:tc>
      </w:tr>
      <w:tr w:rsidR="00A90CA8" w:rsidRPr="00162AF5" w14:paraId="48A70A7D" w14:textId="77777777" w:rsidTr="00EF3F98">
        <w:trPr>
          <w:trHeight w:val="300"/>
        </w:trPr>
        <w:tc>
          <w:tcPr>
            <w:tcW w:w="350" w:type="dxa"/>
            <w:tcBorders>
              <w:top w:val="nil"/>
              <w:left w:val="single" w:sz="8" w:space="0" w:color="FFFFFF"/>
              <w:bottom w:val="single" w:sz="8" w:space="0" w:color="FFFFFF"/>
              <w:right w:val="single" w:sz="8" w:space="0" w:color="FFFFFF"/>
            </w:tcBorders>
            <w:shd w:val="clear" w:color="000000" w:fill="BFE2A8"/>
            <w:noWrap/>
            <w:vAlign w:val="center"/>
            <w:hideMark/>
          </w:tcPr>
          <w:p w14:paraId="4F07EF3A" w14:textId="77777777" w:rsidR="00A90CA8" w:rsidRPr="002946A9" w:rsidRDefault="00A90CA8" w:rsidP="00A90CA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10</w:t>
            </w:r>
          </w:p>
        </w:tc>
        <w:tc>
          <w:tcPr>
            <w:tcW w:w="1483" w:type="dxa"/>
            <w:tcBorders>
              <w:top w:val="nil"/>
              <w:left w:val="nil"/>
              <w:bottom w:val="single" w:sz="8" w:space="0" w:color="FFFFFF"/>
              <w:right w:val="single" w:sz="8" w:space="0" w:color="FFFFFF"/>
            </w:tcBorders>
            <w:shd w:val="clear" w:color="000000" w:fill="EAF4D7"/>
            <w:noWrap/>
            <w:vAlign w:val="center"/>
            <w:hideMark/>
          </w:tcPr>
          <w:p w14:paraId="7E71610E" w14:textId="77777777" w:rsidR="00A90CA8" w:rsidRPr="002946A9" w:rsidRDefault="00A90CA8" w:rsidP="00A90CA8">
            <w:pPr>
              <w:spacing w:after="0" w:line="240" w:lineRule="auto"/>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Centro de control</w:t>
            </w:r>
          </w:p>
        </w:tc>
        <w:tc>
          <w:tcPr>
            <w:tcW w:w="1418" w:type="dxa"/>
            <w:tcBorders>
              <w:top w:val="nil"/>
              <w:left w:val="nil"/>
              <w:bottom w:val="single" w:sz="8" w:space="0" w:color="FFFFFF"/>
              <w:right w:val="single" w:sz="8" w:space="0" w:color="FFFFFF"/>
            </w:tcBorders>
            <w:shd w:val="clear" w:color="000000" w:fill="BFBFBF"/>
            <w:noWrap/>
            <w:vAlign w:val="center"/>
            <w:hideMark/>
          </w:tcPr>
          <w:p w14:paraId="5EA53FE2" w14:textId="32561465" w:rsidR="00A90CA8" w:rsidRPr="00A90CA8" w:rsidRDefault="00A90CA8" w:rsidP="00A90CA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w:t>
            </w:r>
          </w:p>
        </w:tc>
        <w:tc>
          <w:tcPr>
            <w:tcW w:w="1559" w:type="dxa"/>
            <w:tcBorders>
              <w:top w:val="nil"/>
              <w:left w:val="nil"/>
              <w:bottom w:val="single" w:sz="8" w:space="0" w:color="FFFFFF"/>
              <w:right w:val="single" w:sz="8" w:space="0" w:color="FFFFFF"/>
            </w:tcBorders>
            <w:shd w:val="clear" w:color="000000" w:fill="EAF4D7"/>
            <w:noWrap/>
            <w:vAlign w:val="center"/>
          </w:tcPr>
          <w:p w14:paraId="0490AD3A" w14:textId="170DF59C"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3,361,046,765</w:t>
            </w:r>
          </w:p>
        </w:tc>
        <w:tc>
          <w:tcPr>
            <w:tcW w:w="1417" w:type="dxa"/>
            <w:tcBorders>
              <w:top w:val="nil"/>
              <w:left w:val="nil"/>
              <w:bottom w:val="single" w:sz="8" w:space="0" w:color="FFFFFF"/>
              <w:right w:val="single" w:sz="8" w:space="0" w:color="FFFFFF"/>
            </w:tcBorders>
            <w:shd w:val="clear" w:color="000000" w:fill="EAF4D7"/>
            <w:noWrap/>
            <w:vAlign w:val="center"/>
          </w:tcPr>
          <w:p w14:paraId="3D5241AB" w14:textId="08D6181F"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3,361,046,765</w:t>
            </w:r>
          </w:p>
        </w:tc>
        <w:tc>
          <w:tcPr>
            <w:tcW w:w="1418" w:type="dxa"/>
            <w:tcBorders>
              <w:top w:val="nil"/>
              <w:left w:val="nil"/>
              <w:bottom w:val="single" w:sz="8" w:space="0" w:color="FFFFFF"/>
              <w:right w:val="single" w:sz="8" w:space="0" w:color="FFFFFF"/>
            </w:tcBorders>
            <w:shd w:val="clear" w:color="000000" w:fill="EAF4D7"/>
            <w:noWrap/>
            <w:vAlign w:val="center"/>
          </w:tcPr>
          <w:p w14:paraId="17AE0E6C" w14:textId="6C28CAE4"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3,361,046,765</w:t>
            </w:r>
          </w:p>
        </w:tc>
        <w:tc>
          <w:tcPr>
            <w:tcW w:w="1559" w:type="dxa"/>
            <w:tcBorders>
              <w:top w:val="nil"/>
              <w:left w:val="nil"/>
              <w:bottom w:val="single" w:sz="8" w:space="0" w:color="FFFFFF"/>
              <w:right w:val="single" w:sz="8" w:space="0" w:color="FFFFFF"/>
            </w:tcBorders>
            <w:shd w:val="clear" w:color="000000" w:fill="EAF4D7"/>
            <w:noWrap/>
            <w:vAlign w:val="center"/>
          </w:tcPr>
          <w:p w14:paraId="0B6BFBC9" w14:textId="35D3163F"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r w:rsidRPr="00162AF5">
              <w:rPr>
                <w:rFonts w:ascii="Trebuchet MS" w:hAnsi="Trebuchet MS"/>
                <w:b/>
                <w:bCs/>
                <w:sz w:val="16"/>
                <w:szCs w:val="16"/>
              </w:rPr>
              <w:t>10,083,140,295</w:t>
            </w:r>
          </w:p>
        </w:tc>
      </w:tr>
      <w:tr w:rsidR="00A90CA8" w:rsidRPr="00162AF5" w14:paraId="5D5AA4FA" w14:textId="77777777" w:rsidTr="00EF3F98">
        <w:trPr>
          <w:trHeight w:val="300"/>
        </w:trPr>
        <w:tc>
          <w:tcPr>
            <w:tcW w:w="350" w:type="dxa"/>
            <w:tcBorders>
              <w:top w:val="nil"/>
              <w:left w:val="single" w:sz="8" w:space="0" w:color="FFFFFF"/>
              <w:bottom w:val="single" w:sz="8" w:space="0" w:color="FFFFFF"/>
              <w:right w:val="single" w:sz="8" w:space="0" w:color="FFFFFF"/>
            </w:tcBorders>
            <w:shd w:val="clear" w:color="000000" w:fill="BFE2A8"/>
            <w:noWrap/>
            <w:vAlign w:val="center"/>
            <w:hideMark/>
          </w:tcPr>
          <w:p w14:paraId="4B4A274A" w14:textId="77777777" w:rsidR="00A90CA8" w:rsidRPr="002946A9" w:rsidRDefault="00A90CA8" w:rsidP="00A90CA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11</w:t>
            </w:r>
          </w:p>
        </w:tc>
        <w:tc>
          <w:tcPr>
            <w:tcW w:w="1483" w:type="dxa"/>
            <w:tcBorders>
              <w:top w:val="nil"/>
              <w:left w:val="nil"/>
              <w:bottom w:val="single" w:sz="8" w:space="0" w:color="FFFFFF"/>
              <w:right w:val="single" w:sz="8" w:space="0" w:color="FFFFFF"/>
            </w:tcBorders>
            <w:shd w:val="clear" w:color="000000" w:fill="D6EAAF"/>
            <w:noWrap/>
            <w:vAlign w:val="center"/>
            <w:hideMark/>
          </w:tcPr>
          <w:p w14:paraId="76D21F77" w14:textId="77777777" w:rsidR="00A90CA8" w:rsidRPr="002946A9" w:rsidRDefault="00A90CA8" w:rsidP="00A90CA8">
            <w:pPr>
              <w:spacing w:after="0" w:line="240" w:lineRule="auto"/>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 xml:space="preserve">Transformadores de distribución </w:t>
            </w:r>
          </w:p>
        </w:tc>
        <w:tc>
          <w:tcPr>
            <w:tcW w:w="1418" w:type="dxa"/>
            <w:tcBorders>
              <w:top w:val="nil"/>
              <w:left w:val="nil"/>
              <w:bottom w:val="single" w:sz="8" w:space="0" w:color="FFFFFF"/>
              <w:right w:val="single" w:sz="8" w:space="0" w:color="FFFFFF"/>
            </w:tcBorders>
            <w:shd w:val="clear" w:color="000000" w:fill="D6EAAF"/>
            <w:noWrap/>
            <w:vAlign w:val="center"/>
          </w:tcPr>
          <w:p w14:paraId="760E1369" w14:textId="412D07CD"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32,978,778,430</w:t>
            </w:r>
          </w:p>
        </w:tc>
        <w:tc>
          <w:tcPr>
            <w:tcW w:w="1559" w:type="dxa"/>
            <w:tcBorders>
              <w:top w:val="nil"/>
              <w:left w:val="nil"/>
              <w:bottom w:val="single" w:sz="8" w:space="0" w:color="FFFFFF"/>
              <w:right w:val="single" w:sz="8" w:space="0" w:color="FFFFFF"/>
            </w:tcBorders>
            <w:shd w:val="clear" w:color="000000" w:fill="BFBFBF"/>
            <w:noWrap/>
            <w:vAlign w:val="center"/>
          </w:tcPr>
          <w:p w14:paraId="150B94AA" w14:textId="17CF1A9A" w:rsidR="00A90CA8" w:rsidRPr="00A90CA8" w:rsidRDefault="00A90CA8" w:rsidP="00A90CA8">
            <w:pPr>
              <w:spacing w:after="0" w:line="240" w:lineRule="auto"/>
              <w:jc w:val="center"/>
              <w:rPr>
                <w:rFonts w:ascii="Trebuchet MS" w:eastAsia="Times New Roman" w:hAnsi="Trebuchet MS" w:cs="Calibri"/>
                <w:color w:val="000000"/>
                <w:sz w:val="16"/>
                <w:szCs w:val="16"/>
                <w:lang w:eastAsia="es-CO"/>
              </w:rPr>
            </w:pPr>
          </w:p>
        </w:tc>
        <w:tc>
          <w:tcPr>
            <w:tcW w:w="1417" w:type="dxa"/>
            <w:tcBorders>
              <w:top w:val="nil"/>
              <w:left w:val="nil"/>
              <w:bottom w:val="single" w:sz="8" w:space="0" w:color="FFFFFF"/>
              <w:right w:val="single" w:sz="8" w:space="0" w:color="FFFFFF"/>
            </w:tcBorders>
            <w:shd w:val="clear" w:color="000000" w:fill="BFBFBF"/>
            <w:noWrap/>
            <w:vAlign w:val="center"/>
          </w:tcPr>
          <w:p w14:paraId="7852F86C" w14:textId="5769FB00" w:rsidR="00A90CA8" w:rsidRPr="00A90CA8" w:rsidRDefault="00A90CA8">
            <w:pPr>
              <w:spacing w:after="0" w:line="240" w:lineRule="auto"/>
              <w:jc w:val="center"/>
              <w:rPr>
                <w:rFonts w:ascii="Trebuchet MS" w:eastAsia="Times New Roman" w:hAnsi="Trebuchet MS" w:cs="Calibri"/>
                <w:color w:val="000000"/>
                <w:sz w:val="16"/>
                <w:szCs w:val="16"/>
                <w:lang w:eastAsia="es-CO"/>
              </w:rPr>
            </w:pPr>
          </w:p>
        </w:tc>
        <w:tc>
          <w:tcPr>
            <w:tcW w:w="1418" w:type="dxa"/>
            <w:tcBorders>
              <w:top w:val="nil"/>
              <w:left w:val="nil"/>
              <w:bottom w:val="single" w:sz="8" w:space="0" w:color="FFFFFF"/>
              <w:right w:val="single" w:sz="8" w:space="0" w:color="FFFFFF"/>
            </w:tcBorders>
            <w:shd w:val="clear" w:color="000000" w:fill="BFBFBF"/>
            <w:noWrap/>
            <w:vAlign w:val="center"/>
          </w:tcPr>
          <w:p w14:paraId="2211500E" w14:textId="2179C43C" w:rsidR="00A90CA8" w:rsidRPr="00A90CA8" w:rsidRDefault="00A90CA8">
            <w:pPr>
              <w:spacing w:after="0" w:line="240" w:lineRule="auto"/>
              <w:jc w:val="center"/>
              <w:rPr>
                <w:rFonts w:ascii="Trebuchet MS" w:eastAsia="Times New Roman" w:hAnsi="Trebuchet MS" w:cs="Calibri"/>
                <w:color w:val="000000"/>
                <w:sz w:val="16"/>
                <w:szCs w:val="16"/>
                <w:lang w:eastAsia="es-CO"/>
              </w:rPr>
            </w:pPr>
          </w:p>
        </w:tc>
        <w:tc>
          <w:tcPr>
            <w:tcW w:w="1559" w:type="dxa"/>
            <w:tcBorders>
              <w:top w:val="nil"/>
              <w:left w:val="nil"/>
              <w:bottom w:val="single" w:sz="8" w:space="0" w:color="FFFFFF"/>
              <w:right w:val="single" w:sz="8" w:space="0" w:color="FFFFFF"/>
            </w:tcBorders>
            <w:shd w:val="clear" w:color="000000" w:fill="D6EAAF"/>
            <w:noWrap/>
            <w:vAlign w:val="center"/>
          </w:tcPr>
          <w:p w14:paraId="0D38F6A4" w14:textId="132FEDFB"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r w:rsidRPr="00162AF5">
              <w:rPr>
                <w:rFonts w:ascii="Trebuchet MS" w:hAnsi="Trebuchet MS"/>
                <w:b/>
                <w:bCs/>
                <w:sz w:val="16"/>
                <w:szCs w:val="16"/>
              </w:rPr>
              <w:t>32,978,778,430</w:t>
            </w:r>
          </w:p>
        </w:tc>
      </w:tr>
      <w:tr w:rsidR="00A90CA8" w:rsidRPr="00162AF5" w14:paraId="1AD17C6F" w14:textId="77777777" w:rsidTr="00EF3F98">
        <w:trPr>
          <w:trHeight w:val="300"/>
        </w:trPr>
        <w:tc>
          <w:tcPr>
            <w:tcW w:w="350" w:type="dxa"/>
            <w:tcBorders>
              <w:top w:val="nil"/>
              <w:left w:val="single" w:sz="8" w:space="0" w:color="FFFFFF"/>
              <w:bottom w:val="single" w:sz="8" w:space="0" w:color="FFFFFF"/>
              <w:right w:val="single" w:sz="8" w:space="0" w:color="FFFFFF"/>
            </w:tcBorders>
            <w:shd w:val="clear" w:color="000000" w:fill="BFE2A8"/>
            <w:noWrap/>
            <w:vAlign w:val="center"/>
            <w:hideMark/>
          </w:tcPr>
          <w:p w14:paraId="7977FBE2" w14:textId="77777777" w:rsidR="00A90CA8" w:rsidRPr="002946A9" w:rsidRDefault="00A90CA8" w:rsidP="00A90CA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12</w:t>
            </w:r>
          </w:p>
        </w:tc>
        <w:tc>
          <w:tcPr>
            <w:tcW w:w="1483" w:type="dxa"/>
            <w:tcBorders>
              <w:top w:val="nil"/>
              <w:left w:val="nil"/>
              <w:bottom w:val="single" w:sz="8" w:space="0" w:color="FFFFFF"/>
              <w:right w:val="single" w:sz="8" w:space="0" w:color="FFFFFF"/>
            </w:tcBorders>
            <w:shd w:val="clear" w:color="000000" w:fill="EAF4D7"/>
            <w:noWrap/>
            <w:vAlign w:val="center"/>
            <w:hideMark/>
          </w:tcPr>
          <w:p w14:paraId="0B0710FB" w14:textId="77777777" w:rsidR="00A90CA8" w:rsidRPr="002946A9" w:rsidRDefault="00A90CA8" w:rsidP="00A90CA8">
            <w:pPr>
              <w:spacing w:after="0" w:line="240" w:lineRule="auto"/>
              <w:rPr>
                <w:rFonts w:ascii="Trebuchet MS" w:eastAsia="Times New Roman" w:hAnsi="Trebuchet MS" w:cs="Calibri"/>
                <w:color w:val="000000"/>
                <w:sz w:val="16"/>
                <w:szCs w:val="16"/>
                <w:lang w:eastAsia="es-CO"/>
              </w:rPr>
            </w:pPr>
            <w:r w:rsidRPr="002946A9">
              <w:rPr>
                <w:rFonts w:ascii="Trebuchet MS" w:eastAsia="Times New Roman" w:hAnsi="Trebuchet MS" w:cs="Calibri"/>
                <w:color w:val="000000"/>
                <w:sz w:val="16"/>
                <w:szCs w:val="16"/>
                <w:lang w:eastAsia="es-CO"/>
              </w:rPr>
              <w:t>Redes de distribución</w:t>
            </w:r>
          </w:p>
        </w:tc>
        <w:tc>
          <w:tcPr>
            <w:tcW w:w="1418" w:type="dxa"/>
            <w:tcBorders>
              <w:top w:val="nil"/>
              <w:left w:val="nil"/>
              <w:bottom w:val="single" w:sz="8" w:space="0" w:color="FFFFFF"/>
              <w:right w:val="single" w:sz="8" w:space="0" w:color="FFFFFF"/>
            </w:tcBorders>
            <w:shd w:val="clear" w:color="000000" w:fill="EAF4D7"/>
            <w:noWrap/>
            <w:vAlign w:val="center"/>
          </w:tcPr>
          <w:p w14:paraId="292314AC" w14:textId="3C992B07" w:rsidR="00A90CA8" w:rsidRPr="00A90CA8" w:rsidRDefault="00A90CA8" w:rsidP="00EF3F9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34,791,232,003</w:t>
            </w:r>
          </w:p>
        </w:tc>
        <w:tc>
          <w:tcPr>
            <w:tcW w:w="1559" w:type="dxa"/>
            <w:tcBorders>
              <w:top w:val="nil"/>
              <w:left w:val="nil"/>
              <w:bottom w:val="single" w:sz="8" w:space="0" w:color="FFFFFF"/>
              <w:right w:val="single" w:sz="8" w:space="0" w:color="FFFFFF"/>
            </w:tcBorders>
            <w:shd w:val="clear" w:color="000000" w:fill="BFBFBF"/>
            <w:noWrap/>
            <w:vAlign w:val="center"/>
          </w:tcPr>
          <w:p w14:paraId="41DCD9C2" w14:textId="2E36296B" w:rsidR="00A90CA8" w:rsidRPr="00A90CA8" w:rsidRDefault="00A90CA8" w:rsidP="00A90CA8">
            <w:pPr>
              <w:spacing w:after="0" w:line="240" w:lineRule="auto"/>
              <w:jc w:val="center"/>
              <w:rPr>
                <w:rFonts w:ascii="Trebuchet MS" w:eastAsia="Times New Roman" w:hAnsi="Trebuchet MS" w:cs="Calibri"/>
                <w:color w:val="000000"/>
                <w:sz w:val="16"/>
                <w:szCs w:val="16"/>
                <w:lang w:eastAsia="es-CO"/>
              </w:rPr>
            </w:pPr>
          </w:p>
        </w:tc>
        <w:tc>
          <w:tcPr>
            <w:tcW w:w="1417" w:type="dxa"/>
            <w:tcBorders>
              <w:top w:val="nil"/>
              <w:left w:val="nil"/>
              <w:bottom w:val="single" w:sz="8" w:space="0" w:color="FFFFFF"/>
              <w:right w:val="single" w:sz="8" w:space="0" w:color="FFFFFF"/>
            </w:tcBorders>
            <w:shd w:val="clear" w:color="000000" w:fill="BFBFBF"/>
            <w:noWrap/>
            <w:vAlign w:val="center"/>
          </w:tcPr>
          <w:p w14:paraId="509AC80F" w14:textId="76FBA000" w:rsidR="00A90CA8" w:rsidRPr="00A90CA8" w:rsidRDefault="00A90CA8">
            <w:pPr>
              <w:spacing w:after="0" w:line="240" w:lineRule="auto"/>
              <w:jc w:val="center"/>
              <w:rPr>
                <w:rFonts w:ascii="Trebuchet MS" w:eastAsia="Times New Roman" w:hAnsi="Trebuchet MS" w:cs="Calibri"/>
                <w:color w:val="000000"/>
                <w:sz w:val="16"/>
                <w:szCs w:val="16"/>
                <w:lang w:eastAsia="es-CO"/>
              </w:rPr>
            </w:pPr>
          </w:p>
        </w:tc>
        <w:tc>
          <w:tcPr>
            <w:tcW w:w="1418" w:type="dxa"/>
            <w:tcBorders>
              <w:top w:val="nil"/>
              <w:left w:val="nil"/>
              <w:bottom w:val="single" w:sz="8" w:space="0" w:color="FFFFFF"/>
              <w:right w:val="single" w:sz="8" w:space="0" w:color="FFFFFF"/>
            </w:tcBorders>
            <w:shd w:val="clear" w:color="000000" w:fill="BFBFBF"/>
            <w:noWrap/>
            <w:vAlign w:val="center"/>
          </w:tcPr>
          <w:p w14:paraId="5CF9C675" w14:textId="3E7E8491" w:rsidR="00A90CA8" w:rsidRPr="00A90CA8" w:rsidRDefault="00A90CA8">
            <w:pPr>
              <w:spacing w:after="0" w:line="240" w:lineRule="auto"/>
              <w:jc w:val="center"/>
              <w:rPr>
                <w:rFonts w:ascii="Trebuchet MS" w:eastAsia="Times New Roman" w:hAnsi="Trebuchet MS" w:cs="Calibri"/>
                <w:color w:val="000000"/>
                <w:sz w:val="16"/>
                <w:szCs w:val="16"/>
                <w:lang w:eastAsia="es-CO"/>
              </w:rPr>
            </w:pPr>
            <w:r w:rsidRPr="00EF3F98">
              <w:rPr>
                <w:rFonts w:ascii="Trebuchet MS" w:hAnsi="Trebuchet MS"/>
                <w:sz w:val="16"/>
                <w:szCs w:val="16"/>
              </w:rPr>
              <w:t>-</w:t>
            </w:r>
          </w:p>
        </w:tc>
        <w:tc>
          <w:tcPr>
            <w:tcW w:w="1559" w:type="dxa"/>
            <w:tcBorders>
              <w:top w:val="nil"/>
              <w:left w:val="nil"/>
              <w:bottom w:val="single" w:sz="8" w:space="0" w:color="FFFFFF"/>
              <w:right w:val="single" w:sz="8" w:space="0" w:color="FFFFFF"/>
            </w:tcBorders>
            <w:shd w:val="clear" w:color="000000" w:fill="EAF4D7"/>
            <w:noWrap/>
            <w:vAlign w:val="center"/>
          </w:tcPr>
          <w:p w14:paraId="753F5CA1" w14:textId="0B279C03"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r w:rsidRPr="00162AF5">
              <w:rPr>
                <w:rFonts w:ascii="Trebuchet MS" w:hAnsi="Trebuchet MS"/>
                <w:b/>
                <w:bCs/>
                <w:sz w:val="16"/>
                <w:szCs w:val="16"/>
              </w:rPr>
              <w:t>34,791,232,003</w:t>
            </w:r>
          </w:p>
        </w:tc>
      </w:tr>
      <w:tr w:rsidR="00A90CA8" w:rsidRPr="00162AF5" w14:paraId="4C2CF1A9" w14:textId="77777777" w:rsidTr="00EF3F98">
        <w:trPr>
          <w:trHeight w:val="300"/>
        </w:trPr>
        <w:tc>
          <w:tcPr>
            <w:tcW w:w="1833" w:type="dxa"/>
            <w:gridSpan w:val="2"/>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719F702F" w14:textId="77777777" w:rsidR="00A90CA8" w:rsidRPr="002946A9" w:rsidRDefault="00A90CA8" w:rsidP="00A90CA8">
            <w:pPr>
              <w:spacing w:after="0" w:line="240" w:lineRule="auto"/>
              <w:jc w:val="center"/>
              <w:rPr>
                <w:rFonts w:ascii="Trebuchet MS" w:eastAsia="Times New Roman" w:hAnsi="Trebuchet MS" w:cs="Calibri"/>
                <w:b/>
                <w:bCs/>
                <w:color w:val="000000"/>
                <w:sz w:val="16"/>
                <w:szCs w:val="16"/>
                <w:lang w:eastAsia="es-CO"/>
              </w:rPr>
            </w:pPr>
            <w:r w:rsidRPr="002946A9">
              <w:rPr>
                <w:rFonts w:ascii="Trebuchet MS" w:eastAsia="Times New Roman" w:hAnsi="Trebuchet MS" w:cs="Calibri"/>
                <w:b/>
                <w:bCs/>
                <w:color w:val="000000"/>
                <w:sz w:val="16"/>
                <w:szCs w:val="16"/>
                <w:lang w:eastAsia="es-CO"/>
              </w:rPr>
              <w:t>TOTAL</w:t>
            </w:r>
          </w:p>
        </w:tc>
        <w:tc>
          <w:tcPr>
            <w:tcW w:w="1418" w:type="dxa"/>
            <w:tcBorders>
              <w:top w:val="nil"/>
              <w:left w:val="nil"/>
              <w:bottom w:val="single" w:sz="8" w:space="0" w:color="FFFFFF"/>
              <w:right w:val="single" w:sz="8" w:space="0" w:color="FFFFFF"/>
            </w:tcBorders>
            <w:shd w:val="clear" w:color="000000" w:fill="BFE2A8"/>
            <w:noWrap/>
            <w:vAlign w:val="center"/>
          </w:tcPr>
          <w:p w14:paraId="0C9FAE51" w14:textId="49D794F0"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r w:rsidRPr="00162AF5">
              <w:rPr>
                <w:rFonts w:ascii="Trebuchet MS" w:hAnsi="Trebuchet MS"/>
                <w:b/>
                <w:bCs/>
                <w:sz w:val="16"/>
                <w:szCs w:val="16"/>
              </w:rPr>
              <w:t>67,770,010,433</w:t>
            </w:r>
          </w:p>
        </w:tc>
        <w:tc>
          <w:tcPr>
            <w:tcW w:w="1559" w:type="dxa"/>
            <w:tcBorders>
              <w:top w:val="nil"/>
              <w:left w:val="nil"/>
              <w:bottom w:val="single" w:sz="8" w:space="0" w:color="FFFFFF"/>
              <w:right w:val="single" w:sz="8" w:space="0" w:color="FFFFFF"/>
            </w:tcBorders>
            <w:shd w:val="clear" w:color="000000" w:fill="BFE2A8"/>
            <w:noWrap/>
            <w:vAlign w:val="center"/>
          </w:tcPr>
          <w:p w14:paraId="64EF1AFC" w14:textId="48E9C421"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r w:rsidRPr="00162AF5">
              <w:rPr>
                <w:rFonts w:ascii="Trebuchet MS" w:hAnsi="Trebuchet MS"/>
                <w:b/>
                <w:bCs/>
                <w:sz w:val="16"/>
                <w:szCs w:val="16"/>
              </w:rPr>
              <w:t>142,609,529,082</w:t>
            </w:r>
          </w:p>
        </w:tc>
        <w:tc>
          <w:tcPr>
            <w:tcW w:w="1417" w:type="dxa"/>
            <w:tcBorders>
              <w:top w:val="nil"/>
              <w:left w:val="nil"/>
              <w:bottom w:val="single" w:sz="8" w:space="0" w:color="FFFFFF"/>
              <w:right w:val="single" w:sz="8" w:space="0" w:color="FFFFFF"/>
            </w:tcBorders>
            <w:shd w:val="clear" w:color="000000" w:fill="BFE2A8"/>
            <w:noWrap/>
            <w:vAlign w:val="center"/>
          </w:tcPr>
          <w:p w14:paraId="43EB3347" w14:textId="266BB509"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r w:rsidRPr="00162AF5">
              <w:rPr>
                <w:rFonts w:ascii="Trebuchet MS" w:hAnsi="Trebuchet MS"/>
                <w:b/>
                <w:bCs/>
                <w:sz w:val="16"/>
                <w:szCs w:val="16"/>
              </w:rPr>
              <w:t>46,824,111,680</w:t>
            </w:r>
          </w:p>
        </w:tc>
        <w:tc>
          <w:tcPr>
            <w:tcW w:w="1418" w:type="dxa"/>
            <w:tcBorders>
              <w:top w:val="nil"/>
              <w:left w:val="nil"/>
              <w:bottom w:val="single" w:sz="8" w:space="0" w:color="FFFFFF"/>
              <w:right w:val="single" w:sz="8" w:space="0" w:color="FFFFFF"/>
            </w:tcBorders>
            <w:shd w:val="clear" w:color="000000" w:fill="BFE2A8"/>
            <w:noWrap/>
            <w:vAlign w:val="center"/>
          </w:tcPr>
          <w:p w14:paraId="311AFCB1" w14:textId="3FF0220A"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r w:rsidRPr="00162AF5">
              <w:rPr>
                <w:rFonts w:ascii="Trebuchet MS" w:hAnsi="Trebuchet MS"/>
                <w:b/>
                <w:bCs/>
                <w:sz w:val="16"/>
                <w:szCs w:val="16"/>
              </w:rPr>
              <w:t>42,710,957,971</w:t>
            </w:r>
          </w:p>
        </w:tc>
        <w:tc>
          <w:tcPr>
            <w:tcW w:w="1559" w:type="dxa"/>
            <w:tcBorders>
              <w:top w:val="nil"/>
              <w:left w:val="nil"/>
              <w:bottom w:val="single" w:sz="8" w:space="0" w:color="FFFFFF"/>
              <w:right w:val="single" w:sz="8" w:space="0" w:color="FFFFFF"/>
            </w:tcBorders>
            <w:shd w:val="clear" w:color="000000" w:fill="BFE2A8"/>
            <w:noWrap/>
            <w:vAlign w:val="center"/>
          </w:tcPr>
          <w:p w14:paraId="376E29E5" w14:textId="77777777" w:rsidR="00A90CA8" w:rsidRPr="00162AF5" w:rsidRDefault="00A90CA8" w:rsidP="00EF3F98">
            <w:pPr>
              <w:spacing w:after="0" w:line="240" w:lineRule="auto"/>
              <w:jc w:val="center"/>
              <w:rPr>
                <w:rFonts w:ascii="Trebuchet MS" w:hAnsi="Trebuchet MS"/>
                <w:b/>
                <w:bCs/>
                <w:color w:val="000000"/>
                <w:sz w:val="16"/>
                <w:szCs w:val="16"/>
              </w:rPr>
            </w:pPr>
            <w:r w:rsidRPr="00162AF5">
              <w:rPr>
                <w:rFonts w:ascii="Trebuchet MS" w:hAnsi="Trebuchet MS"/>
                <w:b/>
                <w:bCs/>
                <w:color w:val="000000"/>
                <w:sz w:val="16"/>
                <w:szCs w:val="16"/>
              </w:rPr>
              <w:t xml:space="preserve">      </w:t>
            </w:r>
            <w:r w:rsidRPr="00162AF5">
              <w:rPr>
                <w:rFonts w:ascii="Trebuchet MS" w:hAnsi="Trebuchet MS"/>
                <w:b/>
                <w:bCs/>
                <w:sz w:val="16"/>
                <w:szCs w:val="16"/>
              </w:rPr>
              <w:t>299,914,609,166</w:t>
            </w:r>
            <w:r w:rsidRPr="00162AF5">
              <w:rPr>
                <w:rFonts w:ascii="Trebuchet MS" w:hAnsi="Trebuchet MS"/>
                <w:b/>
                <w:bCs/>
                <w:color w:val="000000"/>
                <w:sz w:val="16"/>
                <w:szCs w:val="16"/>
              </w:rPr>
              <w:t xml:space="preserve"> </w:t>
            </w:r>
          </w:p>
          <w:p w14:paraId="735CDA3B" w14:textId="1BA61599" w:rsidR="00A90CA8" w:rsidRPr="00162AF5" w:rsidRDefault="00A90CA8" w:rsidP="00EF3F98">
            <w:pPr>
              <w:spacing w:after="0" w:line="240" w:lineRule="auto"/>
              <w:jc w:val="center"/>
              <w:rPr>
                <w:rFonts w:ascii="Trebuchet MS" w:eastAsia="Times New Roman" w:hAnsi="Trebuchet MS" w:cs="Calibri"/>
                <w:b/>
                <w:bCs/>
                <w:color w:val="000000"/>
                <w:sz w:val="16"/>
                <w:szCs w:val="16"/>
                <w:lang w:eastAsia="es-CO"/>
              </w:rPr>
            </w:pPr>
          </w:p>
        </w:tc>
      </w:tr>
      <w:tr w:rsidR="0085122F" w:rsidRPr="002946A9" w14:paraId="6CE9F7B6" w14:textId="77777777" w:rsidTr="00E16BBB">
        <w:trPr>
          <w:trHeight w:val="300"/>
        </w:trPr>
        <w:tc>
          <w:tcPr>
            <w:tcW w:w="9204" w:type="dxa"/>
            <w:gridSpan w:val="7"/>
            <w:tcBorders>
              <w:top w:val="single" w:sz="8" w:space="0" w:color="FFFFFF"/>
              <w:left w:val="single" w:sz="8" w:space="0" w:color="FFFFFF"/>
              <w:bottom w:val="single" w:sz="8" w:space="0" w:color="FFFFFF"/>
              <w:right w:val="single" w:sz="8" w:space="0" w:color="FFFFFF"/>
            </w:tcBorders>
            <w:shd w:val="clear" w:color="000000" w:fill="DFF0D3"/>
            <w:noWrap/>
            <w:vAlign w:val="center"/>
            <w:hideMark/>
          </w:tcPr>
          <w:p w14:paraId="733FAD58" w14:textId="77777777" w:rsidR="0085122F" w:rsidRPr="002946A9" w:rsidRDefault="0085122F" w:rsidP="00E16BBB">
            <w:pPr>
              <w:spacing w:after="0" w:line="240" w:lineRule="auto"/>
              <w:jc w:val="both"/>
              <w:rPr>
                <w:rFonts w:ascii="Trebuchet MS" w:eastAsia="Times New Roman" w:hAnsi="Trebuchet MS" w:cs="Calibri"/>
                <w:i/>
                <w:iCs/>
                <w:color w:val="000000"/>
                <w:sz w:val="18"/>
                <w:szCs w:val="18"/>
                <w:lang w:eastAsia="es-CO"/>
              </w:rPr>
            </w:pPr>
            <w:r w:rsidRPr="002946A9">
              <w:rPr>
                <w:rFonts w:ascii="Trebuchet MS" w:eastAsia="Times New Roman" w:hAnsi="Trebuchet MS" w:cs="Calibri"/>
                <w:i/>
                <w:iCs/>
                <w:color w:val="000000"/>
                <w:sz w:val="18"/>
                <w:szCs w:val="18"/>
                <w:lang w:eastAsia="es-CO"/>
              </w:rPr>
              <w:t>*Todos los valores están en pesos a diciembre del 2017.</w:t>
            </w:r>
          </w:p>
        </w:tc>
      </w:tr>
    </w:tbl>
    <w:p w14:paraId="70A91E82" w14:textId="77777777" w:rsidR="0001593A" w:rsidRPr="002946A9" w:rsidRDefault="0001593A" w:rsidP="00E44705">
      <w:pPr>
        <w:jc w:val="both"/>
        <w:rPr>
          <w:rFonts w:ascii="Trebuchet MS" w:hAnsi="Trebuchet MS" w:cs="Arial"/>
        </w:rPr>
      </w:pPr>
    </w:p>
    <w:p w14:paraId="265D36F2" w14:textId="2F13C1ED" w:rsidR="00C93D29" w:rsidRPr="002946A9" w:rsidRDefault="003C0B29" w:rsidP="00DF29CB">
      <w:pPr>
        <w:ind w:left="360"/>
        <w:jc w:val="both"/>
        <w:rPr>
          <w:rFonts w:ascii="Trebuchet MS" w:eastAsia="Times New Roman" w:hAnsi="Trebuchet MS" w:cs="Times New Roman"/>
          <w:lang w:eastAsia="es-CO"/>
        </w:rPr>
      </w:pPr>
      <w:r w:rsidRPr="002946A9">
        <w:rPr>
          <w:rFonts w:ascii="Trebuchet MS" w:hAnsi="Trebuchet MS" w:cs="Arial"/>
        </w:rPr>
        <w:t xml:space="preserve">Se observa una inversión total planeada de $ </w:t>
      </w:r>
      <w:r w:rsidR="00A90CA8">
        <w:rPr>
          <w:rFonts w:ascii="Trebuchet MS" w:eastAsia="Times New Roman" w:hAnsi="Trebuchet MS" w:cs="Times New Roman"/>
          <w:b/>
          <w:bCs/>
          <w:lang w:eastAsia="es-CO"/>
        </w:rPr>
        <w:t>299.914.609.166</w:t>
      </w:r>
      <w:r w:rsidR="00056715" w:rsidRPr="002946A9">
        <w:rPr>
          <w:rFonts w:ascii="Trebuchet MS" w:eastAsia="Times New Roman" w:hAnsi="Trebuchet MS" w:cs="Times New Roman"/>
          <w:lang w:eastAsia="es-CO"/>
        </w:rPr>
        <w:t xml:space="preserve">, </w:t>
      </w:r>
      <w:r w:rsidR="00CB104E" w:rsidRPr="002946A9">
        <w:rPr>
          <w:rFonts w:ascii="Trebuchet MS" w:eastAsia="Times New Roman" w:hAnsi="Trebuchet MS" w:cs="Times New Roman"/>
          <w:lang w:eastAsia="es-CO"/>
        </w:rPr>
        <w:t>la cual se encuentra p</w:t>
      </w:r>
      <w:r w:rsidR="0083402A" w:rsidRPr="002946A9">
        <w:rPr>
          <w:rFonts w:ascii="Trebuchet MS" w:eastAsia="Times New Roman" w:hAnsi="Trebuchet MS" w:cs="Times New Roman"/>
          <w:lang w:eastAsia="es-CO"/>
        </w:rPr>
        <w:t>or debajo del</w:t>
      </w:r>
      <w:r w:rsidR="00CB104E" w:rsidRPr="002946A9">
        <w:rPr>
          <w:rFonts w:ascii="Trebuchet MS" w:eastAsia="Times New Roman" w:hAnsi="Trebuchet MS" w:cs="Times New Roman"/>
          <w:lang w:eastAsia="es-CO"/>
        </w:rPr>
        <w:t xml:space="preserve"> 8% del </w:t>
      </w:r>
      <w:r w:rsidR="0083402A" w:rsidRPr="002946A9">
        <w:rPr>
          <w:rFonts w:ascii="Trebuchet MS" w:eastAsia="Times New Roman" w:hAnsi="Trebuchet MS" w:cs="Times New Roman"/>
          <w:lang w:eastAsia="es-CO"/>
        </w:rPr>
        <w:t>costo de reposición de referencia dado en la</w:t>
      </w:r>
      <w:r w:rsidR="009A1A64" w:rsidRPr="002946A9">
        <w:rPr>
          <w:rFonts w:ascii="Trebuchet MS" w:eastAsia="Times New Roman" w:hAnsi="Trebuchet MS" w:cs="Times New Roman"/>
          <w:lang w:eastAsia="es-CO"/>
        </w:rPr>
        <w:t xml:space="preserve"> </w:t>
      </w:r>
      <w:r w:rsidR="009A1A64" w:rsidRPr="002946A9">
        <w:rPr>
          <w:rFonts w:ascii="Trebuchet MS" w:eastAsia="Times New Roman" w:hAnsi="Trebuchet MS" w:cs="Times New Roman"/>
          <w:lang w:eastAsia="es-CO"/>
        </w:rPr>
        <w:fldChar w:fldCharType="begin"/>
      </w:r>
      <w:r w:rsidR="009A1A64" w:rsidRPr="002946A9">
        <w:rPr>
          <w:rFonts w:ascii="Trebuchet MS" w:eastAsia="Times New Roman" w:hAnsi="Trebuchet MS" w:cs="Times New Roman"/>
          <w:lang w:eastAsia="es-CO"/>
        </w:rPr>
        <w:instrText xml:space="preserve"> REF _Ref66885661 \h </w:instrText>
      </w:r>
      <w:r w:rsidR="00DF29CB" w:rsidRPr="002946A9">
        <w:rPr>
          <w:rFonts w:ascii="Trebuchet MS" w:eastAsia="Times New Roman" w:hAnsi="Trebuchet MS" w:cs="Times New Roman"/>
          <w:lang w:eastAsia="es-CO"/>
        </w:rPr>
        <w:instrText xml:space="preserve"> \* MERGEFORMAT </w:instrText>
      </w:r>
      <w:r w:rsidR="009A1A64" w:rsidRPr="002946A9">
        <w:rPr>
          <w:rFonts w:ascii="Trebuchet MS" w:eastAsia="Times New Roman" w:hAnsi="Trebuchet MS" w:cs="Times New Roman"/>
          <w:lang w:eastAsia="es-CO"/>
        </w:rPr>
      </w:r>
      <w:r w:rsidR="009A1A64" w:rsidRPr="002946A9">
        <w:rPr>
          <w:rFonts w:ascii="Trebuchet MS" w:eastAsia="Times New Roman" w:hAnsi="Trebuchet MS" w:cs="Times New Roman"/>
          <w:lang w:eastAsia="es-CO"/>
        </w:rPr>
        <w:fldChar w:fldCharType="separate"/>
      </w:r>
      <w:r w:rsidR="00C944CB" w:rsidRPr="002946A9">
        <w:rPr>
          <w:rFonts w:ascii="Trebuchet MS" w:hAnsi="Trebuchet MS"/>
        </w:rPr>
        <w:t xml:space="preserve">Tabla </w:t>
      </w:r>
      <w:r w:rsidR="00C944CB">
        <w:rPr>
          <w:rFonts w:ascii="Trebuchet MS" w:hAnsi="Trebuchet MS"/>
          <w:noProof/>
        </w:rPr>
        <w:t>2</w:t>
      </w:r>
      <w:r w:rsidR="00C944CB" w:rsidRPr="002946A9">
        <w:rPr>
          <w:rFonts w:ascii="Trebuchet MS" w:hAnsi="Trebuchet MS"/>
          <w:noProof/>
        </w:rPr>
        <w:t>.</w:t>
      </w:r>
      <w:r w:rsidR="00C944CB">
        <w:rPr>
          <w:rFonts w:ascii="Trebuchet MS" w:hAnsi="Trebuchet MS"/>
          <w:noProof/>
        </w:rPr>
        <w:t>11</w:t>
      </w:r>
      <w:r w:rsidR="009A1A64" w:rsidRPr="002946A9">
        <w:rPr>
          <w:rFonts w:ascii="Trebuchet MS" w:eastAsia="Times New Roman" w:hAnsi="Trebuchet MS" w:cs="Times New Roman"/>
          <w:lang w:eastAsia="es-CO"/>
        </w:rPr>
        <w:fldChar w:fldCharType="end"/>
      </w:r>
      <w:r w:rsidR="009A1A64" w:rsidRPr="002946A9">
        <w:rPr>
          <w:rFonts w:ascii="Trebuchet MS" w:eastAsia="Times New Roman" w:hAnsi="Trebuchet MS" w:cs="Times New Roman"/>
          <w:lang w:eastAsia="es-CO"/>
        </w:rPr>
        <w:t>.</w:t>
      </w:r>
      <w:r w:rsidR="0083402A" w:rsidRPr="002946A9">
        <w:rPr>
          <w:rFonts w:ascii="Trebuchet MS" w:eastAsia="Times New Roman" w:hAnsi="Trebuchet MS" w:cs="Times New Roman"/>
          <w:lang w:eastAsia="es-CO"/>
        </w:rPr>
        <w:t xml:space="preserve"> </w:t>
      </w:r>
    </w:p>
    <w:p w14:paraId="00F1565F" w14:textId="38E01C27" w:rsidR="00390D9D" w:rsidRPr="002946A9" w:rsidRDefault="00390D9D" w:rsidP="00DF29CB">
      <w:pPr>
        <w:ind w:left="360"/>
        <w:jc w:val="both"/>
        <w:rPr>
          <w:rFonts w:ascii="Trebuchet MS" w:hAnsi="Trebuchet MS" w:cs="Arial"/>
        </w:rPr>
      </w:pPr>
      <w:r w:rsidRPr="002946A9">
        <w:rPr>
          <w:rFonts w:ascii="Trebuchet MS" w:hAnsi="Trebuchet MS" w:cs="Arial"/>
        </w:rPr>
        <w:t xml:space="preserve">Las inversiones aprobadas </w:t>
      </w:r>
      <w:r w:rsidR="0077522A" w:rsidRPr="002946A9">
        <w:rPr>
          <w:rFonts w:ascii="Trebuchet MS" w:hAnsi="Trebuchet MS" w:cs="Arial"/>
        </w:rPr>
        <w:t xml:space="preserve">también </w:t>
      </w:r>
      <w:r w:rsidRPr="002946A9">
        <w:rPr>
          <w:rFonts w:ascii="Trebuchet MS" w:hAnsi="Trebuchet MS" w:cs="Arial"/>
        </w:rPr>
        <w:t>pueden d</w:t>
      </w:r>
      <w:r w:rsidR="00883FF2" w:rsidRPr="002946A9">
        <w:rPr>
          <w:rFonts w:ascii="Trebuchet MS" w:hAnsi="Trebuchet MS" w:cs="Arial"/>
        </w:rPr>
        <w:t>esagregarse</w:t>
      </w:r>
      <w:r w:rsidR="0077522A" w:rsidRPr="002946A9">
        <w:rPr>
          <w:rFonts w:ascii="Trebuchet MS" w:hAnsi="Trebuchet MS" w:cs="Arial"/>
        </w:rPr>
        <w:t xml:space="preserve"> </w:t>
      </w:r>
      <w:r w:rsidRPr="002946A9">
        <w:rPr>
          <w:rFonts w:ascii="Trebuchet MS" w:hAnsi="Trebuchet MS" w:cs="Arial"/>
        </w:rPr>
        <w:t>en nivel de tensión, categorías de activos (</w:t>
      </w:r>
      <w:r w:rsidRPr="002946A9">
        <w:rPr>
          <w:rFonts w:ascii="Trebuchet MS" w:hAnsi="Trebuchet MS" w:cs="Arial"/>
          <w:i/>
          <w:iCs/>
        </w:rPr>
        <w:t>l</w:t>
      </w:r>
      <w:r w:rsidRPr="002946A9">
        <w:rPr>
          <w:rFonts w:ascii="Trebuchet MS" w:hAnsi="Trebuchet MS" w:cs="Arial"/>
        </w:rPr>
        <w:t>)</w:t>
      </w:r>
      <w:r w:rsidR="0077522A" w:rsidRPr="002946A9">
        <w:rPr>
          <w:rFonts w:ascii="Trebuchet MS" w:hAnsi="Trebuchet MS" w:cs="Arial"/>
        </w:rPr>
        <w:t xml:space="preserve"> y</w:t>
      </w:r>
      <w:r w:rsidRPr="002946A9">
        <w:rPr>
          <w:rFonts w:ascii="Trebuchet MS" w:hAnsi="Trebuchet MS" w:cs="Arial"/>
        </w:rPr>
        <w:t xml:space="preserve"> tipo de inversión, mediante la variable </w:t>
      </w:r>
      <w:r w:rsidRPr="002946A9">
        <w:rPr>
          <w:rFonts w:ascii="Trebuchet MS" w:hAnsi="Trebuchet MS" w:cs="Arial"/>
          <w:i/>
          <w:iCs/>
        </w:rPr>
        <w:t>INVT</w:t>
      </w:r>
      <w:r w:rsidRPr="002946A9">
        <w:rPr>
          <w:rFonts w:ascii="Trebuchet MS" w:hAnsi="Trebuchet MS" w:cs="Arial"/>
          <w:i/>
          <w:iCs/>
          <w:vertAlign w:val="subscript"/>
        </w:rPr>
        <w:t>j,n,TI,l,t</w:t>
      </w:r>
      <w:r w:rsidR="00E63ED8" w:rsidRPr="002946A9">
        <w:rPr>
          <w:rFonts w:ascii="Trebuchet MS" w:hAnsi="Trebuchet MS" w:cs="Arial"/>
        </w:rPr>
        <w:t>. E</w:t>
      </w:r>
      <w:r w:rsidRPr="002946A9">
        <w:rPr>
          <w:rFonts w:ascii="Trebuchet MS" w:hAnsi="Trebuchet MS" w:cs="Arial"/>
        </w:rPr>
        <w:t xml:space="preserve">sta variable puede consultarse en el </w:t>
      </w:r>
      <w:r w:rsidRPr="0063758D">
        <w:rPr>
          <w:rFonts w:ascii="Trebuchet MS" w:hAnsi="Trebuchet MS" w:cs="Arial"/>
        </w:rPr>
        <w:t>Anexo 6.</w:t>
      </w:r>
    </w:p>
    <w:p w14:paraId="17D977BA" w14:textId="37A31BFE" w:rsidR="006D6B78" w:rsidRPr="002946A9" w:rsidRDefault="00FC31C6" w:rsidP="003F4563">
      <w:pPr>
        <w:spacing w:after="0"/>
        <w:ind w:left="360"/>
        <w:jc w:val="both"/>
        <w:rPr>
          <w:rFonts w:ascii="Trebuchet MS" w:hAnsi="Trebuchet MS"/>
        </w:rPr>
      </w:pPr>
      <w:r w:rsidRPr="002946A9">
        <w:rPr>
          <w:rFonts w:ascii="Trebuchet MS" w:hAnsi="Trebuchet MS" w:cs="Arial"/>
        </w:rPr>
        <w:t xml:space="preserve"> </w:t>
      </w:r>
      <w:r w:rsidR="00D017CA" w:rsidRPr="002946A9">
        <w:rPr>
          <w:rFonts w:ascii="Trebuchet MS" w:hAnsi="Trebuchet MS"/>
        </w:rPr>
        <w:t xml:space="preserve"> </w:t>
      </w:r>
    </w:p>
    <w:p w14:paraId="1D9BBC77" w14:textId="06800FA9" w:rsidR="008C2B2E" w:rsidRPr="00C87DE6" w:rsidRDefault="008C2B2E" w:rsidP="00DF29CB">
      <w:pPr>
        <w:numPr>
          <w:ilvl w:val="2"/>
          <w:numId w:val="2"/>
        </w:numPr>
        <w:jc w:val="both"/>
        <w:outlineLvl w:val="2"/>
        <w:rPr>
          <w:rFonts w:ascii="Trebuchet MS" w:hAnsi="Trebuchet MS"/>
          <w:b/>
          <w:bCs/>
          <w:szCs w:val="24"/>
        </w:rPr>
      </w:pPr>
      <w:bookmarkStart w:id="170" w:name="_Toc131109353"/>
      <w:r w:rsidRPr="00C87DE6">
        <w:rPr>
          <w:rFonts w:ascii="Trebuchet MS" w:hAnsi="Trebuchet MS"/>
          <w:b/>
          <w:bCs/>
          <w:szCs w:val="24"/>
        </w:rPr>
        <w:t xml:space="preserve">Metas de calidad del servicio aprobadas para el año </w:t>
      </w:r>
      <w:r w:rsidR="00DE22F7" w:rsidRPr="00C87DE6">
        <w:rPr>
          <w:rFonts w:ascii="Trebuchet MS" w:hAnsi="Trebuchet MS"/>
          <w:b/>
          <w:bCs/>
          <w:szCs w:val="24"/>
        </w:rPr>
        <w:t>2022</w:t>
      </w:r>
      <w:bookmarkEnd w:id="170"/>
    </w:p>
    <w:p w14:paraId="0C059D0C" w14:textId="5F68C01F" w:rsidR="00B26F8D" w:rsidRPr="00C87DE6" w:rsidRDefault="005A3DD8" w:rsidP="00DF29CB">
      <w:pPr>
        <w:ind w:left="360"/>
        <w:jc w:val="both"/>
        <w:rPr>
          <w:rFonts w:ascii="Trebuchet MS" w:hAnsi="Trebuchet MS"/>
          <w:szCs w:val="24"/>
        </w:rPr>
      </w:pPr>
      <w:r w:rsidRPr="00C87DE6">
        <w:rPr>
          <w:rFonts w:ascii="Trebuchet MS" w:hAnsi="Trebuchet MS"/>
          <w:szCs w:val="24"/>
        </w:rPr>
        <w:t xml:space="preserve">Las metas de calidad media están </w:t>
      </w:r>
      <w:r w:rsidR="007E26BA" w:rsidRPr="00C87DE6">
        <w:rPr>
          <w:rFonts w:ascii="Trebuchet MS" w:hAnsi="Trebuchet MS"/>
          <w:szCs w:val="24"/>
        </w:rPr>
        <w:t xml:space="preserve">determinadas </w:t>
      </w:r>
      <w:r w:rsidRPr="00C87DE6">
        <w:rPr>
          <w:rFonts w:ascii="Trebuchet MS" w:hAnsi="Trebuchet MS"/>
          <w:szCs w:val="24"/>
        </w:rPr>
        <w:t xml:space="preserve">por los indicadores </w:t>
      </w:r>
      <w:r w:rsidRPr="00C87DE6">
        <w:rPr>
          <w:rFonts w:ascii="Trebuchet MS" w:hAnsi="Trebuchet MS"/>
          <w:i/>
          <w:iCs/>
          <w:szCs w:val="24"/>
        </w:rPr>
        <w:t>SAIDI_M</w:t>
      </w:r>
      <w:r w:rsidRPr="00C87DE6">
        <w:rPr>
          <w:rFonts w:ascii="Trebuchet MS" w:hAnsi="Trebuchet MS"/>
          <w:i/>
          <w:iCs/>
          <w:szCs w:val="24"/>
          <w:vertAlign w:val="subscript"/>
        </w:rPr>
        <w:t xml:space="preserve">j,t </w:t>
      </w:r>
      <w:r w:rsidRPr="00C87DE6">
        <w:rPr>
          <w:rFonts w:ascii="Trebuchet MS" w:hAnsi="Trebuchet MS"/>
          <w:szCs w:val="24"/>
        </w:rPr>
        <w:t xml:space="preserve">y </w:t>
      </w:r>
      <w:r w:rsidRPr="00C87DE6">
        <w:rPr>
          <w:rFonts w:ascii="Trebuchet MS" w:hAnsi="Trebuchet MS"/>
          <w:i/>
          <w:iCs/>
          <w:szCs w:val="24"/>
        </w:rPr>
        <w:t>SAIFI_M</w:t>
      </w:r>
      <w:r w:rsidRPr="00C87DE6">
        <w:rPr>
          <w:rFonts w:ascii="Trebuchet MS" w:hAnsi="Trebuchet MS"/>
          <w:i/>
          <w:iCs/>
          <w:szCs w:val="24"/>
          <w:vertAlign w:val="subscript"/>
        </w:rPr>
        <w:t>j,t</w:t>
      </w:r>
      <w:r w:rsidRPr="00C87DE6">
        <w:rPr>
          <w:rFonts w:ascii="Trebuchet MS" w:hAnsi="Trebuchet MS"/>
          <w:szCs w:val="24"/>
        </w:rPr>
        <w:t xml:space="preserve">, </w:t>
      </w:r>
      <w:r w:rsidR="005205B7" w:rsidRPr="00C87DE6">
        <w:rPr>
          <w:rFonts w:ascii="Trebuchet MS" w:hAnsi="Trebuchet MS"/>
          <w:szCs w:val="24"/>
        </w:rPr>
        <w:t xml:space="preserve">acorde con la </w:t>
      </w:r>
      <w:r w:rsidR="005205B7" w:rsidRPr="00C87DE6">
        <w:rPr>
          <w:rFonts w:ascii="Trebuchet MS" w:hAnsi="Trebuchet MS"/>
          <w:szCs w:val="24"/>
        </w:rPr>
        <w:fldChar w:fldCharType="begin"/>
      </w:r>
      <w:r w:rsidR="005205B7" w:rsidRPr="00C87DE6">
        <w:rPr>
          <w:rFonts w:ascii="Trebuchet MS" w:hAnsi="Trebuchet MS"/>
          <w:szCs w:val="24"/>
        </w:rPr>
        <w:instrText xml:space="preserve"> REF _Ref66959100 \h </w:instrText>
      </w:r>
      <w:r w:rsidR="00DF29CB" w:rsidRPr="00C87DE6">
        <w:rPr>
          <w:rFonts w:ascii="Trebuchet MS" w:hAnsi="Trebuchet MS"/>
          <w:szCs w:val="24"/>
        </w:rPr>
        <w:instrText xml:space="preserve"> \* MERGEFORMAT </w:instrText>
      </w:r>
      <w:r w:rsidR="005205B7" w:rsidRPr="00C87DE6">
        <w:rPr>
          <w:rFonts w:ascii="Trebuchet MS" w:hAnsi="Trebuchet MS"/>
          <w:szCs w:val="24"/>
        </w:rPr>
      </w:r>
      <w:r w:rsidR="005205B7" w:rsidRPr="00C87DE6">
        <w:rPr>
          <w:rFonts w:ascii="Trebuchet MS" w:hAnsi="Trebuchet MS"/>
          <w:szCs w:val="24"/>
        </w:rPr>
        <w:fldChar w:fldCharType="separate"/>
      </w:r>
      <w:r w:rsidR="00C944CB" w:rsidRPr="00B318D6">
        <w:rPr>
          <w:rFonts w:ascii="Trebuchet MS" w:hAnsi="Trebuchet MS"/>
        </w:rPr>
        <w:t xml:space="preserve">Tabla </w:t>
      </w:r>
      <w:r w:rsidR="00C944CB">
        <w:rPr>
          <w:rFonts w:ascii="Trebuchet MS" w:hAnsi="Trebuchet MS"/>
          <w:noProof/>
        </w:rPr>
        <w:t>2</w:t>
      </w:r>
      <w:r w:rsidR="00C944CB" w:rsidRPr="00B318D6">
        <w:rPr>
          <w:rFonts w:ascii="Trebuchet MS" w:hAnsi="Trebuchet MS"/>
          <w:noProof/>
        </w:rPr>
        <w:t>.</w:t>
      </w:r>
      <w:r w:rsidR="00C944CB">
        <w:rPr>
          <w:rFonts w:ascii="Trebuchet MS" w:hAnsi="Trebuchet MS"/>
          <w:noProof/>
        </w:rPr>
        <w:t>12</w:t>
      </w:r>
      <w:r w:rsidR="005205B7" w:rsidRPr="00C87DE6">
        <w:rPr>
          <w:rFonts w:ascii="Trebuchet MS" w:hAnsi="Trebuchet MS"/>
          <w:szCs w:val="24"/>
        </w:rPr>
        <w:fldChar w:fldCharType="end"/>
      </w:r>
      <w:r w:rsidR="005205B7" w:rsidRPr="00C87DE6">
        <w:rPr>
          <w:rFonts w:ascii="Trebuchet MS" w:hAnsi="Trebuchet MS"/>
          <w:szCs w:val="24"/>
        </w:rPr>
        <w:t xml:space="preserve"> y </w:t>
      </w:r>
      <w:r w:rsidR="003E21FE" w:rsidRPr="00C87DE6">
        <w:rPr>
          <w:rFonts w:ascii="Trebuchet MS" w:hAnsi="Trebuchet MS"/>
          <w:szCs w:val="24"/>
        </w:rPr>
        <w:t xml:space="preserve">la </w:t>
      </w:r>
      <w:r w:rsidR="003E21FE" w:rsidRPr="00C87DE6">
        <w:rPr>
          <w:rFonts w:ascii="Trebuchet MS" w:hAnsi="Trebuchet MS"/>
          <w:szCs w:val="24"/>
        </w:rPr>
        <w:fldChar w:fldCharType="begin"/>
      </w:r>
      <w:r w:rsidR="003E21FE" w:rsidRPr="00C87DE6">
        <w:rPr>
          <w:rFonts w:ascii="Trebuchet MS" w:hAnsi="Trebuchet MS"/>
          <w:szCs w:val="24"/>
        </w:rPr>
        <w:instrText xml:space="preserve"> REF _Ref66959166 \h </w:instrText>
      </w:r>
      <w:r w:rsidR="00DF29CB" w:rsidRPr="00C87DE6">
        <w:rPr>
          <w:rFonts w:ascii="Trebuchet MS" w:hAnsi="Trebuchet MS"/>
          <w:szCs w:val="24"/>
        </w:rPr>
        <w:instrText xml:space="preserve"> \* MERGEFORMAT </w:instrText>
      </w:r>
      <w:r w:rsidR="003E21FE" w:rsidRPr="00C87DE6">
        <w:rPr>
          <w:rFonts w:ascii="Trebuchet MS" w:hAnsi="Trebuchet MS"/>
          <w:szCs w:val="24"/>
        </w:rPr>
      </w:r>
      <w:r w:rsidR="003E21FE" w:rsidRPr="00C87DE6">
        <w:rPr>
          <w:rFonts w:ascii="Trebuchet MS" w:hAnsi="Trebuchet MS"/>
          <w:szCs w:val="24"/>
        </w:rPr>
        <w:fldChar w:fldCharType="separate"/>
      </w:r>
      <w:r w:rsidR="00C944CB" w:rsidRPr="00A933AA">
        <w:rPr>
          <w:rFonts w:ascii="Trebuchet MS" w:hAnsi="Trebuchet MS"/>
        </w:rPr>
        <w:t xml:space="preserve">Tabla </w:t>
      </w:r>
      <w:r w:rsidR="00C944CB">
        <w:rPr>
          <w:rFonts w:ascii="Trebuchet MS" w:hAnsi="Trebuchet MS"/>
          <w:noProof/>
        </w:rPr>
        <w:t>2</w:t>
      </w:r>
      <w:r w:rsidR="00C944CB" w:rsidRPr="00A933AA">
        <w:rPr>
          <w:rFonts w:ascii="Trebuchet MS" w:hAnsi="Trebuchet MS"/>
          <w:noProof/>
        </w:rPr>
        <w:t>.</w:t>
      </w:r>
      <w:r w:rsidR="00C944CB">
        <w:rPr>
          <w:rFonts w:ascii="Trebuchet MS" w:hAnsi="Trebuchet MS"/>
          <w:noProof/>
        </w:rPr>
        <w:t>13</w:t>
      </w:r>
      <w:r w:rsidR="003E21FE" w:rsidRPr="00C87DE6">
        <w:rPr>
          <w:rFonts w:ascii="Trebuchet MS" w:hAnsi="Trebuchet MS"/>
          <w:szCs w:val="24"/>
        </w:rPr>
        <w:fldChar w:fldCharType="end"/>
      </w:r>
      <w:r w:rsidR="003E21FE" w:rsidRPr="00C87DE6">
        <w:rPr>
          <w:rFonts w:ascii="Trebuchet MS" w:hAnsi="Trebuchet MS"/>
          <w:szCs w:val="24"/>
        </w:rPr>
        <w:t xml:space="preserve">, para el </w:t>
      </w:r>
      <w:r w:rsidR="007B7AEB" w:rsidRPr="00C87DE6">
        <w:rPr>
          <w:rFonts w:ascii="Trebuchet MS" w:hAnsi="Trebuchet MS"/>
          <w:szCs w:val="24"/>
        </w:rPr>
        <w:t xml:space="preserve">2022 </w:t>
      </w:r>
      <w:r w:rsidR="00FE08DE" w:rsidRPr="00C87DE6">
        <w:rPr>
          <w:rFonts w:ascii="Trebuchet MS" w:hAnsi="Trebuchet MS"/>
          <w:szCs w:val="24"/>
        </w:rPr>
        <w:t xml:space="preserve">se </w:t>
      </w:r>
      <w:r w:rsidR="007A3098" w:rsidRPr="00C87DE6">
        <w:rPr>
          <w:rFonts w:ascii="Trebuchet MS" w:hAnsi="Trebuchet MS"/>
          <w:szCs w:val="24"/>
        </w:rPr>
        <w:t>aprobaron l</w:t>
      </w:r>
      <w:r w:rsidR="00B26F8D" w:rsidRPr="00C87DE6">
        <w:rPr>
          <w:rFonts w:ascii="Trebuchet MS" w:hAnsi="Trebuchet MS"/>
          <w:szCs w:val="24"/>
        </w:rPr>
        <w:t>os siguientes indicadores:</w:t>
      </w:r>
    </w:p>
    <w:p w14:paraId="5E0144DB" w14:textId="77777777" w:rsidR="00DE179D" w:rsidRPr="00C87DE6" w:rsidRDefault="00DE179D" w:rsidP="00DF29CB">
      <w:pPr>
        <w:spacing w:after="0"/>
        <w:ind w:left="1416" w:hanging="1056"/>
        <w:jc w:val="both"/>
        <w:rPr>
          <w:rFonts w:ascii="Trebuchet MS" w:hAnsi="Trebuchet MS"/>
          <w:szCs w:val="24"/>
        </w:rPr>
      </w:pPr>
    </w:p>
    <w:p w14:paraId="3D6D089C" w14:textId="0A5D3217" w:rsidR="00A84F6E" w:rsidRPr="00C87DE6" w:rsidRDefault="00FE08DE" w:rsidP="00DF29CB">
      <w:pPr>
        <w:ind w:left="1416" w:hanging="1056"/>
        <w:jc w:val="both"/>
        <w:rPr>
          <w:rFonts w:ascii="Trebuchet MS" w:hAnsi="Trebuchet MS"/>
        </w:rPr>
      </w:pPr>
      <w:r w:rsidRPr="00C87DE6">
        <w:rPr>
          <w:rFonts w:ascii="Trebuchet MS" w:hAnsi="Trebuchet MS"/>
          <w:szCs w:val="24"/>
        </w:rPr>
        <w:t xml:space="preserve"> </w:t>
      </w:r>
      <w:bookmarkStart w:id="171" w:name="_Toc131032788"/>
      <w:r w:rsidR="00A84F6E" w:rsidRPr="00C87DE6">
        <w:rPr>
          <w:rFonts w:ascii="Trebuchet MS" w:hAnsi="Trebuchet MS"/>
        </w:rPr>
        <w:t xml:space="preserve">Tabla </w:t>
      </w:r>
      <w:r w:rsidR="00A84F6E" w:rsidRPr="00C87DE6">
        <w:rPr>
          <w:rFonts w:ascii="Trebuchet MS" w:hAnsi="Trebuchet MS"/>
        </w:rPr>
        <w:fldChar w:fldCharType="begin"/>
      </w:r>
      <w:r w:rsidR="00A84F6E" w:rsidRPr="00C87DE6">
        <w:rPr>
          <w:rFonts w:ascii="Trebuchet MS" w:hAnsi="Trebuchet MS"/>
        </w:rPr>
        <w:instrText xml:space="preserve"> STYLEREF 1 \s </w:instrText>
      </w:r>
      <w:r w:rsidR="00A84F6E" w:rsidRPr="00C87DE6">
        <w:rPr>
          <w:rFonts w:ascii="Trebuchet MS" w:hAnsi="Trebuchet MS"/>
        </w:rPr>
        <w:fldChar w:fldCharType="separate"/>
      </w:r>
      <w:r w:rsidR="00C944CB">
        <w:rPr>
          <w:rFonts w:ascii="Trebuchet MS" w:hAnsi="Trebuchet MS"/>
          <w:noProof/>
        </w:rPr>
        <w:t>2</w:t>
      </w:r>
      <w:r w:rsidR="00A84F6E" w:rsidRPr="00C87DE6">
        <w:rPr>
          <w:rFonts w:ascii="Trebuchet MS" w:hAnsi="Trebuchet MS"/>
        </w:rPr>
        <w:fldChar w:fldCharType="end"/>
      </w:r>
      <w:r w:rsidR="00A84F6E" w:rsidRPr="00C87DE6">
        <w:rPr>
          <w:rFonts w:ascii="Trebuchet MS" w:hAnsi="Trebuchet MS"/>
        </w:rPr>
        <w:t>.</w:t>
      </w:r>
      <w:r w:rsidR="00A84F6E" w:rsidRPr="00C87DE6">
        <w:rPr>
          <w:rFonts w:ascii="Trebuchet MS" w:hAnsi="Trebuchet MS"/>
        </w:rPr>
        <w:fldChar w:fldCharType="begin"/>
      </w:r>
      <w:r w:rsidR="00A84F6E" w:rsidRPr="00C87DE6">
        <w:rPr>
          <w:rFonts w:ascii="Trebuchet MS" w:hAnsi="Trebuchet MS"/>
        </w:rPr>
        <w:instrText xml:space="preserve"> SEQ Tabla \* ARABIC \s 1 </w:instrText>
      </w:r>
      <w:r w:rsidR="00A84F6E" w:rsidRPr="00C87DE6">
        <w:rPr>
          <w:rFonts w:ascii="Trebuchet MS" w:hAnsi="Trebuchet MS"/>
        </w:rPr>
        <w:fldChar w:fldCharType="separate"/>
      </w:r>
      <w:r w:rsidR="00C944CB">
        <w:rPr>
          <w:rFonts w:ascii="Trebuchet MS" w:hAnsi="Trebuchet MS"/>
          <w:noProof/>
        </w:rPr>
        <w:t>20</w:t>
      </w:r>
      <w:r w:rsidR="00A84F6E" w:rsidRPr="00C87DE6">
        <w:rPr>
          <w:rFonts w:ascii="Trebuchet MS" w:hAnsi="Trebuchet MS"/>
        </w:rPr>
        <w:fldChar w:fldCharType="end"/>
      </w:r>
      <w:r w:rsidR="00A84F6E" w:rsidRPr="00C87DE6">
        <w:rPr>
          <w:rFonts w:ascii="Trebuchet MS" w:hAnsi="Trebuchet MS"/>
        </w:rPr>
        <w:t xml:space="preserve">  Metas del indicador de duración de eventos</w:t>
      </w:r>
      <w:r w:rsidR="00DD4E48" w:rsidRPr="00C87DE6">
        <w:rPr>
          <w:rFonts w:ascii="Trebuchet MS" w:hAnsi="Trebuchet MS"/>
        </w:rPr>
        <w:t xml:space="preserve"> año </w:t>
      </w:r>
      <w:r w:rsidR="007B7AEB" w:rsidRPr="00C87DE6">
        <w:rPr>
          <w:rFonts w:ascii="Trebuchet MS" w:hAnsi="Trebuchet MS"/>
        </w:rPr>
        <w:t>2022</w:t>
      </w:r>
      <w:r w:rsidR="00A84F6E" w:rsidRPr="00C87DE6">
        <w:rPr>
          <w:rFonts w:ascii="Trebuchet MS" w:hAnsi="Trebuchet MS"/>
        </w:rPr>
        <w:t>.</w:t>
      </w:r>
      <w:bookmarkEnd w:id="171"/>
    </w:p>
    <w:tbl>
      <w:tblPr>
        <w:tblStyle w:val="Tablaconcuadrcula5oscura-nfasis1"/>
        <w:tblW w:w="6554" w:type="dxa"/>
        <w:jc w:val="center"/>
        <w:tblLook w:val="04A0" w:firstRow="1" w:lastRow="0" w:firstColumn="1" w:lastColumn="0" w:noHBand="0" w:noVBand="1"/>
      </w:tblPr>
      <w:tblGrid>
        <w:gridCol w:w="1343"/>
        <w:gridCol w:w="1913"/>
        <w:gridCol w:w="1467"/>
        <w:gridCol w:w="1831"/>
      </w:tblGrid>
      <w:tr w:rsidR="00A84F6E" w:rsidRPr="00C87DE6" w14:paraId="502B8A61" w14:textId="77777777" w:rsidTr="00174995">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1343" w:type="dxa"/>
            <w:hideMark/>
          </w:tcPr>
          <w:p w14:paraId="1AF028F5" w14:textId="77777777" w:rsidR="00A84F6E" w:rsidRPr="00C87DE6" w:rsidRDefault="00A84F6E" w:rsidP="00174995">
            <w:pPr>
              <w:rPr>
                <w:rFonts w:eastAsia="Times New Roman" w:cs="Calibri"/>
                <w:bCs w:val="0"/>
                <w:color w:val="auto"/>
                <w:sz w:val="18"/>
                <w:szCs w:val="18"/>
              </w:rPr>
            </w:pPr>
            <w:r w:rsidRPr="00C87DE6">
              <w:rPr>
                <w:rFonts w:eastAsia="Times New Roman" w:cs="Calibri"/>
                <w:sz w:val="18"/>
                <w:szCs w:val="18"/>
              </w:rPr>
              <w:t>Año del periodo tarifario</w:t>
            </w:r>
          </w:p>
        </w:tc>
        <w:tc>
          <w:tcPr>
            <w:tcW w:w="1913" w:type="dxa"/>
            <w:hideMark/>
          </w:tcPr>
          <w:p w14:paraId="0A600225" w14:textId="77777777" w:rsidR="00A84F6E" w:rsidRPr="00C87DE6" w:rsidRDefault="00A84F6E" w:rsidP="00174995">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C87DE6">
              <w:rPr>
                <w:rFonts w:eastAsia="Times New Roman" w:cs="Calibri"/>
                <w:sz w:val="18"/>
                <w:szCs w:val="18"/>
              </w:rPr>
              <w:t>Límite inferior banda indiferencia</w:t>
            </w:r>
          </w:p>
        </w:tc>
        <w:tc>
          <w:tcPr>
            <w:tcW w:w="1467" w:type="dxa"/>
            <w:hideMark/>
          </w:tcPr>
          <w:p w14:paraId="203EEF54" w14:textId="77777777" w:rsidR="00A84F6E" w:rsidRPr="00C87DE6" w:rsidRDefault="00A84F6E" w:rsidP="00174995">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C87DE6">
              <w:rPr>
                <w:rFonts w:eastAsia="Times New Roman" w:cs="Calibri"/>
                <w:sz w:val="18"/>
                <w:szCs w:val="18"/>
              </w:rPr>
              <w:t>SAIDI_M</w:t>
            </w:r>
            <w:r w:rsidRPr="00C87DE6">
              <w:rPr>
                <w:rFonts w:eastAsia="Times New Roman" w:cs="Calibri"/>
                <w:i/>
                <w:iCs/>
                <w:sz w:val="18"/>
                <w:szCs w:val="18"/>
                <w:vertAlign w:val="subscript"/>
              </w:rPr>
              <w:t>j,t</w:t>
            </w:r>
          </w:p>
        </w:tc>
        <w:tc>
          <w:tcPr>
            <w:tcW w:w="0" w:type="auto"/>
            <w:hideMark/>
          </w:tcPr>
          <w:p w14:paraId="29703199" w14:textId="77777777" w:rsidR="00A84F6E" w:rsidRPr="00C87DE6" w:rsidRDefault="00A84F6E" w:rsidP="00174995">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C87DE6">
              <w:rPr>
                <w:rFonts w:eastAsia="Times New Roman" w:cs="Calibri"/>
                <w:sz w:val="18"/>
                <w:szCs w:val="18"/>
              </w:rPr>
              <w:t>Límite superior banda indiferencia</w:t>
            </w:r>
          </w:p>
        </w:tc>
      </w:tr>
      <w:tr w:rsidR="00DE22F7" w:rsidRPr="00C87DE6" w14:paraId="6EF16883" w14:textId="77777777" w:rsidTr="00174995">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343" w:type="dxa"/>
            <w:noWrap/>
          </w:tcPr>
          <w:p w14:paraId="27EBB219" w14:textId="70B343CD" w:rsidR="00DE22F7" w:rsidRPr="00C87DE6" w:rsidRDefault="00DE22F7" w:rsidP="00DE22F7">
            <w:pPr>
              <w:jc w:val="center"/>
              <w:rPr>
                <w:rFonts w:eastAsia="Times New Roman" w:cs="Calibri"/>
                <w:b w:val="0"/>
                <w:bCs w:val="0"/>
                <w:i/>
                <w:iCs/>
                <w:color w:val="auto"/>
                <w:sz w:val="18"/>
                <w:szCs w:val="18"/>
              </w:rPr>
            </w:pPr>
            <w:r w:rsidRPr="00C87DE6">
              <w:rPr>
                <w:rFonts w:eastAsia="Times New Roman" w:cs="Calibri"/>
                <w:i/>
                <w:iCs/>
                <w:sz w:val="18"/>
                <w:szCs w:val="18"/>
              </w:rPr>
              <w:t>2022</w:t>
            </w:r>
          </w:p>
        </w:tc>
        <w:tc>
          <w:tcPr>
            <w:tcW w:w="1913" w:type="dxa"/>
            <w:noWrap/>
          </w:tcPr>
          <w:p w14:paraId="181C2AA6" w14:textId="12F307D8" w:rsidR="00DE22F7" w:rsidRPr="00C87DE6" w:rsidRDefault="00DE22F7" w:rsidP="00DE22F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C87DE6">
              <w:rPr>
                <w:rFonts w:eastAsia="Times New Roman" w:cs="Calibri"/>
                <w:sz w:val="18"/>
                <w:szCs w:val="18"/>
              </w:rPr>
              <w:t>9.952</w:t>
            </w:r>
          </w:p>
        </w:tc>
        <w:tc>
          <w:tcPr>
            <w:tcW w:w="1467" w:type="dxa"/>
            <w:noWrap/>
          </w:tcPr>
          <w:p w14:paraId="0B9CD350" w14:textId="08C0B1A1" w:rsidR="00DE22F7" w:rsidRPr="00C87DE6" w:rsidRDefault="00DE22F7" w:rsidP="00DE22F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C87DE6">
              <w:rPr>
                <w:rFonts w:eastAsia="Times New Roman" w:cs="Calibri"/>
                <w:sz w:val="18"/>
                <w:szCs w:val="18"/>
              </w:rPr>
              <w:t>10.002</w:t>
            </w:r>
          </w:p>
        </w:tc>
        <w:tc>
          <w:tcPr>
            <w:tcW w:w="0" w:type="auto"/>
            <w:noWrap/>
          </w:tcPr>
          <w:p w14:paraId="1A634F99" w14:textId="62C8A29A" w:rsidR="00DE22F7" w:rsidRPr="00C87DE6" w:rsidRDefault="00DE22F7" w:rsidP="00DE22F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C87DE6">
              <w:rPr>
                <w:rFonts w:eastAsia="Times New Roman" w:cs="Calibri"/>
                <w:sz w:val="18"/>
                <w:szCs w:val="18"/>
              </w:rPr>
              <w:t>10.052</w:t>
            </w:r>
          </w:p>
        </w:tc>
      </w:tr>
      <w:tr w:rsidR="00A84F6E" w:rsidRPr="009E0150" w14:paraId="4FCDF6A8" w14:textId="77777777" w:rsidTr="008969F3">
        <w:trPr>
          <w:cnfStyle w:val="000000010000" w:firstRow="0" w:lastRow="0" w:firstColumn="0" w:lastColumn="0" w:oddVBand="0" w:evenVBand="0" w:oddHBand="0" w:evenHBand="1"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6554" w:type="dxa"/>
            <w:gridSpan w:val="4"/>
            <w:shd w:val="clear" w:color="auto" w:fill="DFF0D3" w:themeFill="accent2" w:themeFillTint="33"/>
            <w:noWrap/>
          </w:tcPr>
          <w:p w14:paraId="11283D8D" w14:textId="2F8EDF70" w:rsidR="00A84F6E" w:rsidRPr="00C87DE6" w:rsidRDefault="00DD4E48" w:rsidP="00DF29CB">
            <w:pPr>
              <w:jc w:val="both"/>
              <w:rPr>
                <w:rFonts w:eastAsia="Times New Roman" w:cs="Calibri"/>
                <w:b w:val="0"/>
                <w:bCs w:val="0"/>
                <w:sz w:val="18"/>
                <w:szCs w:val="18"/>
              </w:rPr>
            </w:pPr>
            <w:r w:rsidRPr="00C87DE6">
              <w:rPr>
                <w:i/>
                <w:iCs/>
                <w:sz w:val="18"/>
                <w:szCs w:val="18"/>
              </w:rPr>
              <w:t>valores en horas al año</w:t>
            </w:r>
          </w:p>
        </w:tc>
      </w:tr>
    </w:tbl>
    <w:p w14:paraId="73895433" w14:textId="77777777" w:rsidR="00A84F6E" w:rsidRPr="00EF3F98" w:rsidRDefault="00A84F6E" w:rsidP="00DF29CB">
      <w:pPr>
        <w:ind w:left="360"/>
        <w:jc w:val="both"/>
        <w:rPr>
          <w:rFonts w:ascii="Trebuchet MS" w:hAnsi="Trebuchet MS"/>
          <w:szCs w:val="24"/>
          <w:highlight w:val="cyan"/>
        </w:rPr>
      </w:pPr>
    </w:p>
    <w:p w14:paraId="76701A0A" w14:textId="3BCC5460" w:rsidR="00A84F6E" w:rsidRPr="00C87DE6" w:rsidRDefault="00A84F6E" w:rsidP="00DF29CB">
      <w:pPr>
        <w:ind w:left="1416" w:hanging="1056"/>
        <w:jc w:val="both"/>
        <w:rPr>
          <w:rFonts w:ascii="Trebuchet MS" w:hAnsi="Trebuchet MS"/>
        </w:rPr>
      </w:pPr>
      <w:bookmarkStart w:id="172" w:name="_Toc131032789"/>
      <w:r w:rsidRPr="00C87DE6">
        <w:rPr>
          <w:rFonts w:ascii="Trebuchet MS" w:hAnsi="Trebuchet MS"/>
        </w:rPr>
        <w:t xml:space="preserve">Tabla </w:t>
      </w:r>
      <w:r w:rsidRPr="00C87DE6">
        <w:rPr>
          <w:rFonts w:ascii="Trebuchet MS" w:hAnsi="Trebuchet MS"/>
        </w:rPr>
        <w:fldChar w:fldCharType="begin"/>
      </w:r>
      <w:r w:rsidRPr="00C87DE6">
        <w:rPr>
          <w:rFonts w:ascii="Trebuchet MS" w:hAnsi="Trebuchet MS"/>
        </w:rPr>
        <w:instrText xml:space="preserve"> STYLEREF 1 \s </w:instrText>
      </w:r>
      <w:r w:rsidRPr="00C87DE6">
        <w:rPr>
          <w:rFonts w:ascii="Trebuchet MS" w:hAnsi="Trebuchet MS"/>
        </w:rPr>
        <w:fldChar w:fldCharType="separate"/>
      </w:r>
      <w:r w:rsidR="00C944CB">
        <w:rPr>
          <w:rFonts w:ascii="Trebuchet MS" w:hAnsi="Trebuchet MS"/>
          <w:noProof/>
        </w:rPr>
        <w:t>2</w:t>
      </w:r>
      <w:r w:rsidRPr="00C87DE6">
        <w:rPr>
          <w:rFonts w:ascii="Trebuchet MS" w:hAnsi="Trebuchet MS"/>
        </w:rPr>
        <w:fldChar w:fldCharType="end"/>
      </w:r>
      <w:r w:rsidRPr="00C87DE6">
        <w:rPr>
          <w:rFonts w:ascii="Trebuchet MS" w:hAnsi="Trebuchet MS"/>
        </w:rPr>
        <w:t>.</w:t>
      </w:r>
      <w:r w:rsidRPr="00C87DE6">
        <w:rPr>
          <w:rFonts w:ascii="Trebuchet MS" w:hAnsi="Trebuchet MS"/>
        </w:rPr>
        <w:fldChar w:fldCharType="begin"/>
      </w:r>
      <w:r w:rsidRPr="00C87DE6">
        <w:rPr>
          <w:rFonts w:ascii="Trebuchet MS" w:hAnsi="Trebuchet MS"/>
        </w:rPr>
        <w:instrText xml:space="preserve"> SEQ Tabla \* ARABIC \s 1 </w:instrText>
      </w:r>
      <w:r w:rsidRPr="00C87DE6">
        <w:rPr>
          <w:rFonts w:ascii="Trebuchet MS" w:hAnsi="Trebuchet MS"/>
        </w:rPr>
        <w:fldChar w:fldCharType="separate"/>
      </w:r>
      <w:r w:rsidR="00C944CB">
        <w:rPr>
          <w:rFonts w:ascii="Trebuchet MS" w:hAnsi="Trebuchet MS"/>
          <w:noProof/>
        </w:rPr>
        <w:t>21</w:t>
      </w:r>
      <w:r w:rsidRPr="00C87DE6">
        <w:rPr>
          <w:rFonts w:ascii="Trebuchet MS" w:hAnsi="Trebuchet MS"/>
        </w:rPr>
        <w:fldChar w:fldCharType="end"/>
      </w:r>
      <w:r w:rsidRPr="00C87DE6">
        <w:rPr>
          <w:rFonts w:ascii="Trebuchet MS" w:hAnsi="Trebuchet MS"/>
        </w:rPr>
        <w:t xml:space="preserve">  Metas del indicador de frecuencia de eventos</w:t>
      </w:r>
      <w:r w:rsidR="00DD4E48" w:rsidRPr="00C87DE6">
        <w:rPr>
          <w:rFonts w:ascii="Trebuchet MS" w:hAnsi="Trebuchet MS"/>
        </w:rPr>
        <w:t xml:space="preserve"> año </w:t>
      </w:r>
      <w:r w:rsidR="007B7AEB" w:rsidRPr="00C87DE6">
        <w:rPr>
          <w:rFonts w:ascii="Trebuchet MS" w:hAnsi="Trebuchet MS"/>
        </w:rPr>
        <w:t>2022</w:t>
      </w:r>
      <w:r w:rsidR="001E6270" w:rsidRPr="00C87DE6">
        <w:rPr>
          <w:rFonts w:ascii="Trebuchet MS" w:hAnsi="Trebuchet MS"/>
        </w:rPr>
        <w:t>.</w:t>
      </w:r>
      <w:bookmarkEnd w:id="172"/>
    </w:p>
    <w:tbl>
      <w:tblPr>
        <w:tblStyle w:val="Tablaconcuadrcula5oscura-nfasis1"/>
        <w:tblW w:w="6475" w:type="dxa"/>
        <w:jc w:val="center"/>
        <w:tblLook w:val="04A0" w:firstRow="1" w:lastRow="0" w:firstColumn="1" w:lastColumn="0" w:noHBand="0" w:noVBand="1"/>
      </w:tblPr>
      <w:tblGrid>
        <w:gridCol w:w="1327"/>
        <w:gridCol w:w="1929"/>
        <w:gridCol w:w="1411"/>
        <w:gridCol w:w="1808"/>
      </w:tblGrid>
      <w:tr w:rsidR="00A84F6E" w:rsidRPr="00C87DE6" w14:paraId="26D6EC09" w14:textId="77777777" w:rsidTr="00F070F3">
        <w:trPr>
          <w:cnfStyle w:val="100000000000" w:firstRow="1" w:lastRow="0" w:firstColumn="0" w:lastColumn="0" w:oddVBand="0" w:evenVBand="0" w:oddHBand="0" w:evenHBand="0" w:firstRowFirstColumn="0" w:firstRowLastColumn="0" w:lastRowFirstColumn="0" w:lastRowLastColumn="0"/>
          <w:trHeight w:val="490"/>
          <w:jc w:val="center"/>
        </w:trPr>
        <w:tc>
          <w:tcPr>
            <w:cnfStyle w:val="001000000000" w:firstRow="0" w:lastRow="0" w:firstColumn="1" w:lastColumn="0" w:oddVBand="0" w:evenVBand="0" w:oddHBand="0" w:evenHBand="0" w:firstRowFirstColumn="0" w:firstRowLastColumn="0" w:lastRowFirstColumn="0" w:lastRowLastColumn="0"/>
            <w:tcW w:w="1327" w:type="dxa"/>
            <w:hideMark/>
          </w:tcPr>
          <w:p w14:paraId="45A3F907" w14:textId="77777777" w:rsidR="00A84F6E" w:rsidRPr="00C87DE6" w:rsidRDefault="00A84F6E" w:rsidP="00F070F3">
            <w:pPr>
              <w:rPr>
                <w:rFonts w:eastAsia="Times New Roman" w:cs="Calibri"/>
                <w:bCs w:val="0"/>
                <w:color w:val="auto"/>
                <w:sz w:val="18"/>
                <w:szCs w:val="18"/>
              </w:rPr>
            </w:pPr>
            <w:r w:rsidRPr="00C87DE6">
              <w:rPr>
                <w:rFonts w:eastAsia="Times New Roman" w:cs="Calibri"/>
                <w:sz w:val="18"/>
                <w:szCs w:val="18"/>
              </w:rPr>
              <w:t>Año del periodo tarifario</w:t>
            </w:r>
          </w:p>
        </w:tc>
        <w:tc>
          <w:tcPr>
            <w:tcW w:w="1929" w:type="dxa"/>
            <w:hideMark/>
          </w:tcPr>
          <w:p w14:paraId="3E956413" w14:textId="77777777" w:rsidR="00A84F6E" w:rsidRPr="00C87DE6" w:rsidRDefault="00A84F6E" w:rsidP="00F070F3">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C87DE6">
              <w:rPr>
                <w:rFonts w:eastAsia="Times New Roman" w:cs="Calibri"/>
                <w:sz w:val="18"/>
                <w:szCs w:val="18"/>
              </w:rPr>
              <w:t>Límite inferior banda indiferencia</w:t>
            </w:r>
          </w:p>
        </w:tc>
        <w:tc>
          <w:tcPr>
            <w:tcW w:w="1411" w:type="dxa"/>
            <w:hideMark/>
          </w:tcPr>
          <w:p w14:paraId="042D0147" w14:textId="77777777" w:rsidR="00A84F6E" w:rsidRPr="00C87DE6" w:rsidRDefault="00A84F6E" w:rsidP="00F070F3">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C87DE6">
              <w:rPr>
                <w:rFonts w:eastAsia="Times New Roman" w:cs="Calibri"/>
                <w:sz w:val="18"/>
                <w:szCs w:val="18"/>
              </w:rPr>
              <w:t>SAIFI_M</w:t>
            </w:r>
            <w:r w:rsidRPr="00C87DE6">
              <w:rPr>
                <w:rFonts w:eastAsia="Times New Roman" w:cs="Calibri"/>
                <w:i/>
                <w:iCs/>
                <w:sz w:val="18"/>
                <w:szCs w:val="18"/>
                <w:vertAlign w:val="subscript"/>
              </w:rPr>
              <w:t>j,t</w:t>
            </w:r>
          </w:p>
        </w:tc>
        <w:tc>
          <w:tcPr>
            <w:tcW w:w="0" w:type="auto"/>
            <w:hideMark/>
          </w:tcPr>
          <w:p w14:paraId="4D96A223" w14:textId="77777777" w:rsidR="00A84F6E" w:rsidRPr="00C87DE6" w:rsidRDefault="00A84F6E" w:rsidP="00F070F3">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C87DE6">
              <w:rPr>
                <w:rFonts w:eastAsia="Times New Roman" w:cs="Calibri"/>
                <w:sz w:val="18"/>
                <w:szCs w:val="18"/>
              </w:rPr>
              <w:t>Límite superior banda indiferencia</w:t>
            </w:r>
          </w:p>
        </w:tc>
      </w:tr>
      <w:tr w:rsidR="00DE22F7" w:rsidRPr="00C87DE6" w14:paraId="7F19E301" w14:textId="77777777" w:rsidTr="00F070F3">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327" w:type="dxa"/>
            <w:noWrap/>
          </w:tcPr>
          <w:p w14:paraId="739CCABF" w14:textId="03EC946D" w:rsidR="00DE22F7" w:rsidRPr="00C87DE6" w:rsidRDefault="00DE22F7" w:rsidP="00DE22F7">
            <w:pPr>
              <w:jc w:val="center"/>
              <w:rPr>
                <w:rFonts w:eastAsia="Times New Roman" w:cs="Calibri"/>
                <w:b w:val="0"/>
                <w:bCs w:val="0"/>
                <w:i/>
                <w:iCs/>
                <w:color w:val="auto"/>
                <w:sz w:val="18"/>
                <w:szCs w:val="18"/>
              </w:rPr>
            </w:pPr>
            <w:r w:rsidRPr="00C87DE6">
              <w:rPr>
                <w:rFonts w:eastAsia="Times New Roman" w:cs="Calibri"/>
                <w:i/>
                <w:iCs/>
                <w:sz w:val="18"/>
                <w:szCs w:val="18"/>
              </w:rPr>
              <w:t>2022</w:t>
            </w:r>
          </w:p>
        </w:tc>
        <w:tc>
          <w:tcPr>
            <w:tcW w:w="1929" w:type="dxa"/>
            <w:noWrap/>
          </w:tcPr>
          <w:p w14:paraId="611B00B0" w14:textId="08798E9D" w:rsidR="00DE22F7" w:rsidRPr="00C87DE6" w:rsidRDefault="00DE22F7" w:rsidP="00DE22F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C87DE6">
              <w:rPr>
                <w:rFonts w:eastAsia="Times New Roman" w:cs="Calibri"/>
                <w:sz w:val="18"/>
                <w:szCs w:val="18"/>
              </w:rPr>
              <w:t>8.955</w:t>
            </w:r>
          </w:p>
        </w:tc>
        <w:tc>
          <w:tcPr>
            <w:tcW w:w="1411" w:type="dxa"/>
            <w:noWrap/>
          </w:tcPr>
          <w:p w14:paraId="63F65127" w14:textId="26A1DF49" w:rsidR="00DE22F7" w:rsidRPr="00C87DE6" w:rsidRDefault="00DE22F7" w:rsidP="00DE22F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C87DE6">
              <w:rPr>
                <w:rFonts w:eastAsia="Times New Roman" w:cs="Calibri"/>
                <w:sz w:val="18"/>
                <w:szCs w:val="18"/>
              </w:rPr>
              <w:t>9.000</w:t>
            </w:r>
          </w:p>
        </w:tc>
        <w:tc>
          <w:tcPr>
            <w:tcW w:w="0" w:type="auto"/>
            <w:noWrap/>
          </w:tcPr>
          <w:p w14:paraId="7B94309D" w14:textId="117CDAB4" w:rsidR="00DE22F7" w:rsidRPr="00C87DE6" w:rsidRDefault="00DE22F7" w:rsidP="00DE22F7">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C87DE6">
              <w:rPr>
                <w:rFonts w:eastAsia="Times New Roman" w:cs="Calibri"/>
                <w:sz w:val="18"/>
                <w:szCs w:val="18"/>
              </w:rPr>
              <w:t>9.045</w:t>
            </w:r>
          </w:p>
        </w:tc>
      </w:tr>
      <w:tr w:rsidR="00A84F6E" w:rsidRPr="009E0150" w14:paraId="507F3B4F" w14:textId="77777777" w:rsidTr="008969F3">
        <w:trPr>
          <w:cnfStyle w:val="000000010000" w:firstRow="0" w:lastRow="0" w:firstColumn="0" w:lastColumn="0" w:oddVBand="0" w:evenVBand="0" w:oddHBand="0" w:evenHBand="1"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6475" w:type="dxa"/>
            <w:gridSpan w:val="4"/>
            <w:shd w:val="clear" w:color="auto" w:fill="DFF0D3" w:themeFill="accent2" w:themeFillTint="33"/>
            <w:noWrap/>
          </w:tcPr>
          <w:p w14:paraId="091046F8" w14:textId="5BF37D44" w:rsidR="00A84F6E" w:rsidRPr="00C87DE6" w:rsidRDefault="00A84F6E" w:rsidP="00DF29CB">
            <w:pPr>
              <w:jc w:val="both"/>
              <w:rPr>
                <w:rFonts w:eastAsia="Times New Roman" w:cs="Calibri"/>
                <w:b w:val="0"/>
                <w:bCs w:val="0"/>
                <w:i/>
                <w:iCs/>
                <w:sz w:val="18"/>
                <w:szCs w:val="18"/>
              </w:rPr>
            </w:pPr>
            <w:r w:rsidRPr="00C87DE6">
              <w:rPr>
                <w:rFonts w:eastAsia="Times New Roman" w:cs="Calibri"/>
                <w:i/>
                <w:iCs/>
                <w:sz w:val="18"/>
                <w:szCs w:val="18"/>
              </w:rPr>
              <w:t xml:space="preserve">Valores en cantidad de </w:t>
            </w:r>
            <w:r w:rsidR="00DD4E48" w:rsidRPr="00C87DE6">
              <w:rPr>
                <w:rFonts w:eastAsia="Times New Roman" w:cs="Calibri"/>
                <w:i/>
                <w:iCs/>
                <w:sz w:val="18"/>
                <w:szCs w:val="18"/>
              </w:rPr>
              <w:t>eventos al año</w:t>
            </w:r>
          </w:p>
        </w:tc>
      </w:tr>
    </w:tbl>
    <w:p w14:paraId="7A99D36E" w14:textId="1F77479B" w:rsidR="008C2B2E" w:rsidRPr="00EF3F98" w:rsidRDefault="008C2B2E" w:rsidP="00DF29CB">
      <w:pPr>
        <w:ind w:left="360"/>
        <w:jc w:val="both"/>
        <w:rPr>
          <w:rFonts w:ascii="Trebuchet MS" w:hAnsi="Trebuchet MS"/>
          <w:szCs w:val="24"/>
          <w:highlight w:val="cyan"/>
        </w:rPr>
      </w:pPr>
    </w:p>
    <w:p w14:paraId="496C35A3" w14:textId="2DAC7EE1" w:rsidR="00A84F6E" w:rsidRPr="00C87DE6" w:rsidRDefault="00E8280E" w:rsidP="00DF29CB">
      <w:pPr>
        <w:ind w:left="360"/>
        <w:jc w:val="both"/>
        <w:rPr>
          <w:rFonts w:ascii="Trebuchet MS" w:hAnsi="Trebuchet MS"/>
          <w:szCs w:val="24"/>
        </w:rPr>
      </w:pPr>
      <w:r w:rsidRPr="00C87DE6">
        <w:rPr>
          <w:rFonts w:ascii="Trebuchet MS" w:hAnsi="Trebuchet MS"/>
          <w:szCs w:val="24"/>
        </w:rPr>
        <w:t>Para los índices de calidad media</w:t>
      </w:r>
      <w:r w:rsidR="00570195" w:rsidRPr="00C87DE6">
        <w:rPr>
          <w:rFonts w:ascii="Trebuchet MS" w:hAnsi="Trebuchet MS"/>
          <w:szCs w:val="24"/>
        </w:rPr>
        <w:t>, s</w:t>
      </w:r>
      <w:r w:rsidR="00282DA3" w:rsidRPr="00C87DE6">
        <w:rPr>
          <w:rFonts w:ascii="Trebuchet MS" w:hAnsi="Trebuchet MS"/>
          <w:szCs w:val="24"/>
        </w:rPr>
        <w:t xml:space="preserve">i </w:t>
      </w:r>
      <w:r w:rsidR="00D36FE6" w:rsidRPr="00C87DE6">
        <w:rPr>
          <w:rFonts w:ascii="Trebuchet MS" w:hAnsi="Trebuchet MS"/>
          <w:szCs w:val="24"/>
        </w:rPr>
        <w:t xml:space="preserve">se </w:t>
      </w:r>
      <w:r w:rsidR="00282DA3" w:rsidRPr="00C87DE6">
        <w:rPr>
          <w:rFonts w:ascii="Trebuchet MS" w:hAnsi="Trebuchet MS"/>
          <w:szCs w:val="24"/>
        </w:rPr>
        <w:t>logra estar por debajo del límite inferior de la banda de indiferencia</w:t>
      </w:r>
      <w:r w:rsidR="00BA4CDC" w:rsidRPr="00C87DE6">
        <w:rPr>
          <w:rFonts w:ascii="Trebuchet MS" w:hAnsi="Trebuchet MS"/>
          <w:szCs w:val="24"/>
        </w:rPr>
        <w:t xml:space="preserve">, </w:t>
      </w:r>
      <w:r w:rsidR="00C85407" w:rsidRPr="00C87DE6">
        <w:rPr>
          <w:rFonts w:ascii="Trebuchet MS" w:hAnsi="Trebuchet MS"/>
          <w:szCs w:val="24"/>
        </w:rPr>
        <w:t>el OR</w:t>
      </w:r>
      <w:r w:rsidR="00D36FE6" w:rsidRPr="00C87DE6">
        <w:rPr>
          <w:rFonts w:ascii="Trebuchet MS" w:hAnsi="Trebuchet MS"/>
          <w:szCs w:val="24"/>
        </w:rPr>
        <w:t xml:space="preserve"> </w:t>
      </w:r>
      <w:r w:rsidR="00282DA3" w:rsidRPr="00C87DE6">
        <w:rPr>
          <w:rFonts w:ascii="Trebuchet MS" w:hAnsi="Trebuchet MS"/>
          <w:szCs w:val="24"/>
        </w:rPr>
        <w:t>obtiene un incentivo económico positivo, si se está por encima del límite superior, el incentivo será negativo, y si se está dentro de la banda de indiferencia, el incentivo es cero.</w:t>
      </w:r>
    </w:p>
    <w:p w14:paraId="44A19E96" w14:textId="0F653084" w:rsidR="008C2B2E" w:rsidRPr="002946A9" w:rsidRDefault="00DC1362" w:rsidP="00307E2B">
      <w:pPr>
        <w:spacing w:after="0"/>
        <w:ind w:left="360"/>
        <w:jc w:val="both"/>
        <w:rPr>
          <w:rFonts w:ascii="Trebuchet MS" w:hAnsi="Trebuchet MS"/>
          <w:szCs w:val="24"/>
        </w:rPr>
      </w:pPr>
      <w:r w:rsidRPr="00C87DE6">
        <w:rPr>
          <w:rFonts w:ascii="Trebuchet MS" w:hAnsi="Trebuchet MS"/>
          <w:szCs w:val="24"/>
        </w:rPr>
        <w:t>Para el caso de l</w:t>
      </w:r>
      <w:r w:rsidR="00DD02A8" w:rsidRPr="00C87DE6">
        <w:rPr>
          <w:rFonts w:ascii="Trebuchet MS" w:hAnsi="Trebuchet MS"/>
          <w:szCs w:val="24"/>
        </w:rPr>
        <w:t>as metas de calidad individual,</w:t>
      </w:r>
      <w:r w:rsidR="007E26BA" w:rsidRPr="00C87DE6">
        <w:rPr>
          <w:rFonts w:ascii="Trebuchet MS" w:hAnsi="Trebuchet MS"/>
          <w:szCs w:val="24"/>
        </w:rPr>
        <w:t xml:space="preserve"> </w:t>
      </w:r>
      <w:r w:rsidR="003E0D78" w:rsidRPr="00C87DE6">
        <w:rPr>
          <w:rFonts w:ascii="Trebuchet MS" w:hAnsi="Trebuchet MS"/>
          <w:szCs w:val="24"/>
        </w:rPr>
        <w:t xml:space="preserve">estas </w:t>
      </w:r>
      <w:r w:rsidR="007E26BA" w:rsidRPr="00C87DE6">
        <w:rPr>
          <w:rFonts w:ascii="Trebuchet MS" w:hAnsi="Trebuchet MS"/>
          <w:szCs w:val="24"/>
        </w:rPr>
        <w:t>están determinadas por los in</w:t>
      </w:r>
      <w:r w:rsidR="00DD02A8" w:rsidRPr="00C87DE6">
        <w:rPr>
          <w:rFonts w:ascii="Trebuchet MS" w:hAnsi="Trebuchet MS"/>
          <w:szCs w:val="24"/>
        </w:rPr>
        <w:t>dicadores de calidad</w:t>
      </w:r>
      <w:r w:rsidR="0082263D" w:rsidRPr="00C87DE6">
        <w:rPr>
          <w:rFonts w:ascii="Trebuchet MS" w:hAnsi="Trebuchet MS"/>
          <w:szCs w:val="24"/>
        </w:rPr>
        <w:t xml:space="preserve"> </w:t>
      </w:r>
      <w:r w:rsidR="00DD02A8" w:rsidRPr="00C87DE6">
        <w:rPr>
          <w:rFonts w:ascii="Trebuchet MS" w:hAnsi="Trebuchet MS"/>
          <w:szCs w:val="24"/>
        </w:rPr>
        <w:t xml:space="preserve">mínima garantizada que debe recibir cada usuario, </w:t>
      </w:r>
      <w:r w:rsidR="00DD02A8" w:rsidRPr="00C87DE6">
        <w:rPr>
          <w:rFonts w:ascii="Trebuchet MS" w:hAnsi="Trebuchet MS"/>
          <w:i/>
        </w:rPr>
        <w:t>DIUG</w:t>
      </w:r>
      <w:r w:rsidR="00DD02A8" w:rsidRPr="00C87DE6">
        <w:rPr>
          <w:rFonts w:ascii="Trebuchet MS" w:hAnsi="Trebuchet MS"/>
          <w:i/>
          <w:vertAlign w:val="subscript"/>
        </w:rPr>
        <w:t>j,n,q</w:t>
      </w:r>
      <w:r w:rsidR="00DD02A8" w:rsidRPr="00C87DE6">
        <w:rPr>
          <w:rFonts w:ascii="Trebuchet MS" w:hAnsi="Trebuchet MS"/>
        </w:rPr>
        <w:t xml:space="preserve"> y </w:t>
      </w:r>
      <w:r w:rsidR="00DD02A8" w:rsidRPr="00C87DE6">
        <w:rPr>
          <w:rFonts w:ascii="Trebuchet MS" w:hAnsi="Trebuchet MS"/>
          <w:i/>
        </w:rPr>
        <w:t>FIUG</w:t>
      </w:r>
      <w:r w:rsidR="00DD02A8" w:rsidRPr="00C87DE6">
        <w:rPr>
          <w:rFonts w:ascii="Trebuchet MS" w:hAnsi="Trebuchet MS"/>
          <w:i/>
          <w:vertAlign w:val="subscript"/>
        </w:rPr>
        <w:t>j,n,q</w:t>
      </w:r>
      <w:r w:rsidR="00DD02A8" w:rsidRPr="00C87DE6">
        <w:rPr>
          <w:rFonts w:ascii="Trebuchet MS" w:hAnsi="Trebuchet MS"/>
          <w:szCs w:val="24"/>
        </w:rPr>
        <w:t>,</w:t>
      </w:r>
      <w:r w:rsidR="003E0D78" w:rsidRPr="00C87DE6">
        <w:rPr>
          <w:rFonts w:ascii="Trebuchet MS" w:hAnsi="Trebuchet MS"/>
          <w:szCs w:val="24"/>
        </w:rPr>
        <w:t xml:space="preserve"> los cuales</w:t>
      </w:r>
      <w:r w:rsidR="004F17C2" w:rsidRPr="00C87DE6">
        <w:rPr>
          <w:rFonts w:ascii="Trebuchet MS" w:hAnsi="Trebuchet MS"/>
          <w:szCs w:val="24"/>
        </w:rPr>
        <w:t>,</w:t>
      </w:r>
      <w:r w:rsidR="003E0D78" w:rsidRPr="00C87DE6">
        <w:rPr>
          <w:rFonts w:ascii="Trebuchet MS" w:hAnsi="Trebuchet MS"/>
          <w:szCs w:val="24"/>
        </w:rPr>
        <w:t xml:space="preserve"> se presentan en la </w:t>
      </w:r>
      <w:r w:rsidR="003E0D78" w:rsidRPr="00C87DE6">
        <w:rPr>
          <w:rFonts w:ascii="Trebuchet MS" w:hAnsi="Trebuchet MS"/>
          <w:szCs w:val="24"/>
        </w:rPr>
        <w:fldChar w:fldCharType="begin"/>
      </w:r>
      <w:r w:rsidR="003E0D78" w:rsidRPr="00C87DE6">
        <w:rPr>
          <w:rFonts w:ascii="Trebuchet MS" w:hAnsi="Trebuchet MS"/>
          <w:szCs w:val="24"/>
        </w:rPr>
        <w:instrText xml:space="preserve"> REF _Ref67386527 \h </w:instrText>
      </w:r>
      <w:r w:rsidR="00DF29CB" w:rsidRPr="00C87DE6">
        <w:rPr>
          <w:rFonts w:ascii="Trebuchet MS" w:hAnsi="Trebuchet MS"/>
          <w:szCs w:val="24"/>
        </w:rPr>
        <w:instrText xml:space="preserve"> \* MERGEFORMAT </w:instrText>
      </w:r>
      <w:r w:rsidR="003E0D78" w:rsidRPr="00C87DE6">
        <w:rPr>
          <w:rFonts w:ascii="Trebuchet MS" w:hAnsi="Trebuchet MS"/>
          <w:szCs w:val="24"/>
        </w:rPr>
      </w:r>
      <w:r w:rsidR="003E0D78" w:rsidRPr="00C87DE6">
        <w:rPr>
          <w:rFonts w:ascii="Trebuchet MS" w:hAnsi="Trebuchet MS"/>
          <w:szCs w:val="24"/>
        </w:rPr>
        <w:fldChar w:fldCharType="separate"/>
      </w:r>
      <w:r w:rsidR="00C944CB" w:rsidRPr="00DE37D8">
        <w:rPr>
          <w:rFonts w:ascii="Trebuchet MS" w:hAnsi="Trebuchet MS"/>
        </w:rPr>
        <w:t xml:space="preserve">Tabla </w:t>
      </w:r>
      <w:r w:rsidR="00C944CB">
        <w:rPr>
          <w:rFonts w:ascii="Trebuchet MS" w:hAnsi="Trebuchet MS"/>
          <w:noProof/>
        </w:rPr>
        <w:t>2</w:t>
      </w:r>
      <w:r w:rsidR="00C944CB" w:rsidRPr="00DE37D8">
        <w:rPr>
          <w:rFonts w:ascii="Trebuchet MS" w:hAnsi="Trebuchet MS"/>
          <w:noProof/>
        </w:rPr>
        <w:t>.</w:t>
      </w:r>
      <w:r w:rsidR="00C944CB">
        <w:rPr>
          <w:rFonts w:ascii="Trebuchet MS" w:hAnsi="Trebuchet MS"/>
          <w:noProof/>
        </w:rPr>
        <w:t>14</w:t>
      </w:r>
      <w:r w:rsidR="003E0D78" w:rsidRPr="00C87DE6">
        <w:rPr>
          <w:rFonts w:ascii="Trebuchet MS" w:hAnsi="Trebuchet MS"/>
          <w:szCs w:val="24"/>
        </w:rPr>
        <w:fldChar w:fldCharType="end"/>
      </w:r>
      <w:r w:rsidR="003E0D78" w:rsidRPr="00C87DE6">
        <w:rPr>
          <w:rFonts w:ascii="Trebuchet MS" w:hAnsi="Trebuchet MS"/>
          <w:szCs w:val="24"/>
        </w:rPr>
        <w:t xml:space="preserve"> y la </w:t>
      </w:r>
      <w:r w:rsidR="003E0D78" w:rsidRPr="00C87DE6">
        <w:rPr>
          <w:rFonts w:ascii="Trebuchet MS" w:hAnsi="Trebuchet MS"/>
          <w:szCs w:val="24"/>
        </w:rPr>
        <w:fldChar w:fldCharType="begin"/>
      </w:r>
      <w:r w:rsidR="003E0D78" w:rsidRPr="00C87DE6">
        <w:rPr>
          <w:rFonts w:ascii="Trebuchet MS" w:hAnsi="Trebuchet MS"/>
          <w:szCs w:val="24"/>
        </w:rPr>
        <w:instrText xml:space="preserve"> REF _Ref66961172 \h </w:instrText>
      </w:r>
      <w:r w:rsidR="00DF29CB" w:rsidRPr="00C87DE6">
        <w:rPr>
          <w:rFonts w:ascii="Trebuchet MS" w:hAnsi="Trebuchet MS"/>
          <w:szCs w:val="24"/>
        </w:rPr>
        <w:instrText xml:space="preserve"> \* MERGEFORMAT </w:instrText>
      </w:r>
      <w:r w:rsidR="003E0D78" w:rsidRPr="00C87DE6">
        <w:rPr>
          <w:rFonts w:ascii="Trebuchet MS" w:hAnsi="Trebuchet MS"/>
          <w:szCs w:val="24"/>
        </w:rPr>
      </w:r>
      <w:r w:rsidR="003E0D78" w:rsidRPr="00C87DE6">
        <w:rPr>
          <w:rFonts w:ascii="Trebuchet MS" w:hAnsi="Trebuchet MS"/>
          <w:szCs w:val="24"/>
        </w:rPr>
        <w:fldChar w:fldCharType="separate"/>
      </w:r>
      <w:r w:rsidR="00C944CB" w:rsidRPr="00B318D6">
        <w:rPr>
          <w:rFonts w:ascii="Trebuchet MS" w:hAnsi="Trebuchet MS"/>
        </w:rPr>
        <w:t xml:space="preserve">Tabla </w:t>
      </w:r>
      <w:r w:rsidR="00C944CB">
        <w:rPr>
          <w:rFonts w:ascii="Trebuchet MS" w:hAnsi="Trebuchet MS"/>
          <w:noProof/>
        </w:rPr>
        <w:t>2</w:t>
      </w:r>
      <w:r w:rsidR="00C944CB" w:rsidRPr="00B318D6">
        <w:rPr>
          <w:rFonts w:ascii="Trebuchet MS" w:hAnsi="Trebuchet MS"/>
          <w:noProof/>
        </w:rPr>
        <w:t>.</w:t>
      </w:r>
      <w:r w:rsidR="00C944CB">
        <w:rPr>
          <w:rFonts w:ascii="Trebuchet MS" w:hAnsi="Trebuchet MS"/>
          <w:noProof/>
        </w:rPr>
        <w:t>15</w:t>
      </w:r>
      <w:r w:rsidR="003E0D78" w:rsidRPr="00C87DE6">
        <w:rPr>
          <w:rFonts w:ascii="Trebuchet MS" w:hAnsi="Trebuchet MS"/>
          <w:szCs w:val="24"/>
        </w:rPr>
        <w:fldChar w:fldCharType="end"/>
      </w:r>
      <w:r w:rsidR="003E0D78" w:rsidRPr="00C87DE6">
        <w:rPr>
          <w:rFonts w:ascii="Trebuchet MS" w:hAnsi="Trebuchet MS"/>
          <w:szCs w:val="24"/>
        </w:rPr>
        <w:t>.</w:t>
      </w:r>
      <w:r w:rsidR="002442D4" w:rsidRPr="00C87DE6">
        <w:rPr>
          <w:rFonts w:ascii="Trebuchet MS" w:hAnsi="Trebuchet MS"/>
          <w:szCs w:val="24"/>
        </w:rPr>
        <w:t xml:space="preserve"> Si </w:t>
      </w:r>
      <w:r w:rsidR="003B0ADC" w:rsidRPr="00C87DE6">
        <w:rPr>
          <w:rFonts w:ascii="Trebuchet MS" w:hAnsi="Trebuchet MS"/>
          <w:szCs w:val="24"/>
        </w:rPr>
        <w:t xml:space="preserve">a un </w:t>
      </w:r>
      <w:r w:rsidR="002442D4" w:rsidRPr="00C87DE6">
        <w:rPr>
          <w:rFonts w:ascii="Trebuchet MS" w:hAnsi="Trebuchet MS"/>
          <w:szCs w:val="24"/>
        </w:rPr>
        <w:t>usuario</w:t>
      </w:r>
      <w:r w:rsidR="003B0ADC" w:rsidRPr="00C87DE6">
        <w:rPr>
          <w:rFonts w:ascii="Trebuchet MS" w:hAnsi="Trebuchet MS"/>
          <w:szCs w:val="24"/>
        </w:rPr>
        <w:t xml:space="preserve"> se le entrega un indicador por encima de los índices de calidad mínima garantizada, </w:t>
      </w:r>
      <w:r w:rsidR="00331172" w:rsidRPr="00C87DE6">
        <w:rPr>
          <w:rFonts w:ascii="Trebuchet MS" w:hAnsi="Trebuchet MS"/>
          <w:szCs w:val="24"/>
        </w:rPr>
        <w:t xml:space="preserve">el usuario </w:t>
      </w:r>
      <w:r w:rsidR="00603561" w:rsidRPr="00C87DE6">
        <w:rPr>
          <w:rFonts w:ascii="Trebuchet MS" w:hAnsi="Trebuchet MS"/>
          <w:szCs w:val="24"/>
        </w:rPr>
        <w:t xml:space="preserve">deberá ser compensado </w:t>
      </w:r>
      <w:r w:rsidR="005374D2" w:rsidRPr="00C87DE6">
        <w:rPr>
          <w:rFonts w:ascii="Trebuchet MS" w:hAnsi="Trebuchet MS"/>
          <w:szCs w:val="24"/>
        </w:rPr>
        <w:t>si se cumple la condici</w:t>
      </w:r>
      <w:r w:rsidR="004C5878" w:rsidRPr="00C87DE6">
        <w:rPr>
          <w:rFonts w:ascii="Trebuchet MS" w:hAnsi="Trebuchet MS"/>
          <w:szCs w:val="24"/>
        </w:rPr>
        <w:t xml:space="preserve">ón </w:t>
      </w:r>
      <w:r w:rsidR="00631EC4" w:rsidRPr="00C87DE6">
        <w:rPr>
          <w:rFonts w:ascii="Trebuchet MS" w:hAnsi="Trebuchet MS"/>
          <w:szCs w:val="24"/>
        </w:rPr>
        <w:t>definid</w:t>
      </w:r>
      <w:r w:rsidR="005374D2" w:rsidRPr="00C87DE6">
        <w:rPr>
          <w:rFonts w:ascii="Trebuchet MS" w:hAnsi="Trebuchet MS"/>
          <w:szCs w:val="24"/>
        </w:rPr>
        <w:t xml:space="preserve">a </w:t>
      </w:r>
      <w:r w:rsidR="00631EC4" w:rsidRPr="00C87DE6">
        <w:rPr>
          <w:rFonts w:ascii="Trebuchet MS" w:hAnsi="Trebuchet MS"/>
          <w:szCs w:val="24"/>
        </w:rPr>
        <w:t xml:space="preserve">en el numeral </w:t>
      </w:r>
      <w:r w:rsidR="005159AA" w:rsidRPr="00C87DE6">
        <w:rPr>
          <w:rFonts w:ascii="Trebuchet MS" w:hAnsi="Trebuchet MS"/>
          <w:szCs w:val="24"/>
        </w:rPr>
        <w:t>5.2.4</w:t>
      </w:r>
      <w:r w:rsidR="005A7092" w:rsidRPr="00C87DE6">
        <w:rPr>
          <w:rFonts w:ascii="Trebuchet MS" w:hAnsi="Trebuchet MS"/>
          <w:szCs w:val="24"/>
        </w:rPr>
        <w:t>.3 de la resolución CREG 015 del 2018.</w:t>
      </w:r>
      <w:r w:rsidR="001869BD" w:rsidRPr="002946A9">
        <w:rPr>
          <w:rFonts w:ascii="Trebuchet MS" w:hAnsi="Trebuchet MS"/>
          <w:szCs w:val="24"/>
        </w:rPr>
        <w:t xml:space="preserve"> </w:t>
      </w:r>
      <w:r w:rsidR="003E0D78" w:rsidRPr="002946A9">
        <w:rPr>
          <w:rFonts w:ascii="Trebuchet MS" w:hAnsi="Trebuchet MS"/>
          <w:szCs w:val="24"/>
        </w:rPr>
        <w:t xml:space="preserve"> </w:t>
      </w:r>
    </w:p>
    <w:p w14:paraId="545C7AB4" w14:textId="6AC92C9E" w:rsidR="008C2B2E" w:rsidRPr="00F4788B" w:rsidRDefault="008C2B2E" w:rsidP="00DF29CB">
      <w:pPr>
        <w:numPr>
          <w:ilvl w:val="2"/>
          <w:numId w:val="2"/>
        </w:numPr>
        <w:jc w:val="both"/>
        <w:outlineLvl w:val="2"/>
        <w:rPr>
          <w:rFonts w:ascii="Trebuchet MS" w:hAnsi="Trebuchet MS"/>
          <w:b/>
          <w:bCs/>
          <w:szCs w:val="24"/>
        </w:rPr>
      </w:pPr>
      <w:bookmarkStart w:id="173" w:name="_Toc131109354"/>
      <w:r w:rsidRPr="00F4788B">
        <w:rPr>
          <w:rFonts w:ascii="Trebuchet MS" w:hAnsi="Trebuchet MS"/>
          <w:b/>
          <w:bCs/>
          <w:szCs w:val="24"/>
        </w:rPr>
        <w:t xml:space="preserve">Metas de índices de pérdidas aprobados para el año </w:t>
      </w:r>
      <w:r w:rsidR="007B7AEB" w:rsidRPr="00F4788B">
        <w:rPr>
          <w:rFonts w:ascii="Trebuchet MS" w:hAnsi="Trebuchet MS"/>
          <w:b/>
          <w:bCs/>
          <w:szCs w:val="24"/>
        </w:rPr>
        <w:t>2022</w:t>
      </w:r>
      <w:bookmarkEnd w:id="173"/>
    </w:p>
    <w:p w14:paraId="7ADC2719" w14:textId="41C79D08" w:rsidR="008C2B2E" w:rsidRPr="00F4788B" w:rsidRDefault="00FC56BB" w:rsidP="00DF29CB">
      <w:pPr>
        <w:ind w:left="360"/>
        <w:jc w:val="both"/>
        <w:rPr>
          <w:rFonts w:ascii="Trebuchet MS" w:hAnsi="Trebuchet MS"/>
          <w:szCs w:val="24"/>
        </w:rPr>
      </w:pPr>
      <w:r w:rsidRPr="00F4788B">
        <w:rPr>
          <w:rFonts w:ascii="Trebuchet MS" w:hAnsi="Trebuchet MS"/>
          <w:szCs w:val="24"/>
        </w:rPr>
        <w:t xml:space="preserve">Como se mencionó en el numeral </w:t>
      </w:r>
      <w:r w:rsidR="00E905B5" w:rsidRPr="00F4788B">
        <w:rPr>
          <w:rFonts w:ascii="Trebuchet MS" w:hAnsi="Trebuchet MS"/>
          <w:szCs w:val="24"/>
        </w:rPr>
        <w:fldChar w:fldCharType="begin"/>
      </w:r>
      <w:r w:rsidR="00E905B5" w:rsidRPr="00F4788B">
        <w:rPr>
          <w:rFonts w:ascii="Trebuchet MS" w:hAnsi="Trebuchet MS"/>
          <w:szCs w:val="24"/>
        </w:rPr>
        <w:instrText xml:space="preserve"> REF _Ref67387256 \r \h </w:instrText>
      </w:r>
      <w:r w:rsidR="00DF29CB" w:rsidRPr="00F4788B">
        <w:rPr>
          <w:rFonts w:ascii="Trebuchet MS" w:hAnsi="Trebuchet MS"/>
          <w:szCs w:val="24"/>
        </w:rPr>
        <w:instrText xml:space="preserve"> \* MERGEFORMAT </w:instrText>
      </w:r>
      <w:r w:rsidR="00E905B5" w:rsidRPr="00F4788B">
        <w:rPr>
          <w:rFonts w:ascii="Trebuchet MS" w:hAnsi="Trebuchet MS"/>
          <w:szCs w:val="24"/>
        </w:rPr>
      </w:r>
      <w:r w:rsidR="00E905B5" w:rsidRPr="00F4788B">
        <w:rPr>
          <w:rFonts w:ascii="Trebuchet MS" w:hAnsi="Trebuchet MS"/>
          <w:szCs w:val="24"/>
        </w:rPr>
        <w:fldChar w:fldCharType="separate"/>
      </w:r>
      <w:r w:rsidR="00C944CB">
        <w:rPr>
          <w:rFonts w:ascii="Trebuchet MS" w:hAnsi="Trebuchet MS"/>
          <w:szCs w:val="24"/>
        </w:rPr>
        <w:t>2.3.9</w:t>
      </w:r>
      <w:r w:rsidR="00E905B5" w:rsidRPr="00F4788B">
        <w:rPr>
          <w:rFonts w:ascii="Trebuchet MS" w:hAnsi="Trebuchet MS"/>
          <w:szCs w:val="24"/>
        </w:rPr>
        <w:fldChar w:fldCharType="end"/>
      </w:r>
      <w:r w:rsidRPr="00F4788B">
        <w:rPr>
          <w:rFonts w:ascii="Trebuchet MS" w:hAnsi="Trebuchet MS"/>
          <w:szCs w:val="24"/>
        </w:rPr>
        <w:t>, EPM se encuentra dentro de los índices de pérdidas eficientes y no est</w:t>
      </w:r>
      <w:r w:rsidR="00E905B5" w:rsidRPr="00F4788B">
        <w:rPr>
          <w:rFonts w:ascii="Trebuchet MS" w:hAnsi="Trebuchet MS"/>
          <w:szCs w:val="24"/>
        </w:rPr>
        <w:t>á</w:t>
      </w:r>
      <w:r w:rsidRPr="00F4788B">
        <w:rPr>
          <w:rFonts w:ascii="Trebuchet MS" w:hAnsi="Trebuchet MS"/>
          <w:szCs w:val="24"/>
        </w:rPr>
        <w:t xml:space="preserve"> en la obligación de presentar plan de reducción de pérdidas. En la</w:t>
      </w:r>
      <w:r w:rsidR="00CE5559" w:rsidRPr="00F4788B">
        <w:rPr>
          <w:rFonts w:ascii="Trebuchet MS" w:hAnsi="Trebuchet MS"/>
          <w:szCs w:val="24"/>
        </w:rPr>
        <w:t xml:space="preserve"> </w:t>
      </w:r>
      <w:r w:rsidR="00CE5559" w:rsidRPr="00F4788B">
        <w:rPr>
          <w:rFonts w:ascii="Trebuchet MS" w:hAnsi="Trebuchet MS"/>
          <w:szCs w:val="24"/>
        </w:rPr>
        <w:fldChar w:fldCharType="begin"/>
      </w:r>
      <w:r w:rsidR="00CE5559" w:rsidRPr="00F4788B">
        <w:rPr>
          <w:rFonts w:ascii="Trebuchet MS" w:hAnsi="Trebuchet MS"/>
          <w:szCs w:val="24"/>
        </w:rPr>
        <w:instrText xml:space="preserve"> REF _Ref67387409 \h </w:instrText>
      </w:r>
      <w:r w:rsidR="00DF29CB" w:rsidRPr="00F4788B">
        <w:rPr>
          <w:rFonts w:ascii="Trebuchet MS" w:hAnsi="Trebuchet MS"/>
          <w:szCs w:val="24"/>
        </w:rPr>
        <w:instrText xml:space="preserve"> \* MERGEFORMAT </w:instrText>
      </w:r>
      <w:r w:rsidR="00CE5559" w:rsidRPr="00F4788B">
        <w:rPr>
          <w:rFonts w:ascii="Trebuchet MS" w:hAnsi="Trebuchet MS"/>
          <w:szCs w:val="24"/>
        </w:rPr>
      </w:r>
      <w:r w:rsidR="00CE5559" w:rsidRPr="00F4788B">
        <w:rPr>
          <w:rFonts w:ascii="Trebuchet MS" w:hAnsi="Trebuchet MS"/>
          <w:szCs w:val="24"/>
        </w:rPr>
        <w:fldChar w:fldCharType="separate"/>
      </w:r>
      <w:r w:rsidR="00C944CB" w:rsidRPr="00F4788B">
        <w:rPr>
          <w:rFonts w:ascii="Trebuchet MS" w:hAnsi="Trebuchet MS"/>
        </w:rPr>
        <w:t xml:space="preserve">Tabla </w:t>
      </w:r>
      <w:r w:rsidR="00C944CB">
        <w:rPr>
          <w:rFonts w:ascii="Trebuchet MS" w:hAnsi="Trebuchet MS"/>
          <w:noProof/>
        </w:rPr>
        <w:t>2</w:t>
      </w:r>
      <w:r w:rsidR="00C944CB" w:rsidRPr="00F4788B">
        <w:rPr>
          <w:rFonts w:ascii="Trebuchet MS" w:hAnsi="Trebuchet MS"/>
          <w:noProof/>
        </w:rPr>
        <w:t>.</w:t>
      </w:r>
      <w:r w:rsidR="00C944CB">
        <w:rPr>
          <w:rFonts w:ascii="Trebuchet MS" w:hAnsi="Trebuchet MS"/>
          <w:noProof/>
        </w:rPr>
        <w:t>22</w:t>
      </w:r>
      <w:r w:rsidR="00CE5559" w:rsidRPr="00F4788B">
        <w:rPr>
          <w:rFonts w:ascii="Trebuchet MS" w:hAnsi="Trebuchet MS"/>
          <w:szCs w:val="24"/>
        </w:rPr>
        <w:fldChar w:fldCharType="end"/>
      </w:r>
      <w:r w:rsidR="00CE5559" w:rsidRPr="00F4788B">
        <w:rPr>
          <w:rFonts w:ascii="Trebuchet MS" w:hAnsi="Trebuchet MS"/>
          <w:szCs w:val="24"/>
        </w:rPr>
        <w:t xml:space="preserve"> </w:t>
      </w:r>
      <w:r w:rsidRPr="00F4788B">
        <w:rPr>
          <w:rFonts w:ascii="Trebuchet MS" w:hAnsi="Trebuchet MS"/>
          <w:szCs w:val="24"/>
        </w:rPr>
        <w:t>se</w:t>
      </w:r>
      <w:r w:rsidR="00CE5559" w:rsidRPr="00F4788B">
        <w:rPr>
          <w:rFonts w:ascii="Trebuchet MS" w:hAnsi="Trebuchet MS"/>
          <w:szCs w:val="24"/>
        </w:rPr>
        <w:t xml:space="preserve"> presentan</w:t>
      </w:r>
      <w:r w:rsidRPr="00F4788B">
        <w:rPr>
          <w:rFonts w:ascii="Trebuchet MS" w:hAnsi="Trebuchet MS"/>
          <w:szCs w:val="24"/>
        </w:rPr>
        <w:t xml:space="preserve"> los indicadores de pérdidas eficientes aprobados para el </w:t>
      </w:r>
      <w:r w:rsidR="00DF4717" w:rsidRPr="00F4788B">
        <w:rPr>
          <w:rFonts w:ascii="Trebuchet MS" w:hAnsi="Trebuchet MS"/>
          <w:szCs w:val="24"/>
        </w:rPr>
        <w:t xml:space="preserve">año </w:t>
      </w:r>
      <w:r w:rsidR="007B7AEB" w:rsidRPr="00F4788B">
        <w:rPr>
          <w:rFonts w:ascii="Trebuchet MS" w:hAnsi="Trebuchet MS"/>
          <w:szCs w:val="24"/>
        </w:rPr>
        <w:t>2022</w:t>
      </w:r>
      <w:r w:rsidR="00DF4717" w:rsidRPr="00F4788B">
        <w:rPr>
          <w:rFonts w:ascii="Trebuchet MS" w:hAnsi="Trebuchet MS"/>
          <w:szCs w:val="24"/>
        </w:rPr>
        <w:t>.</w:t>
      </w:r>
    </w:p>
    <w:p w14:paraId="06DFD24D" w14:textId="77777777" w:rsidR="001E6270" w:rsidRPr="00F4788B" w:rsidRDefault="001E6270" w:rsidP="006D6B78">
      <w:pPr>
        <w:spacing w:after="0"/>
        <w:ind w:left="360"/>
        <w:jc w:val="both"/>
        <w:rPr>
          <w:rFonts w:ascii="Trebuchet MS" w:hAnsi="Trebuchet MS"/>
          <w:szCs w:val="24"/>
        </w:rPr>
      </w:pPr>
    </w:p>
    <w:p w14:paraId="206779A0" w14:textId="5C5254F9" w:rsidR="001E6270" w:rsidRPr="00F4788B" w:rsidRDefault="001E6270" w:rsidP="00DF29CB">
      <w:pPr>
        <w:ind w:left="1416" w:hanging="1056"/>
        <w:jc w:val="both"/>
        <w:rPr>
          <w:rFonts w:ascii="Trebuchet MS" w:hAnsi="Trebuchet MS"/>
        </w:rPr>
      </w:pPr>
      <w:bookmarkStart w:id="174" w:name="_Ref67387409"/>
      <w:bookmarkStart w:id="175" w:name="_Toc131032790"/>
      <w:r w:rsidRPr="00F4788B">
        <w:rPr>
          <w:rFonts w:ascii="Trebuchet MS" w:hAnsi="Trebuchet MS"/>
        </w:rPr>
        <w:t xml:space="preserve">Tabla </w:t>
      </w:r>
      <w:r w:rsidRPr="00F4788B">
        <w:rPr>
          <w:rFonts w:ascii="Trebuchet MS" w:hAnsi="Trebuchet MS"/>
        </w:rPr>
        <w:fldChar w:fldCharType="begin"/>
      </w:r>
      <w:r w:rsidRPr="00F4788B">
        <w:rPr>
          <w:rFonts w:ascii="Trebuchet MS" w:hAnsi="Trebuchet MS"/>
        </w:rPr>
        <w:instrText xml:space="preserve"> STYLEREF 1 \s </w:instrText>
      </w:r>
      <w:r w:rsidRPr="00F4788B">
        <w:rPr>
          <w:rFonts w:ascii="Trebuchet MS" w:hAnsi="Trebuchet MS"/>
        </w:rPr>
        <w:fldChar w:fldCharType="separate"/>
      </w:r>
      <w:r w:rsidR="00C944CB">
        <w:rPr>
          <w:rFonts w:ascii="Trebuchet MS" w:hAnsi="Trebuchet MS"/>
          <w:noProof/>
        </w:rPr>
        <w:t>2</w:t>
      </w:r>
      <w:r w:rsidRPr="00F4788B">
        <w:rPr>
          <w:rFonts w:ascii="Trebuchet MS" w:hAnsi="Trebuchet MS"/>
        </w:rPr>
        <w:fldChar w:fldCharType="end"/>
      </w:r>
      <w:r w:rsidRPr="00F4788B">
        <w:rPr>
          <w:rFonts w:ascii="Trebuchet MS" w:hAnsi="Trebuchet MS"/>
        </w:rPr>
        <w:t>.</w:t>
      </w:r>
      <w:r w:rsidRPr="00F4788B">
        <w:rPr>
          <w:rFonts w:ascii="Trebuchet MS" w:hAnsi="Trebuchet MS"/>
        </w:rPr>
        <w:fldChar w:fldCharType="begin"/>
      </w:r>
      <w:r w:rsidRPr="00F4788B">
        <w:rPr>
          <w:rFonts w:ascii="Trebuchet MS" w:hAnsi="Trebuchet MS"/>
        </w:rPr>
        <w:instrText xml:space="preserve"> SEQ Tabla \* ARABIC \s 1 </w:instrText>
      </w:r>
      <w:r w:rsidRPr="00F4788B">
        <w:rPr>
          <w:rFonts w:ascii="Trebuchet MS" w:hAnsi="Trebuchet MS"/>
        </w:rPr>
        <w:fldChar w:fldCharType="separate"/>
      </w:r>
      <w:r w:rsidR="00C944CB">
        <w:rPr>
          <w:rFonts w:ascii="Trebuchet MS" w:hAnsi="Trebuchet MS"/>
          <w:noProof/>
        </w:rPr>
        <w:t>22</w:t>
      </w:r>
      <w:r w:rsidRPr="00F4788B">
        <w:rPr>
          <w:rFonts w:ascii="Trebuchet MS" w:hAnsi="Trebuchet MS"/>
        </w:rPr>
        <w:fldChar w:fldCharType="end"/>
      </w:r>
      <w:bookmarkEnd w:id="174"/>
      <w:r w:rsidRPr="00F4788B">
        <w:rPr>
          <w:rFonts w:ascii="Trebuchet MS" w:hAnsi="Trebuchet MS"/>
        </w:rPr>
        <w:t xml:space="preserve">  </w:t>
      </w:r>
      <w:r w:rsidR="00AC7977" w:rsidRPr="00F4788B">
        <w:rPr>
          <w:rFonts w:ascii="Trebuchet MS" w:hAnsi="Trebuchet MS"/>
        </w:rPr>
        <w:t xml:space="preserve">Índices de pérdidas eficientes para EPM </w:t>
      </w:r>
      <w:r w:rsidRPr="00F4788B">
        <w:rPr>
          <w:rFonts w:ascii="Trebuchet MS" w:hAnsi="Trebuchet MS"/>
        </w:rPr>
        <w:t xml:space="preserve">año </w:t>
      </w:r>
      <w:r w:rsidR="007B7AEB" w:rsidRPr="00F4788B">
        <w:rPr>
          <w:rFonts w:ascii="Trebuchet MS" w:hAnsi="Trebuchet MS"/>
        </w:rPr>
        <w:t>2022</w:t>
      </w:r>
      <w:r w:rsidRPr="00F4788B">
        <w:rPr>
          <w:rFonts w:ascii="Trebuchet MS" w:hAnsi="Trebuchet MS"/>
        </w:rPr>
        <w:t>.</w:t>
      </w:r>
      <w:bookmarkEnd w:id="175"/>
    </w:p>
    <w:tbl>
      <w:tblPr>
        <w:tblStyle w:val="Tablaconcuadrcula5oscura-nfasis1"/>
        <w:tblW w:w="0" w:type="auto"/>
        <w:jc w:val="center"/>
        <w:tblLook w:val="04A0" w:firstRow="1" w:lastRow="0" w:firstColumn="1" w:lastColumn="0" w:noHBand="0" w:noVBand="1"/>
      </w:tblPr>
      <w:tblGrid>
        <w:gridCol w:w="2020"/>
        <w:gridCol w:w="1980"/>
      </w:tblGrid>
      <w:tr w:rsidR="001E6270" w:rsidRPr="00F4788B" w14:paraId="7CDE2869" w14:textId="77777777" w:rsidTr="001A4040">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5D0D5A9F" w14:textId="77777777" w:rsidR="001E6270" w:rsidRPr="00F4788B" w:rsidRDefault="001E6270" w:rsidP="001A4040">
            <w:pPr>
              <w:rPr>
                <w:color w:val="auto"/>
                <w:sz w:val="20"/>
                <w:szCs w:val="20"/>
              </w:rPr>
            </w:pPr>
            <w:r w:rsidRPr="00F4788B">
              <w:rPr>
                <w:sz w:val="20"/>
                <w:szCs w:val="20"/>
              </w:rPr>
              <w:t>Variable</w:t>
            </w:r>
          </w:p>
        </w:tc>
        <w:tc>
          <w:tcPr>
            <w:tcW w:w="1980" w:type="dxa"/>
            <w:hideMark/>
          </w:tcPr>
          <w:p w14:paraId="645A7242" w14:textId="77777777" w:rsidR="001E6270" w:rsidRPr="00F4788B" w:rsidRDefault="001E6270" w:rsidP="001A404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F4788B">
              <w:rPr>
                <w:sz w:val="20"/>
                <w:szCs w:val="20"/>
              </w:rPr>
              <w:t>Valor</w:t>
            </w:r>
          </w:p>
        </w:tc>
      </w:tr>
      <w:tr w:rsidR="001E6270" w:rsidRPr="00F4788B" w14:paraId="0D4A8C20" w14:textId="77777777" w:rsidTr="001A404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020" w:type="dxa"/>
            <w:noWrap/>
            <w:hideMark/>
          </w:tcPr>
          <w:p w14:paraId="71C14D8F" w14:textId="77777777" w:rsidR="001E6270" w:rsidRPr="00F4788B" w:rsidRDefault="001E6270" w:rsidP="001A4040">
            <w:pPr>
              <w:jc w:val="center"/>
              <w:rPr>
                <w:i/>
                <w:iCs/>
                <w:color w:val="auto"/>
                <w:sz w:val="20"/>
                <w:szCs w:val="20"/>
              </w:rPr>
            </w:pPr>
            <w:r w:rsidRPr="00F4788B">
              <w:rPr>
                <w:i/>
                <w:iCs/>
                <w:sz w:val="20"/>
                <w:szCs w:val="20"/>
              </w:rPr>
              <w:t>Pe</w:t>
            </w:r>
            <w:r w:rsidRPr="00F4788B">
              <w:rPr>
                <w:i/>
                <w:iCs/>
                <w:sz w:val="20"/>
                <w:szCs w:val="20"/>
                <w:vertAlign w:val="subscript"/>
              </w:rPr>
              <w:t>j,3</w:t>
            </w:r>
          </w:p>
        </w:tc>
        <w:tc>
          <w:tcPr>
            <w:tcW w:w="1980" w:type="dxa"/>
            <w:noWrap/>
            <w:hideMark/>
          </w:tcPr>
          <w:p w14:paraId="1FC96C40" w14:textId="77777777" w:rsidR="001E6270" w:rsidRPr="002F1FFA" w:rsidRDefault="001E6270" w:rsidP="001A4040">
            <w:pPr>
              <w:cnfStyle w:val="000000100000" w:firstRow="0" w:lastRow="0" w:firstColumn="0" w:lastColumn="0" w:oddVBand="0" w:evenVBand="0" w:oddHBand="1" w:evenHBand="0" w:firstRowFirstColumn="0" w:firstRowLastColumn="0" w:lastRowFirstColumn="0" w:lastRowLastColumn="0"/>
              <w:rPr>
                <w:sz w:val="20"/>
                <w:szCs w:val="20"/>
              </w:rPr>
            </w:pPr>
            <w:r w:rsidRPr="002F1FFA">
              <w:rPr>
                <w:sz w:val="20"/>
                <w:szCs w:val="20"/>
              </w:rPr>
              <w:t>1.21%</w:t>
            </w:r>
          </w:p>
        </w:tc>
      </w:tr>
      <w:tr w:rsidR="001E6270" w:rsidRPr="00F4788B" w14:paraId="02A7BBE9" w14:textId="77777777" w:rsidTr="001A4040">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020" w:type="dxa"/>
            <w:noWrap/>
            <w:hideMark/>
          </w:tcPr>
          <w:p w14:paraId="7FEE55ED" w14:textId="77777777" w:rsidR="001E6270" w:rsidRPr="00F4788B" w:rsidRDefault="001E6270" w:rsidP="001A4040">
            <w:pPr>
              <w:jc w:val="center"/>
              <w:rPr>
                <w:i/>
                <w:iCs/>
                <w:color w:val="auto"/>
                <w:sz w:val="20"/>
                <w:szCs w:val="20"/>
              </w:rPr>
            </w:pPr>
            <w:r w:rsidRPr="00F4788B">
              <w:rPr>
                <w:i/>
                <w:iCs/>
                <w:sz w:val="20"/>
                <w:szCs w:val="20"/>
              </w:rPr>
              <w:t>Pe</w:t>
            </w:r>
            <w:r w:rsidRPr="00F4788B">
              <w:rPr>
                <w:i/>
                <w:iCs/>
                <w:sz w:val="20"/>
                <w:szCs w:val="20"/>
                <w:vertAlign w:val="subscript"/>
              </w:rPr>
              <w:t>j,2</w:t>
            </w:r>
          </w:p>
        </w:tc>
        <w:tc>
          <w:tcPr>
            <w:tcW w:w="1980" w:type="dxa"/>
            <w:noWrap/>
            <w:hideMark/>
          </w:tcPr>
          <w:p w14:paraId="75636F0A" w14:textId="77777777" w:rsidR="001E6270" w:rsidRPr="002F1FFA" w:rsidRDefault="001E6270" w:rsidP="001A4040">
            <w:pPr>
              <w:cnfStyle w:val="000000010000" w:firstRow="0" w:lastRow="0" w:firstColumn="0" w:lastColumn="0" w:oddVBand="0" w:evenVBand="0" w:oddHBand="0" w:evenHBand="1" w:firstRowFirstColumn="0" w:firstRowLastColumn="0" w:lastRowFirstColumn="0" w:lastRowLastColumn="0"/>
              <w:rPr>
                <w:sz w:val="20"/>
                <w:szCs w:val="20"/>
              </w:rPr>
            </w:pPr>
            <w:r w:rsidRPr="002F1FFA">
              <w:rPr>
                <w:sz w:val="20"/>
                <w:szCs w:val="20"/>
              </w:rPr>
              <w:t>1.12%</w:t>
            </w:r>
          </w:p>
        </w:tc>
      </w:tr>
      <w:tr w:rsidR="001E6270" w:rsidRPr="002946A9" w14:paraId="4B9C2CB4" w14:textId="77777777" w:rsidTr="001A404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020" w:type="dxa"/>
            <w:noWrap/>
            <w:hideMark/>
          </w:tcPr>
          <w:p w14:paraId="77E0950F" w14:textId="77777777" w:rsidR="001E6270" w:rsidRPr="00F4788B" w:rsidRDefault="001E6270" w:rsidP="001A4040">
            <w:pPr>
              <w:jc w:val="center"/>
              <w:rPr>
                <w:i/>
                <w:iCs/>
                <w:color w:val="auto"/>
                <w:sz w:val="20"/>
                <w:szCs w:val="20"/>
              </w:rPr>
            </w:pPr>
            <w:r w:rsidRPr="00F4788B">
              <w:rPr>
                <w:i/>
                <w:iCs/>
                <w:sz w:val="20"/>
                <w:szCs w:val="20"/>
              </w:rPr>
              <w:t>Pe</w:t>
            </w:r>
            <w:r w:rsidRPr="00F4788B">
              <w:rPr>
                <w:i/>
                <w:iCs/>
                <w:sz w:val="20"/>
                <w:szCs w:val="20"/>
                <w:vertAlign w:val="subscript"/>
              </w:rPr>
              <w:t>j,1</w:t>
            </w:r>
          </w:p>
        </w:tc>
        <w:tc>
          <w:tcPr>
            <w:tcW w:w="1980" w:type="dxa"/>
            <w:noWrap/>
            <w:hideMark/>
          </w:tcPr>
          <w:p w14:paraId="7DC36239" w14:textId="77777777" w:rsidR="001E6270" w:rsidRPr="002F1FFA" w:rsidRDefault="001E6270" w:rsidP="001A4040">
            <w:pPr>
              <w:cnfStyle w:val="000000100000" w:firstRow="0" w:lastRow="0" w:firstColumn="0" w:lastColumn="0" w:oddVBand="0" w:evenVBand="0" w:oddHBand="1" w:evenHBand="0" w:firstRowFirstColumn="0" w:firstRowLastColumn="0" w:lastRowFirstColumn="0" w:lastRowLastColumn="0"/>
              <w:rPr>
                <w:sz w:val="20"/>
                <w:szCs w:val="20"/>
              </w:rPr>
            </w:pPr>
            <w:r w:rsidRPr="002F1FFA">
              <w:rPr>
                <w:sz w:val="20"/>
                <w:szCs w:val="20"/>
              </w:rPr>
              <w:t>10.41%</w:t>
            </w:r>
          </w:p>
        </w:tc>
      </w:tr>
    </w:tbl>
    <w:p w14:paraId="14D18529" w14:textId="06509BE4" w:rsidR="00612726" w:rsidRDefault="00612726" w:rsidP="00DF29CB">
      <w:pPr>
        <w:ind w:left="360"/>
        <w:jc w:val="both"/>
        <w:rPr>
          <w:rFonts w:ascii="Trebuchet MS" w:hAnsi="Trebuchet MS"/>
          <w:szCs w:val="24"/>
        </w:rPr>
      </w:pPr>
      <w:r>
        <w:rPr>
          <w:rFonts w:ascii="Trebuchet MS" w:hAnsi="Trebuchet MS"/>
          <w:szCs w:val="24"/>
        </w:rPr>
        <w:br w:type="page"/>
      </w:r>
    </w:p>
    <w:p w14:paraId="608EF4B2" w14:textId="13C58FFF" w:rsidR="008C2B2E" w:rsidRPr="002946A9" w:rsidRDefault="009D30A0" w:rsidP="00DF29CB">
      <w:pPr>
        <w:pStyle w:val="Ttulo1"/>
        <w:numPr>
          <w:ilvl w:val="0"/>
          <w:numId w:val="1"/>
        </w:numPr>
        <w:jc w:val="both"/>
        <w:rPr>
          <w:rFonts w:ascii="Trebuchet MS" w:hAnsi="Trebuchet MS"/>
          <w:b/>
          <w:sz w:val="28"/>
        </w:rPr>
      </w:pPr>
      <w:bookmarkStart w:id="176" w:name="_Ref67652372"/>
      <w:bookmarkStart w:id="177" w:name="_Toc131109355"/>
      <w:r w:rsidRPr="002946A9">
        <w:rPr>
          <w:rFonts w:ascii="Trebuchet MS" w:hAnsi="Trebuchet MS"/>
          <w:b/>
          <w:sz w:val="28"/>
        </w:rPr>
        <w:t xml:space="preserve">SEGUIMIENTO A LA EJECUCIÓN DEL PLAN DE INVERSIONES AÑO </w:t>
      </w:r>
      <w:bookmarkEnd w:id="176"/>
      <w:r w:rsidR="007B7AEB" w:rsidRPr="002946A9">
        <w:rPr>
          <w:rFonts w:ascii="Trebuchet MS" w:hAnsi="Trebuchet MS"/>
          <w:b/>
          <w:sz w:val="28"/>
        </w:rPr>
        <w:t>202</w:t>
      </w:r>
      <w:r w:rsidR="007B7AEB">
        <w:rPr>
          <w:rFonts w:ascii="Trebuchet MS" w:hAnsi="Trebuchet MS"/>
          <w:b/>
          <w:sz w:val="28"/>
        </w:rPr>
        <w:t>2</w:t>
      </w:r>
      <w:bookmarkEnd w:id="177"/>
    </w:p>
    <w:p w14:paraId="674E2BED" w14:textId="77777777" w:rsidR="008C2B2E" w:rsidRPr="002946A9" w:rsidRDefault="008C2B2E" w:rsidP="003A7117">
      <w:pPr>
        <w:spacing w:after="0"/>
        <w:jc w:val="both"/>
      </w:pPr>
    </w:p>
    <w:p w14:paraId="3CF80614" w14:textId="34D752D8" w:rsidR="008C2B2E" w:rsidRPr="002946A9" w:rsidRDefault="001B3494" w:rsidP="004F7EDA">
      <w:pPr>
        <w:spacing w:after="0"/>
        <w:ind w:left="360"/>
        <w:jc w:val="both"/>
        <w:rPr>
          <w:rFonts w:ascii="Trebuchet MS" w:hAnsi="Trebuchet MS"/>
          <w:szCs w:val="24"/>
        </w:rPr>
      </w:pPr>
      <w:r w:rsidRPr="002946A9">
        <w:rPr>
          <w:rFonts w:ascii="Trebuchet MS" w:hAnsi="Trebuchet MS"/>
          <w:szCs w:val="24"/>
        </w:rPr>
        <w:t>En</w:t>
      </w:r>
      <w:r w:rsidR="008B1E90" w:rsidRPr="002946A9">
        <w:rPr>
          <w:rFonts w:ascii="Trebuchet MS" w:hAnsi="Trebuchet MS"/>
          <w:szCs w:val="24"/>
        </w:rPr>
        <w:t xml:space="preserve"> este numeral se </w:t>
      </w:r>
      <w:r w:rsidRPr="002946A9">
        <w:rPr>
          <w:rFonts w:ascii="Trebuchet MS" w:hAnsi="Trebuchet MS"/>
          <w:szCs w:val="24"/>
        </w:rPr>
        <w:t>present</w:t>
      </w:r>
      <w:r w:rsidR="008B1E90" w:rsidRPr="002946A9">
        <w:rPr>
          <w:rFonts w:ascii="Trebuchet MS" w:hAnsi="Trebuchet MS"/>
          <w:szCs w:val="24"/>
        </w:rPr>
        <w:t xml:space="preserve">an las inversiones </w:t>
      </w:r>
      <w:r w:rsidR="00197BE7" w:rsidRPr="002946A9">
        <w:rPr>
          <w:rFonts w:ascii="Trebuchet MS" w:hAnsi="Trebuchet MS"/>
          <w:szCs w:val="24"/>
        </w:rPr>
        <w:t xml:space="preserve">finalmente ejecutadas por EPM en el año </w:t>
      </w:r>
      <w:r w:rsidR="007B7AEB" w:rsidRPr="002946A9">
        <w:rPr>
          <w:rFonts w:ascii="Trebuchet MS" w:hAnsi="Trebuchet MS"/>
          <w:szCs w:val="24"/>
        </w:rPr>
        <w:t>202</w:t>
      </w:r>
      <w:r w:rsidR="007B7AEB">
        <w:rPr>
          <w:rFonts w:ascii="Trebuchet MS" w:hAnsi="Trebuchet MS"/>
          <w:szCs w:val="24"/>
        </w:rPr>
        <w:t>2</w:t>
      </w:r>
      <w:r w:rsidR="007B7AEB" w:rsidRPr="002946A9">
        <w:rPr>
          <w:rFonts w:ascii="Trebuchet MS" w:hAnsi="Trebuchet MS"/>
          <w:szCs w:val="24"/>
        </w:rPr>
        <w:t xml:space="preserve"> </w:t>
      </w:r>
      <w:r w:rsidR="00197BE7" w:rsidRPr="002946A9">
        <w:rPr>
          <w:rFonts w:ascii="Trebuchet MS" w:hAnsi="Trebuchet MS"/>
          <w:szCs w:val="24"/>
        </w:rPr>
        <w:t xml:space="preserve">y los indicadores </w:t>
      </w:r>
      <w:r w:rsidR="001637F4" w:rsidRPr="002946A9">
        <w:rPr>
          <w:rFonts w:ascii="Trebuchet MS" w:hAnsi="Trebuchet MS"/>
          <w:szCs w:val="24"/>
        </w:rPr>
        <w:t>de</w:t>
      </w:r>
      <w:r w:rsidR="00DA53D0" w:rsidRPr="002946A9">
        <w:rPr>
          <w:rFonts w:ascii="Trebuchet MS" w:hAnsi="Trebuchet MS"/>
          <w:szCs w:val="24"/>
        </w:rPr>
        <w:t xml:space="preserve"> calidad y pérdida obtenidos</w:t>
      </w:r>
      <w:r w:rsidR="002B78B5" w:rsidRPr="002946A9">
        <w:rPr>
          <w:rFonts w:ascii="Trebuchet MS" w:hAnsi="Trebuchet MS"/>
          <w:szCs w:val="24"/>
        </w:rPr>
        <w:t xml:space="preserve">. Los </w:t>
      </w:r>
      <w:r w:rsidR="006B526E" w:rsidRPr="002946A9">
        <w:rPr>
          <w:rFonts w:ascii="Trebuchet MS" w:hAnsi="Trebuchet MS"/>
          <w:szCs w:val="24"/>
        </w:rPr>
        <w:t>resultados se comparan con l</w:t>
      </w:r>
      <w:r w:rsidR="009146C4" w:rsidRPr="002946A9">
        <w:rPr>
          <w:rFonts w:ascii="Trebuchet MS" w:hAnsi="Trebuchet MS"/>
          <w:szCs w:val="24"/>
        </w:rPr>
        <w:t>as</w:t>
      </w:r>
      <w:r w:rsidR="006B526E" w:rsidRPr="002946A9">
        <w:rPr>
          <w:rFonts w:ascii="Trebuchet MS" w:hAnsi="Trebuchet MS"/>
          <w:szCs w:val="24"/>
        </w:rPr>
        <w:t xml:space="preserve"> </w:t>
      </w:r>
      <w:r w:rsidR="009146C4" w:rsidRPr="002946A9">
        <w:rPr>
          <w:rFonts w:ascii="Trebuchet MS" w:hAnsi="Trebuchet MS"/>
          <w:szCs w:val="24"/>
        </w:rPr>
        <w:t xml:space="preserve">metas </w:t>
      </w:r>
      <w:r w:rsidR="006B526E" w:rsidRPr="002946A9">
        <w:rPr>
          <w:rFonts w:ascii="Trebuchet MS" w:hAnsi="Trebuchet MS"/>
          <w:szCs w:val="24"/>
        </w:rPr>
        <w:t>plantead</w:t>
      </w:r>
      <w:r w:rsidR="009146C4" w:rsidRPr="002946A9">
        <w:rPr>
          <w:rFonts w:ascii="Trebuchet MS" w:hAnsi="Trebuchet MS"/>
          <w:szCs w:val="24"/>
        </w:rPr>
        <w:t>as</w:t>
      </w:r>
      <w:r w:rsidR="006B526E" w:rsidRPr="002946A9">
        <w:rPr>
          <w:rFonts w:ascii="Trebuchet MS" w:hAnsi="Trebuchet MS"/>
          <w:szCs w:val="24"/>
        </w:rPr>
        <w:t xml:space="preserve"> en el plan de inversiones a fin de hacer seguimiento e identificar desviaciones </w:t>
      </w:r>
      <w:r w:rsidR="00677244" w:rsidRPr="002946A9">
        <w:rPr>
          <w:rFonts w:ascii="Trebuchet MS" w:hAnsi="Trebuchet MS"/>
          <w:szCs w:val="24"/>
        </w:rPr>
        <w:t>y avances en la ejecución del plan.</w:t>
      </w:r>
    </w:p>
    <w:p w14:paraId="50D006E7" w14:textId="77777777" w:rsidR="00A261BE" w:rsidRPr="00A261BE" w:rsidRDefault="00A261BE" w:rsidP="00A261BE">
      <w:pPr>
        <w:pStyle w:val="Prrafodelista"/>
        <w:numPr>
          <w:ilvl w:val="0"/>
          <w:numId w:val="2"/>
        </w:numPr>
        <w:jc w:val="both"/>
        <w:outlineLvl w:val="1"/>
        <w:rPr>
          <w:rFonts w:ascii="Trebuchet MS" w:hAnsi="Trebuchet MS"/>
          <w:b/>
          <w:vanish/>
          <w:sz w:val="24"/>
          <w:szCs w:val="32"/>
        </w:rPr>
      </w:pPr>
      <w:bookmarkStart w:id="178" w:name="_Toc131109356"/>
      <w:bookmarkEnd w:id="178"/>
    </w:p>
    <w:p w14:paraId="33C0E9E4" w14:textId="63E48505" w:rsidR="00F3104D" w:rsidRPr="002946A9" w:rsidRDefault="005F1782" w:rsidP="00A261BE">
      <w:pPr>
        <w:pStyle w:val="Prrafodelista"/>
        <w:numPr>
          <w:ilvl w:val="1"/>
          <w:numId w:val="2"/>
        </w:numPr>
        <w:jc w:val="both"/>
        <w:outlineLvl w:val="1"/>
        <w:rPr>
          <w:rFonts w:ascii="Trebuchet MS" w:hAnsi="Trebuchet MS"/>
          <w:b/>
          <w:sz w:val="24"/>
          <w:szCs w:val="32"/>
        </w:rPr>
      </w:pPr>
      <w:bookmarkStart w:id="179" w:name="_Toc131109357"/>
      <w:r w:rsidRPr="002946A9">
        <w:rPr>
          <w:rFonts w:ascii="Trebuchet MS" w:hAnsi="Trebuchet MS"/>
          <w:b/>
          <w:sz w:val="24"/>
          <w:szCs w:val="32"/>
        </w:rPr>
        <w:t>I</w:t>
      </w:r>
      <w:r w:rsidR="00F3104D" w:rsidRPr="002946A9">
        <w:rPr>
          <w:rFonts w:ascii="Trebuchet MS" w:hAnsi="Trebuchet MS"/>
          <w:b/>
          <w:sz w:val="24"/>
          <w:szCs w:val="32"/>
        </w:rPr>
        <w:t xml:space="preserve">nversiones </w:t>
      </w:r>
      <w:r w:rsidRPr="002946A9">
        <w:rPr>
          <w:rFonts w:ascii="Trebuchet MS" w:hAnsi="Trebuchet MS"/>
          <w:b/>
          <w:sz w:val="24"/>
          <w:szCs w:val="32"/>
        </w:rPr>
        <w:t xml:space="preserve">ejecutadas en el año </w:t>
      </w:r>
      <w:r w:rsidR="007B7AEB" w:rsidRPr="002946A9">
        <w:rPr>
          <w:rFonts w:ascii="Trebuchet MS" w:hAnsi="Trebuchet MS"/>
          <w:b/>
          <w:sz w:val="24"/>
          <w:szCs w:val="32"/>
        </w:rPr>
        <w:t>202</w:t>
      </w:r>
      <w:r w:rsidR="007B7AEB">
        <w:rPr>
          <w:rFonts w:ascii="Trebuchet MS" w:hAnsi="Trebuchet MS"/>
          <w:b/>
          <w:sz w:val="24"/>
          <w:szCs w:val="32"/>
        </w:rPr>
        <w:t>2</w:t>
      </w:r>
      <w:bookmarkEnd w:id="179"/>
    </w:p>
    <w:p w14:paraId="0AD9AA32" w14:textId="48C0C5B5" w:rsidR="00F3104D" w:rsidRPr="002946A9" w:rsidRDefault="00CC01E6" w:rsidP="004F7EDA">
      <w:pPr>
        <w:spacing w:after="0"/>
        <w:ind w:left="360"/>
        <w:jc w:val="both"/>
        <w:rPr>
          <w:rFonts w:ascii="Trebuchet MS" w:hAnsi="Trebuchet MS"/>
          <w:szCs w:val="24"/>
        </w:rPr>
      </w:pPr>
      <w:r w:rsidRPr="002946A9">
        <w:rPr>
          <w:rFonts w:ascii="Trebuchet MS" w:hAnsi="Trebuchet MS"/>
          <w:szCs w:val="24"/>
        </w:rPr>
        <w:t>La</w:t>
      </w:r>
      <w:r w:rsidR="00E3128B" w:rsidRPr="002946A9">
        <w:rPr>
          <w:rFonts w:ascii="Trebuchet MS" w:hAnsi="Trebuchet MS"/>
          <w:szCs w:val="24"/>
        </w:rPr>
        <w:t>s</w:t>
      </w:r>
      <w:r w:rsidRPr="002946A9">
        <w:rPr>
          <w:rFonts w:ascii="Trebuchet MS" w:hAnsi="Trebuchet MS"/>
          <w:szCs w:val="24"/>
        </w:rPr>
        <w:t xml:space="preserve"> inversiones en activos relacionados a los proyectos del plan, ejecutadas en el año </w:t>
      </w:r>
      <w:r w:rsidR="007B7AEB" w:rsidRPr="002946A9">
        <w:rPr>
          <w:rFonts w:ascii="Trebuchet MS" w:hAnsi="Trebuchet MS"/>
          <w:szCs w:val="24"/>
        </w:rPr>
        <w:t>202</w:t>
      </w:r>
      <w:r w:rsidR="007B7AEB">
        <w:rPr>
          <w:rFonts w:ascii="Trebuchet MS" w:hAnsi="Trebuchet MS"/>
          <w:szCs w:val="24"/>
        </w:rPr>
        <w:t>2</w:t>
      </w:r>
      <w:r w:rsidR="00AC2D79" w:rsidRPr="002946A9">
        <w:rPr>
          <w:rFonts w:ascii="Trebuchet MS" w:hAnsi="Trebuchet MS"/>
          <w:szCs w:val="24"/>
        </w:rPr>
        <w:t>,</w:t>
      </w:r>
      <w:r w:rsidRPr="002946A9">
        <w:rPr>
          <w:rFonts w:ascii="Trebuchet MS" w:hAnsi="Trebuchet MS"/>
          <w:szCs w:val="24"/>
        </w:rPr>
        <w:t xml:space="preserve"> </w:t>
      </w:r>
      <w:r w:rsidR="00AC2D79" w:rsidRPr="002946A9">
        <w:rPr>
          <w:rFonts w:ascii="Trebuchet MS" w:hAnsi="Trebuchet MS"/>
          <w:szCs w:val="24"/>
        </w:rPr>
        <w:t>se presentan a continuación:</w:t>
      </w:r>
      <w:r w:rsidRPr="002946A9">
        <w:rPr>
          <w:rFonts w:ascii="Trebuchet MS" w:hAnsi="Trebuchet MS"/>
          <w:szCs w:val="24"/>
        </w:rPr>
        <w:t xml:space="preserve"> </w:t>
      </w:r>
    </w:p>
    <w:p w14:paraId="0F9A6047" w14:textId="02D3685A" w:rsidR="008C2B2E" w:rsidRPr="002946A9" w:rsidRDefault="008C2B2E" w:rsidP="00DF29CB">
      <w:pPr>
        <w:ind w:left="360"/>
        <w:jc w:val="both"/>
        <w:rPr>
          <w:rFonts w:ascii="Trebuchet MS" w:hAnsi="Trebuchet MS"/>
          <w:szCs w:val="24"/>
        </w:rPr>
      </w:pPr>
    </w:p>
    <w:p w14:paraId="378D436A" w14:textId="27798ADD" w:rsidR="00BC4A60" w:rsidRPr="002946A9" w:rsidRDefault="00BC4A60" w:rsidP="00DF29CB">
      <w:pPr>
        <w:numPr>
          <w:ilvl w:val="2"/>
          <w:numId w:val="2"/>
        </w:numPr>
        <w:jc w:val="both"/>
        <w:outlineLvl w:val="2"/>
        <w:rPr>
          <w:rFonts w:ascii="Trebuchet MS" w:hAnsi="Trebuchet MS"/>
          <w:b/>
          <w:bCs/>
          <w:szCs w:val="24"/>
        </w:rPr>
      </w:pPr>
      <w:bookmarkStart w:id="180" w:name="_Ref67472409"/>
      <w:bookmarkStart w:id="181" w:name="_Toc131109358"/>
      <w:r w:rsidRPr="002946A9">
        <w:rPr>
          <w:rFonts w:ascii="Trebuchet MS" w:hAnsi="Trebuchet MS"/>
          <w:b/>
          <w:bCs/>
          <w:szCs w:val="24"/>
        </w:rPr>
        <w:t>Inversiones en activos puestos en operación</w:t>
      </w:r>
      <w:r w:rsidR="00A72CB1" w:rsidRPr="002946A9">
        <w:rPr>
          <w:rFonts w:ascii="Trebuchet MS" w:hAnsi="Trebuchet MS"/>
          <w:b/>
          <w:bCs/>
          <w:szCs w:val="24"/>
        </w:rPr>
        <w:t>,</w:t>
      </w:r>
      <w:r w:rsidR="00471779" w:rsidRPr="002946A9">
        <w:rPr>
          <w:rFonts w:ascii="Trebuchet MS" w:hAnsi="Trebuchet MS"/>
          <w:b/>
          <w:bCs/>
          <w:szCs w:val="24"/>
        </w:rPr>
        <w:t xml:space="preserve"> por nivel de tensión y categorías</w:t>
      </w:r>
      <w:r w:rsidR="00741A05" w:rsidRPr="002946A9">
        <w:rPr>
          <w:rFonts w:ascii="Trebuchet MS" w:hAnsi="Trebuchet MS"/>
          <w:b/>
          <w:bCs/>
          <w:szCs w:val="24"/>
        </w:rPr>
        <w:t xml:space="preserve"> de activos</w:t>
      </w:r>
      <w:bookmarkEnd w:id="180"/>
      <w:bookmarkEnd w:id="181"/>
      <w:r w:rsidRPr="002946A9">
        <w:rPr>
          <w:rFonts w:ascii="Trebuchet MS" w:hAnsi="Trebuchet MS"/>
          <w:b/>
          <w:bCs/>
          <w:szCs w:val="24"/>
        </w:rPr>
        <w:t xml:space="preserve"> </w:t>
      </w:r>
    </w:p>
    <w:p w14:paraId="416004F4" w14:textId="652E242E" w:rsidR="00BC4A60" w:rsidRPr="002946A9" w:rsidRDefault="002A3DB3" w:rsidP="001B75C5">
      <w:pPr>
        <w:spacing w:after="0"/>
        <w:ind w:left="360"/>
        <w:jc w:val="both"/>
        <w:rPr>
          <w:rFonts w:ascii="Trebuchet MS" w:hAnsi="Trebuchet MS"/>
          <w:szCs w:val="24"/>
        </w:rPr>
      </w:pPr>
      <w:r w:rsidRPr="002946A9">
        <w:rPr>
          <w:rFonts w:ascii="Trebuchet MS" w:hAnsi="Trebuchet MS"/>
          <w:szCs w:val="24"/>
        </w:rPr>
        <w:t>El total de l</w:t>
      </w:r>
      <w:r w:rsidR="00CD68D2" w:rsidRPr="002946A9">
        <w:rPr>
          <w:rFonts w:ascii="Trebuchet MS" w:hAnsi="Trebuchet MS"/>
          <w:szCs w:val="24"/>
        </w:rPr>
        <w:t xml:space="preserve">as inversiones </w:t>
      </w:r>
      <w:r w:rsidR="000B45E2" w:rsidRPr="002946A9">
        <w:rPr>
          <w:rFonts w:ascii="Trebuchet MS" w:hAnsi="Trebuchet MS"/>
          <w:szCs w:val="24"/>
        </w:rPr>
        <w:t xml:space="preserve">en activos puestos en operación </w:t>
      </w:r>
      <w:r w:rsidR="00CD68D2" w:rsidRPr="002946A9">
        <w:rPr>
          <w:rFonts w:ascii="Trebuchet MS" w:hAnsi="Trebuchet MS"/>
          <w:szCs w:val="24"/>
        </w:rPr>
        <w:t xml:space="preserve">en el año </w:t>
      </w:r>
      <w:r w:rsidR="007B7AEB" w:rsidRPr="002946A9">
        <w:rPr>
          <w:rFonts w:ascii="Trebuchet MS" w:hAnsi="Trebuchet MS"/>
          <w:szCs w:val="24"/>
        </w:rPr>
        <w:t>202</w:t>
      </w:r>
      <w:r w:rsidR="007B7AEB">
        <w:rPr>
          <w:rFonts w:ascii="Trebuchet MS" w:hAnsi="Trebuchet MS"/>
          <w:szCs w:val="24"/>
        </w:rPr>
        <w:t>2</w:t>
      </w:r>
      <w:r w:rsidR="007B7AEB" w:rsidRPr="002946A9">
        <w:rPr>
          <w:rFonts w:ascii="Trebuchet MS" w:hAnsi="Trebuchet MS"/>
          <w:szCs w:val="24"/>
        </w:rPr>
        <w:t xml:space="preserve"> </w:t>
      </w:r>
      <w:r w:rsidR="00CD68D2" w:rsidRPr="002946A9">
        <w:rPr>
          <w:rFonts w:ascii="Trebuchet MS" w:hAnsi="Trebuchet MS"/>
          <w:szCs w:val="24"/>
        </w:rPr>
        <w:t xml:space="preserve">se incluye en la variable </w:t>
      </w:r>
      <w:r w:rsidR="00CD68D2" w:rsidRPr="002946A9">
        <w:rPr>
          <w:rFonts w:ascii="Trebuchet MS" w:hAnsi="Trebuchet MS"/>
          <w:i/>
          <w:iCs/>
          <w:szCs w:val="24"/>
        </w:rPr>
        <w:t>INVR</w:t>
      </w:r>
      <w:r w:rsidR="00CD68D2" w:rsidRPr="002946A9">
        <w:rPr>
          <w:rFonts w:ascii="Trebuchet MS" w:hAnsi="Trebuchet MS"/>
          <w:i/>
          <w:iCs/>
          <w:szCs w:val="24"/>
          <w:vertAlign w:val="subscript"/>
        </w:rPr>
        <w:t>j,n,l,</w:t>
      </w:r>
      <w:r w:rsidR="002A73F2">
        <w:rPr>
          <w:rFonts w:ascii="Trebuchet MS" w:hAnsi="Trebuchet MS"/>
          <w:i/>
          <w:iCs/>
          <w:szCs w:val="24"/>
          <w:vertAlign w:val="subscript"/>
        </w:rPr>
        <w:t>4</w:t>
      </w:r>
      <w:r w:rsidR="00CD68D2" w:rsidRPr="002946A9">
        <w:rPr>
          <w:rFonts w:ascii="Trebuchet MS" w:hAnsi="Trebuchet MS"/>
          <w:szCs w:val="24"/>
        </w:rPr>
        <w:t>, la cual, está definida por nivel de tensión (n) y categoría de activos (</w:t>
      </w:r>
      <w:r w:rsidR="00CD68D2" w:rsidRPr="002946A9">
        <w:rPr>
          <w:rFonts w:ascii="Trebuchet MS" w:hAnsi="Trebuchet MS"/>
          <w:i/>
          <w:iCs/>
          <w:szCs w:val="24"/>
        </w:rPr>
        <w:t>l</w:t>
      </w:r>
      <w:r w:rsidR="00CD68D2" w:rsidRPr="002946A9">
        <w:rPr>
          <w:rFonts w:ascii="Trebuchet MS" w:hAnsi="Trebuchet MS"/>
          <w:szCs w:val="24"/>
        </w:rPr>
        <w:t xml:space="preserve">). Los valores </w:t>
      </w:r>
      <w:r w:rsidRPr="002946A9">
        <w:rPr>
          <w:rFonts w:ascii="Trebuchet MS" w:hAnsi="Trebuchet MS"/>
          <w:szCs w:val="24"/>
        </w:rPr>
        <w:t xml:space="preserve">ejecutados </w:t>
      </w:r>
      <w:r w:rsidR="00CD68D2" w:rsidRPr="002946A9">
        <w:rPr>
          <w:rFonts w:ascii="Trebuchet MS" w:hAnsi="Trebuchet MS"/>
          <w:szCs w:val="24"/>
        </w:rPr>
        <w:t>para esta variable se presentan en la</w:t>
      </w:r>
      <w:r w:rsidR="006458A9" w:rsidRPr="002946A9">
        <w:rPr>
          <w:rFonts w:ascii="Trebuchet MS" w:hAnsi="Trebuchet MS"/>
          <w:szCs w:val="24"/>
        </w:rPr>
        <w:t xml:space="preserve"> </w:t>
      </w:r>
      <w:r w:rsidR="006458A9" w:rsidRPr="002946A9">
        <w:rPr>
          <w:rFonts w:ascii="Trebuchet MS" w:hAnsi="Trebuchet MS"/>
          <w:szCs w:val="24"/>
        </w:rPr>
        <w:fldChar w:fldCharType="begin"/>
      </w:r>
      <w:r w:rsidR="006458A9" w:rsidRPr="002946A9">
        <w:rPr>
          <w:rFonts w:ascii="Trebuchet MS" w:hAnsi="Trebuchet MS"/>
          <w:szCs w:val="24"/>
        </w:rPr>
        <w:instrText xml:space="preserve"> REF _Ref67390194 \h </w:instrText>
      </w:r>
      <w:r w:rsidR="00DF29CB" w:rsidRPr="002946A9">
        <w:rPr>
          <w:rFonts w:ascii="Trebuchet MS" w:hAnsi="Trebuchet MS"/>
          <w:szCs w:val="24"/>
        </w:rPr>
        <w:instrText xml:space="preserve"> \* MERGEFORMAT </w:instrText>
      </w:r>
      <w:r w:rsidR="006458A9" w:rsidRPr="002946A9">
        <w:rPr>
          <w:rFonts w:ascii="Trebuchet MS" w:hAnsi="Trebuchet MS"/>
          <w:szCs w:val="24"/>
        </w:rPr>
      </w:r>
      <w:r w:rsidR="006458A9"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1</w:t>
      </w:r>
      <w:r w:rsidR="006458A9" w:rsidRPr="002946A9">
        <w:rPr>
          <w:rFonts w:ascii="Trebuchet MS" w:hAnsi="Trebuchet MS"/>
          <w:szCs w:val="24"/>
        </w:rPr>
        <w:fldChar w:fldCharType="end"/>
      </w:r>
      <w:r w:rsidR="006458A9" w:rsidRPr="002946A9">
        <w:rPr>
          <w:rFonts w:ascii="Trebuchet MS" w:hAnsi="Trebuchet MS"/>
          <w:szCs w:val="24"/>
        </w:rPr>
        <w:t>.</w:t>
      </w:r>
    </w:p>
    <w:p w14:paraId="0614E5E5" w14:textId="77777777" w:rsidR="006458A9" w:rsidRPr="002946A9" w:rsidRDefault="006458A9" w:rsidP="00DF29CB">
      <w:pPr>
        <w:spacing w:after="0"/>
        <w:ind w:left="360"/>
        <w:jc w:val="both"/>
        <w:rPr>
          <w:rFonts w:ascii="Trebuchet MS" w:hAnsi="Trebuchet MS" w:cs="Arial"/>
        </w:rPr>
      </w:pPr>
    </w:p>
    <w:p w14:paraId="6AC425EE" w14:textId="6D997587" w:rsidR="006458A9" w:rsidRPr="002946A9" w:rsidRDefault="006458A9" w:rsidP="00DF29CB">
      <w:pPr>
        <w:ind w:left="1416" w:hanging="1056"/>
        <w:jc w:val="both"/>
        <w:rPr>
          <w:rFonts w:ascii="Trebuchet MS" w:hAnsi="Trebuchet MS"/>
        </w:rPr>
      </w:pPr>
      <w:bookmarkStart w:id="182" w:name="_Ref67390194"/>
      <w:bookmarkStart w:id="183" w:name="_Toc131032791"/>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1</w:t>
      </w:r>
      <w:r w:rsidRPr="002946A9">
        <w:rPr>
          <w:rFonts w:ascii="Trebuchet MS" w:hAnsi="Trebuchet MS"/>
        </w:rPr>
        <w:fldChar w:fldCharType="end"/>
      </w:r>
      <w:bookmarkEnd w:id="182"/>
      <w:r w:rsidRPr="002946A9">
        <w:rPr>
          <w:rFonts w:ascii="Trebuchet MS" w:hAnsi="Trebuchet MS"/>
        </w:rPr>
        <w:t xml:space="preserve">  Inversiones </w:t>
      </w:r>
      <w:r w:rsidR="00930548" w:rsidRPr="002946A9">
        <w:rPr>
          <w:rFonts w:ascii="Trebuchet MS" w:hAnsi="Trebuchet MS"/>
        </w:rPr>
        <w:t xml:space="preserve">en activos puestos en operación </w:t>
      </w:r>
      <w:r w:rsidR="00E743A4" w:rsidRPr="002946A9">
        <w:rPr>
          <w:rFonts w:ascii="Trebuchet MS" w:hAnsi="Trebuchet MS"/>
        </w:rPr>
        <w:t>en el sistema de EPM</w:t>
      </w:r>
      <w:r w:rsidR="00D436D3" w:rsidRPr="002946A9">
        <w:rPr>
          <w:rFonts w:ascii="Trebuchet MS" w:hAnsi="Trebuchet MS"/>
        </w:rPr>
        <w:t xml:space="preserve"> </w:t>
      </w:r>
      <w:r w:rsidR="00EF586D" w:rsidRPr="002946A9">
        <w:rPr>
          <w:rFonts w:ascii="Trebuchet MS" w:hAnsi="Trebuchet MS"/>
        </w:rPr>
        <w:t xml:space="preserve">en el </w:t>
      </w:r>
      <w:r w:rsidRPr="002946A9">
        <w:rPr>
          <w:rFonts w:ascii="Trebuchet MS" w:hAnsi="Trebuchet MS"/>
        </w:rPr>
        <w:t xml:space="preserve">año </w:t>
      </w:r>
      <w:r w:rsidR="007B7AEB" w:rsidRPr="002946A9">
        <w:rPr>
          <w:rFonts w:ascii="Trebuchet MS" w:hAnsi="Trebuchet MS"/>
        </w:rPr>
        <w:t>202</w:t>
      </w:r>
      <w:r w:rsidR="007B7AEB">
        <w:rPr>
          <w:rFonts w:ascii="Trebuchet MS" w:hAnsi="Trebuchet MS"/>
        </w:rPr>
        <w:t>2</w:t>
      </w:r>
      <w:r w:rsidRPr="002946A9">
        <w:rPr>
          <w:rFonts w:ascii="Trebuchet MS" w:hAnsi="Trebuchet MS"/>
        </w:rPr>
        <w:t>.</w:t>
      </w:r>
      <w:r w:rsidR="007137C1" w:rsidRPr="002946A9">
        <w:rPr>
          <w:rFonts w:ascii="Trebuchet MS" w:hAnsi="Trebuchet MS"/>
        </w:rPr>
        <w:t xml:space="preserve"> Sin Acote.</w:t>
      </w:r>
      <w:bookmarkEnd w:id="183"/>
    </w:p>
    <w:tbl>
      <w:tblPr>
        <w:tblW w:w="9493" w:type="dxa"/>
        <w:jc w:val="center"/>
        <w:tblCellMar>
          <w:left w:w="70" w:type="dxa"/>
          <w:right w:w="70" w:type="dxa"/>
        </w:tblCellMar>
        <w:tblLook w:val="04A0" w:firstRow="1" w:lastRow="0" w:firstColumn="1" w:lastColumn="0" w:noHBand="0" w:noVBand="1"/>
      </w:tblPr>
      <w:tblGrid>
        <w:gridCol w:w="328"/>
        <w:gridCol w:w="1345"/>
        <w:gridCol w:w="1688"/>
        <w:gridCol w:w="1688"/>
        <w:gridCol w:w="1594"/>
        <w:gridCol w:w="1594"/>
        <w:gridCol w:w="1688"/>
      </w:tblGrid>
      <w:tr w:rsidR="001F3B4F" w:rsidRPr="00307E2B" w14:paraId="32DBD836" w14:textId="77777777" w:rsidTr="002F1FFA">
        <w:trPr>
          <w:trHeight w:val="219"/>
          <w:jc w:val="center"/>
        </w:trPr>
        <w:tc>
          <w:tcPr>
            <w:tcW w:w="313"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0332ED08" w14:textId="77777777" w:rsidR="001F3B4F" w:rsidRPr="00307E2B" w:rsidRDefault="001F3B4F" w:rsidP="00224AA8">
            <w:pPr>
              <w:spacing w:after="0" w:line="240" w:lineRule="auto"/>
              <w:jc w:val="center"/>
              <w:rPr>
                <w:rFonts w:ascii="Trebuchet MS" w:eastAsia="Times New Roman" w:hAnsi="Trebuchet MS" w:cs="Calibri"/>
                <w:b/>
                <w:bCs/>
                <w:i/>
                <w:iCs/>
                <w:color w:val="000000"/>
                <w:sz w:val="16"/>
                <w:szCs w:val="16"/>
                <w:lang w:eastAsia="es-CO"/>
              </w:rPr>
            </w:pPr>
            <w:r w:rsidRPr="00307E2B">
              <w:rPr>
                <w:rFonts w:ascii="Trebuchet MS" w:eastAsia="Times New Roman" w:hAnsi="Trebuchet MS" w:cs="Calibri"/>
                <w:b/>
                <w:bCs/>
                <w:i/>
                <w:iCs/>
                <w:color w:val="000000"/>
                <w:sz w:val="16"/>
                <w:szCs w:val="16"/>
                <w:lang w:eastAsia="es-CO"/>
              </w:rPr>
              <w:t>l</w:t>
            </w:r>
          </w:p>
        </w:tc>
        <w:tc>
          <w:tcPr>
            <w:tcW w:w="1286"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53BBEC0D" w14:textId="77777777" w:rsidR="001F3B4F" w:rsidRPr="00307E2B" w:rsidRDefault="001F3B4F"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Descripción</w:t>
            </w:r>
          </w:p>
        </w:tc>
        <w:tc>
          <w:tcPr>
            <w:tcW w:w="7892" w:type="dxa"/>
            <w:gridSpan w:val="5"/>
            <w:tcBorders>
              <w:top w:val="single" w:sz="8" w:space="0" w:color="FFFFFF"/>
              <w:left w:val="nil"/>
              <w:bottom w:val="single" w:sz="8" w:space="0" w:color="FFFFFF"/>
              <w:right w:val="single" w:sz="8" w:space="0" w:color="FFFFFF"/>
            </w:tcBorders>
            <w:shd w:val="clear" w:color="000000" w:fill="BFE2A8"/>
            <w:noWrap/>
            <w:vAlign w:val="center"/>
            <w:hideMark/>
          </w:tcPr>
          <w:p w14:paraId="6B5B9123" w14:textId="4DDDD559" w:rsidR="001F3B4F" w:rsidRPr="00307E2B" w:rsidRDefault="001F3B4F" w:rsidP="00224AA8">
            <w:pPr>
              <w:spacing w:after="0" w:line="240" w:lineRule="auto"/>
              <w:jc w:val="center"/>
              <w:rPr>
                <w:rFonts w:ascii="Trebuchet MS" w:eastAsia="Times New Roman" w:hAnsi="Trebuchet MS" w:cs="Calibri"/>
                <w:b/>
                <w:bCs/>
                <w:i/>
                <w:iCs/>
                <w:color w:val="000000"/>
                <w:sz w:val="16"/>
                <w:szCs w:val="16"/>
                <w:lang w:eastAsia="es-CO"/>
              </w:rPr>
            </w:pPr>
            <w:r w:rsidRPr="00307E2B">
              <w:rPr>
                <w:rFonts w:ascii="Trebuchet MS" w:eastAsia="Times New Roman" w:hAnsi="Trebuchet MS" w:cs="Calibri"/>
                <w:b/>
                <w:bCs/>
                <w:i/>
                <w:iCs/>
                <w:color w:val="000000"/>
                <w:sz w:val="16"/>
                <w:szCs w:val="16"/>
                <w:lang w:eastAsia="es-CO"/>
              </w:rPr>
              <w:t>INVR</w:t>
            </w:r>
            <w:r w:rsidRPr="00307E2B">
              <w:rPr>
                <w:rFonts w:ascii="Trebuchet MS" w:eastAsia="Times New Roman" w:hAnsi="Trebuchet MS" w:cs="Calibri"/>
                <w:b/>
                <w:bCs/>
                <w:i/>
                <w:iCs/>
                <w:color w:val="000000"/>
                <w:sz w:val="16"/>
                <w:szCs w:val="16"/>
                <w:vertAlign w:val="subscript"/>
                <w:lang w:eastAsia="es-CO"/>
              </w:rPr>
              <w:t>j,n,l,</w:t>
            </w:r>
            <w:r w:rsidR="002A73F2" w:rsidRPr="00307E2B">
              <w:rPr>
                <w:rFonts w:ascii="Trebuchet MS" w:eastAsia="Times New Roman" w:hAnsi="Trebuchet MS" w:cs="Calibri"/>
                <w:b/>
                <w:bCs/>
                <w:i/>
                <w:iCs/>
                <w:color w:val="000000"/>
                <w:sz w:val="16"/>
                <w:szCs w:val="16"/>
                <w:vertAlign w:val="subscript"/>
                <w:lang w:eastAsia="es-CO"/>
              </w:rPr>
              <w:t>4</w:t>
            </w:r>
            <w:r w:rsidRPr="00307E2B">
              <w:rPr>
                <w:rFonts w:ascii="Trebuchet MS" w:eastAsia="Times New Roman" w:hAnsi="Trebuchet MS" w:cs="Calibri"/>
                <w:b/>
                <w:bCs/>
                <w:i/>
                <w:iCs/>
                <w:color w:val="000000"/>
                <w:sz w:val="16"/>
                <w:szCs w:val="16"/>
                <w:vertAlign w:val="superscript"/>
                <w:lang w:eastAsia="es-CO"/>
              </w:rPr>
              <w:t xml:space="preserve">* </w:t>
            </w:r>
            <w:r w:rsidRPr="00307E2B">
              <w:rPr>
                <w:rFonts w:ascii="Trebuchet MS" w:eastAsia="Times New Roman" w:hAnsi="Trebuchet MS" w:cs="Calibri"/>
                <w:b/>
                <w:bCs/>
                <w:i/>
                <w:iCs/>
                <w:color w:val="000000"/>
                <w:sz w:val="16"/>
                <w:szCs w:val="16"/>
                <w:lang w:eastAsia="es-CO"/>
              </w:rPr>
              <w:t>- valores no acotados</w:t>
            </w:r>
          </w:p>
        </w:tc>
      </w:tr>
      <w:tr w:rsidR="001F3B4F" w:rsidRPr="00307E2B" w14:paraId="724C2DC1" w14:textId="77777777" w:rsidTr="002F1FFA">
        <w:trPr>
          <w:trHeight w:val="219"/>
          <w:jc w:val="center"/>
        </w:trPr>
        <w:tc>
          <w:tcPr>
            <w:tcW w:w="313" w:type="dxa"/>
            <w:vMerge/>
            <w:tcBorders>
              <w:top w:val="single" w:sz="8" w:space="0" w:color="FFFFFF"/>
              <w:left w:val="single" w:sz="8" w:space="0" w:color="FFFFFF"/>
              <w:bottom w:val="single" w:sz="8" w:space="0" w:color="FFFFFF"/>
              <w:right w:val="single" w:sz="8" w:space="0" w:color="FFFFFF"/>
            </w:tcBorders>
            <w:vAlign w:val="center"/>
            <w:hideMark/>
          </w:tcPr>
          <w:p w14:paraId="37026A0E" w14:textId="77777777" w:rsidR="001F3B4F" w:rsidRPr="00307E2B" w:rsidRDefault="001F3B4F" w:rsidP="00224AA8">
            <w:pPr>
              <w:spacing w:after="0" w:line="240" w:lineRule="auto"/>
              <w:jc w:val="center"/>
              <w:rPr>
                <w:rFonts w:ascii="Trebuchet MS" w:eastAsia="Times New Roman" w:hAnsi="Trebuchet MS" w:cs="Calibri"/>
                <w:b/>
                <w:bCs/>
                <w:i/>
                <w:iCs/>
                <w:color w:val="000000"/>
                <w:sz w:val="16"/>
                <w:szCs w:val="16"/>
                <w:lang w:eastAsia="es-CO"/>
              </w:rPr>
            </w:pPr>
          </w:p>
        </w:tc>
        <w:tc>
          <w:tcPr>
            <w:tcW w:w="1286" w:type="dxa"/>
            <w:vMerge/>
            <w:tcBorders>
              <w:top w:val="single" w:sz="8" w:space="0" w:color="FFFFFF"/>
              <w:left w:val="single" w:sz="8" w:space="0" w:color="FFFFFF"/>
              <w:bottom w:val="single" w:sz="8" w:space="0" w:color="FFFFFF"/>
              <w:right w:val="single" w:sz="8" w:space="0" w:color="FFFFFF"/>
            </w:tcBorders>
            <w:vAlign w:val="center"/>
            <w:hideMark/>
          </w:tcPr>
          <w:p w14:paraId="72AB7E23" w14:textId="77777777" w:rsidR="001F3B4F" w:rsidRPr="00307E2B" w:rsidRDefault="001F3B4F" w:rsidP="00224AA8">
            <w:pPr>
              <w:spacing w:after="0" w:line="240" w:lineRule="auto"/>
              <w:jc w:val="center"/>
              <w:rPr>
                <w:rFonts w:ascii="Trebuchet MS" w:eastAsia="Times New Roman" w:hAnsi="Trebuchet MS" w:cs="Calibri"/>
                <w:b/>
                <w:bCs/>
                <w:color w:val="000000"/>
                <w:sz w:val="16"/>
                <w:szCs w:val="16"/>
                <w:lang w:eastAsia="es-CO"/>
              </w:rPr>
            </w:pPr>
          </w:p>
        </w:tc>
        <w:tc>
          <w:tcPr>
            <w:tcW w:w="1614" w:type="dxa"/>
            <w:tcBorders>
              <w:top w:val="nil"/>
              <w:left w:val="nil"/>
              <w:bottom w:val="single" w:sz="8" w:space="0" w:color="FFFFFF"/>
              <w:right w:val="single" w:sz="8" w:space="0" w:color="FFFFFF"/>
            </w:tcBorders>
            <w:shd w:val="clear" w:color="000000" w:fill="BFE2A8"/>
            <w:noWrap/>
            <w:vAlign w:val="center"/>
            <w:hideMark/>
          </w:tcPr>
          <w:p w14:paraId="381309DD" w14:textId="77777777" w:rsidR="001F3B4F" w:rsidRPr="00307E2B" w:rsidRDefault="001F3B4F"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N1</w:t>
            </w:r>
          </w:p>
        </w:tc>
        <w:tc>
          <w:tcPr>
            <w:tcW w:w="1614" w:type="dxa"/>
            <w:tcBorders>
              <w:top w:val="nil"/>
              <w:left w:val="nil"/>
              <w:bottom w:val="single" w:sz="8" w:space="0" w:color="FFFFFF"/>
              <w:right w:val="single" w:sz="8" w:space="0" w:color="FFFFFF"/>
            </w:tcBorders>
            <w:shd w:val="clear" w:color="000000" w:fill="BFE2A8"/>
            <w:noWrap/>
            <w:vAlign w:val="center"/>
            <w:hideMark/>
          </w:tcPr>
          <w:p w14:paraId="4D6E3495" w14:textId="77777777" w:rsidR="001F3B4F" w:rsidRPr="00307E2B" w:rsidRDefault="001F3B4F"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N2</w:t>
            </w:r>
          </w:p>
        </w:tc>
        <w:tc>
          <w:tcPr>
            <w:tcW w:w="1524" w:type="dxa"/>
            <w:tcBorders>
              <w:top w:val="nil"/>
              <w:left w:val="nil"/>
              <w:bottom w:val="single" w:sz="8" w:space="0" w:color="FFFFFF"/>
              <w:right w:val="single" w:sz="8" w:space="0" w:color="FFFFFF"/>
            </w:tcBorders>
            <w:shd w:val="clear" w:color="000000" w:fill="BFE2A8"/>
            <w:noWrap/>
            <w:vAlign w:val="center"/>
            <w:hideMark/>
          </w:tcPr>
          <w:p w14:paraId="17E4150B" w14:textId="77777777" w:rsidR="001F3B4F" w:rsidRPr="00307E2B" w:rsidRDefault="001F3B4F"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N3</w:t>
            </w:r>
          </w:p>
        </w:tc>
        <w:tc>
          <w:tcPr>
            <w:tcW w:w="1524" w:type="dxa"/>
            <w:tcBorders>
              <w:top w:val="nil"/>
              <w:left w:val="nil"/>
              <w:bottom w:val="single" w:sz="8" w:space="0" w:color="FFFFFF"/>
              <w:right w:val="single" w:sz="8" w:space="0" w:color="FFFFFF"/>
            </w:tcBorders>
            <w:shd w:val="clear" w:color="000000" w:fill="BFE2A8"/>
            <w:noWrap/>
            <w:vAlign w:val="center"/>
            <w:hideMark/>
          </w:tcPr>
          <w:p w14:paraId="24080377" w14:textId="77777777" w:rsidR="001F3B4F" w:rsidRPr="00307E2B" w:rsidRDefault="001F3B4F"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N4</w:t>
            </w:r>
          </w:p>
        </w:tc>
        <w:tc>
          <w:tcPr>
            <w:tcW w:w="1614" w:type="dxa"/>
            <w:tcBorders>
              <w:top w:val="nil"/>
              <w:left w:val="nil"/>
              <w:bottom w:val="single" w:sz="8" w:space="0" w:color="FFFFFF"/>
              <w:right w:val="single" w:sz="8" w:space="0" w:color="FFFFFF"/>
            </w:tcBorders>
            <w:shd w:val="clear" w:color="000000" w:fill="BFE2A8"/>
            <w:noWrap/>
            <w:vAlign w:val="center"/>
            <w:hideMark/>
          </w:tcPr>
          <w:p w14:paraId="6279B61C" w14:textId="77777777" w:rsidR="001F3B4F" w:rsidRPr="00307E2B" w:rsidRDefault="001F3B4F"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TOTAL</w:t>
            </w:r>
          </w:p>
        </w:tc>
      </w:tr>
      <w:tr w:rsidR="00EF3F98" w:rsidRPr="00307E2B" w14:paraId="1C928B61" w14:textId="77777777" w:rsidTr="00EF3F98">
        <w:trPr>
          <w:trHeight w:val="219"/>
          <w:jc w:val="center"/>
        </w:trPr>
        <w:tc>
          <w:tcPr>
            <w:tcW w:w="313" w:type="dxa"/>
            <w:tcBorders>
              <w:top w:val="nil"/>
              <w:left w:val="single" w:sz="8" w:space="0" w:color="FFFFFF"/>
              <w:bottom w:val="single" w:sz="8" w:space="0" w:color="FFFFFF"/>
              <w:right w:val="single" w:sz="8" w:space="0" w:color="FFFFFF"/>
            </w:tcBorders>
            <w:shd w:val="clear" w:color="000000" w:fill="BFE2A8"/>
            <w:noWrap/>
            <w:vAlign w:val="center"/>
            <w:hideMark/>
          </w:tcPr>
          <w:p w14:paraId="6F84404B" w14:textId="77777777" w:rsidR="008C209E" w:rsidRPr="00307E2B" w:rsidRDefault="008C209E"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1</w:t>
            </w:r>
          </w:p>
        </w:tc>
        <w:tc>
          <w:tcPr>
            <w:tcW w:w="1286" w:type="dxa"/>
            <w:tcBorders>
              <w:top w:val="nil"/>
              <w:left w:val="nil"/>
              <w:bottom w:val="single" w:sz="8" w:space="0" w:color="FFFFFF"/>
              <w:right w:val="single" w:sz="8" w:space="0" w:color="FFFFFF"/>
            </w:tcBorders>
            <w:shd w:val="clear" w:color="000000" w:fill="EAF4D7"/>
            <w:noWrap/>
            <w:vAlign w:val="center"/>
            <w:hideMark/>
          </w:tcPr>
          <w:p w14:paraId="3FA36EC3" w14:textId="77777777" w:rsidR="008C209E" w:rsidRPr="00307E2B" w:rsidRDefault="008C209E" w:rsidP="00224AA8">
            <w:pPr>
              <w:spacing w:after="0" w:line="240" w:lineRule="auto"/>
              <w:jc w:val="center"/>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Transformadores de potencia</w:t>
            </w:r>
          </w:p>
        </w:tc>
        <w:tc>
          <w:tcPr>
            <w:tcW w:w="1614" w:type="dxa"/>
            <w:tcBorders>
              <w:top w:val="nil"/>
              <w:left w:val="nil"/>
              <w:bottom w:val="single" w:sz="8" w:space="0" w:color="FFFFFF"/>
              <w:right w:val="single" w:sz="8" w:space="0" w:color="FFFFFF"/>
            </w:tcBorders>
            <w:shd w:val="clear" w:color="000000" w:fill="BFBFBF"/>
            <w:noWrap/>
            <w:vAlign w:val="center"/>
            <w:hideMark/>
          </w:tcPr>
          <w:p w14:paraId="7BDD0FDE" w14:textId="77777777"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0</w:t>
            </w:r>
          </w:p>
        </w:tc>
        <w:tc>
          <w:tcPr>
            <w:tcW w:w="1614" w:type="dxa"/>
            <w:tcBorders>
              <w:top w:val="nil"/>
              <w:left w:val="nil"/>
              <w:bottom w:val="single" w:sz="8" w:space="0" w:color="FFFFFF"/>
              <w:right w:val="single" w:sz="8" w:space="0" w:color="FFFFFF"/>
            </w:tcBorders>
            <w:shd w:val="clear" w:color="000000" w:fill="EAF4D7"/>
            <w:noWrap/>
            <w:vAlign w:val="center"/>
          </w:tcPr>
          <w:p w14:paraId="6AB6C077" w14:textId="7BB12806"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7,585,219,500.00</w:t>
            </w:r>
          </w:p>
        </w:tc>
        <w:tc>
          <w:tcPr>
            <w:tcW w:w="1524" w:type="dxa"/>
            <w:tcBorders>
              <w:top w:val="nil"/>
              <w:left w:val="nil"/>
              <w:bottom w:val="single" w:sz="8" w:space="0" w:color="FFFFFF"/>
              <w:right w:val="single" w:sz="8" w:space="0" w:color="FFFFFF"/>
            </w:tcBorders>
            <w:shd w:val="clear" w:color="000000" w:fill="EAF4D7"/>
            <w:noWrap/>
            <w:vAlign w:val="center"/>
          </w:tcPr>
          <w:p w14:paraId="00028926" w14:textId="3C96BDD5"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4,968,408,000.00</w:t>
            </w:r>
          </w:p>
        </w:tc>
        <w:tc>
          <w:tcPr>
            <w:tcW w:w="1524" w:type="dxa"/>
            <w:tcBorders>
              <w:top w:val="nil"/>
              <w:left w:val="nil"/>
              <w:bottom w:val="single" w:sz="8" w:space="0" w:color="FFFFFF"/>
              <w:right w:val="single" w:sz="8" w:space="0" w:color="FFFFFF"/>
            </w:tcBorders>
            <w:shd w:val="clear" w:color="000000" w:fill="EAF4D7"/>
            <w:noWrap/>
            <w:vAlign w:val="center"/>
          </w:tcPr>
          <w:p w14:paraId="7C542A34" w14:textId="7FF2BB12"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w:t>
            </w:r>
          </w:p>
        </w:tc>
        <w:tc>
          <w:tcPr>
            <w:tcW w:w="1614" w:type="dxa"/>
            <w:tcBorders>
              <w:top w:val="nil"/>
              <w:left w:val="nil"/>
              <w:bottom w:val="single" w:sz="8" w:space="0" w:color="FFFFFF"/>
              <w:right w:val="single" w:sz="8" w:space="0" w:color="FFFFFF"/>
            </w:tcBorders>
            <w:shd w:val="clear" w:color="000000" w:fill="EAF4D7"/>
            <w:noWrap/>
            <w:vAlign w:val="center"/>
          </w:tcPr>
          <w:p w14:paraId="43E3FDF5" w14:textId="72740D33" w:rsidR="008C209E" w:rsidRPr="00307E2B" w:rsidRDefault="008C209E"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12,553,627,500.00</w:t>
            </w:r>
          </w:p>
        </w:tc>
      </w:tr>
      <w:tr w:rsidR="00EF3F98" w:rsidRPr="00307E2B" w14:paraId="45F9B1F6" w14:textId="77777777" w:rsidTr="00EF3F98">
        <w:trPr>
          <w:trHeight w:val="219"/>
          <w:jc w:val="center"/>
        </w:trPr>
        <w:tc>
          <w:tcPr>
            <w:tcW w:w="313" w:type="dxa"/>
            <w:tcBorders>
              <w:top w:val="nil"/>
              <w:left w:val="single" w:sz="8" w:space="0" w:color="FFFFFF"/>
              <w:bottom w:val="single" w:sz="8" w:space="0" w:color="FFFFFF"/>
              <w:right w:val="single" w:sz="8" w:space="0" w:color="FFFFFF"/>
            </w:tcBorders>
            <w:shd w:val="clear" w:color="000000" w:fill="BFE2A8"/>
            <w:noWrap/>
            <w:vAlign w:val="center"/>
            <w:hideMark/>
          </w:tcPr>
          <w:p w14:paraId="3CF9C6E1" w14:textId="77777777" w:rsidR="008C209E" w:rsidRPr="00307E2B" w:rsidRDefault="008C209E"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2</w:t>
            </w:r>
          </w:p>
        </w:tc>
        <w:tc>
          <w:tcPr>
            <w:tcW w:w="1286" w:type="dxa"/>
            <w:tcBorders>
              <w:top w:val="nil"/>
              <w:left w:val="nil"/>
              <w:bottom w:val="single" w:sz="8" w:space="0" w:color="FFFFFF"/>
              <w:right w:val="single" w:sz="8" w:space="0" w:color="FFFFFF"/>
            </w:tcBorders>
            <w:shd w:val="clear" w:color="000000" w:fill="D6EAAF"/>
            <w:noWrap/>
            <w:vAlign w:val="center"/>
            <w:hideMark/>
          </w:tcPr>
          <w:p w14:paraId="554F79E2" w14:textId="77777777" w:rsidR="008C209E" w:rsidRPr="00307E2B" w:rsidRDefault="008C209E" w:rsidP="00224AA8">
            <w:pPr>
              <w:spacing w:after="0" w:line="240" w:lineRule="auto"/>
              <w:jc w:val="center"/>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Compensación reactiva</w:t>
            </w:r>
          </w:p>
        </w:tc>
        <w:tc>
          <w:tcPr>
            <w:tcW w:w="1614" w:type="dxa"/>
            <w:tcBorders>
              <w:top w:val="nil"/>
              <w:left w:val="nil"/>
              <w:bottom w:val="single" w:sz="8" w:space="0" w:color="FFFFFF"/>
              <w:right w:val="single" w:sz="8" w:space="0" w:color="FFFFFF"/>
            </w:tcBorders>
            <w:shd w:val="clear" w:color="000000" w:fill="BFBFBF"/>
            <w:noWrap/>
            <w:vAlign w:val="center"/>
            <w:hideMark/>
          </w:tcPr>
          <w:p w14:paraId="6503AC44" w14:textId="77777777"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0</w:t>
            </w:r>
          </w:p>
        </w:tc>
        <w:tc>
          <w:tcPr>
            <w:tcW w:w="1614" w:type="dxa"/>
            <w:tcBorders>
              <w:top w:val="nil"/>
              <w:left w:val="nil"/>
              <w:bottom w:val="single" w:sz="8" w:space="0" w:color="FFFFFF"/>
              <w:right w:val="single" w:sz="8" w:space="0" w:color="FFFFFF"/>
            </w:tcBorders>
            <w:shd w:val="clear" w:color="000000" w:fill="D6EAAF"/>
            <w:noWrap/>
            <w:vAlign w:val="center"/>
          </w:tcPr>
          <w:p w14:paraId="58F48C63" w14:textId="3DE315B0"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w:t>
            </w:r>
          </w:p>
        </w:tc>
        <w:tc>
          <w:tcPr>
            <w:tcW w:w="1524" w:type="dxa"/>
            <w:tcBorders>
              <w:top w:val="nil"/>
              <w:left w:val="nil"/>
              <w:bottom w:val="single" w:sz="8" w:space="0" w:color="FFFFFF"/>
              <w:right w:val="single" w:sz="8" w:space="0" w:color="FFFFFF"/>
            </w:tcBorders>
            <w:shd w:val="clear" w:color="000000" w:fill="D6EAAF"/>
            <w:noWrap/>
            <w:vAlign w:val="center"/>
          </w:tcPr>
          <w:p w14:paraId="38BA8A15" w14:textId="30CA1734"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w:t>
            </w:r>
          </w:p>
        </w:tc>
        <w:tc>
          <w:tcPr>
            <w:tcW w:w="1524" w:type="dxa"/>
            <w:tcBorders>
              <w:top w:val="nil"/>
              <w:left w:val="nil"/>
              <w:bottom w:val="single" w:sz="8" w:space="0" w:color="FFFFFF"/>
              <w:right w:val="single" w:sz="8" w:space="0" w:color="FFFFFF"/>
            </w:tcBorders>
            <w:shd w:val="clear" w:color="000000" w:fill="D6EAAF"/>
            <w:noWrap/>
            <w:vAlign w:val="center"/>
          </w:tcPr>
          <w:p w14:paraId="6750127B" w14:textId="2A547561"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w:t>
            </w:r>
          </w:p>
        </w:tc>
        <w:tc>
          <w:tcPr>
            <w:tcW w:w="1614" w:type="dxa"/>
            <w:tcBorders>
              <w:top w:val="nil"/>
              <w:left w:val="nil"/>
              <w:bottom w:val="single" w:sz="8" w:space="0" w:color="FFFFFF"/>
              <w:right w:val="single" w:sz="8" w:space="0" w:color="FFFFFF"/>
            </w:tcBorders>
            <w:shd w:val="clear" w:color="000000" w:fill="D6EAAF"/>
            <w:noWrap/>
            <w:vAlign w:val="center"/>
          </w:tcPr>
          <w:p w14:paraId="05E1E422" w14:textId="61F07847" w:rsidR="008C209E" w:rsidRPr="00307E2B" w:rsidRDefault="008C209E"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w:t>
            </w:r>
          </w:p>
        </w:tc>
      </w:tr>
      <w:tr w:rsidR="00EF3F98" w:rsidRPr="00307E2B" w14:paraId="11D96044" w14:textId="77777777" w:rsidTr="00EF3F98">
        <w:trPr>
          <w:trHeight w:val="219"/>
          <w:jc w:val="center"/>
        </w:trPr>
        <w:tc>
          <w:tcPr>
            <w:tcW w:w="313" w:type="dxa"/>
            <w:tcBorders>
              <w:top w:val="nil"/>
              <w:left w:val="single" w:sz="8" w:space="0" w:color="FFFFFF"/>
              <w:bottom w:val="single" w:sz="8" w:space="0" w:color="FFFFFF"/>
              <w:right w:val="single" w:sz="8" w:space="0" w:color="FFFFFF"/>
            </w:tcBorders>
            <w:shd w:val="clear" w:color="000000" w:fill="BFE2A8"/>
            <w:noWrap/>
            <w:vAlign w:val="center"/>
            <w:hideMark/>
          </w:tcPr>
          <w:p w14:paraId="172CFA65" w14:textId="77777777" w:rsidR="008C209E" w:rsidRPr="00307E2B" w:rsidRDefault="008C209E"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3</w:t>
            </w:r>
          </w:p>
        </w:tc>
        <w:tc>
          <w:tcPr>
            <w:tcW w:w="1286" w:type="dxa"/>
            <w:tcBorders>
              <w:top w:val="nil"/>
              <w:left w:val="nil"/>
              <w:bottom w:val="single" w:sz="8" w:space="0" w:color="FFFFFF"/>
              <w:right w:val="single" w:sz="8" w:space="0" w:color="FFFFFF"/>
            </w:tcBorders>
            <w:shd w:val="clear" w:color="000000" w:fill="EAF4D7"/>
            <w:noWrap/>
            <w:vAlign w:val="center"/>
            <w:hideMark/>
          </w:tcPr>
          <w:p w14:paraId="338EA7DE" w14:textId="77777777" w:rsidR="008C209E" w:rsidRPr="00307E2B" w:rsidRDefault="008C209E" w:rsidP="00224AA8">
            <w:pPr>
              <w:spacing w:after="0" w:line="240" w:lineRule="auto"/>
              <w:jc w:val="center"/>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Bahías y celdas</w:t>
            </w:r>
          </w:p>
        </w:tc>
        <w:tc>
          <w:tcPr>
            <w:tcW w:w="1614" w:type="dxa"/>
            <w:tcBorders>
              <w:top w:val="nil"/>
              <w:left w:val="nil"/>
              <w:bottom w:val="single" w:sz="8" w:space="0" w:color="FFFFFF"/>
              <w:right w:val="single" w:sz="8" w:space="0" w:color="FFFFFF"/>
            </w:tcBorders>
            <w:shd w:val="clear" w:color="000000" w:fill="BFBFBF"/>
            <w:noWrap/>
            <w:vAlign w:val="center"/>
            <w:hideMark/>
          </w:tcPr>
          <w:p w14:paraId="02CACBD0" w14:textId="77777777"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0</w:t>
            </w:r>
          </w:p>
        </w:tc>
        <w:tc>
          <w:tcPr>
            <w:tcW w:w="1614" w:type="dxa"/>
            <w:tcBorders>
              <w:top w:val="nil"/>
              <w:left w:val="nil"/>
              <w:bottom w:val="single" w:sz="8" w:space="0" w:color="FFFFFF"/>
              <w:right w:val="single" w:sz="8" w:space="0" w:color="FFFFFF"/>
            </w:tcBorders>
            <w:shd w:val="clear" w:color="000000" w:fill="EAF4D7"/>
            <w:noWrap/>
            <w:vAlign w:val="center"/>
          </w:tcPr>
          <w:p w14:paraId="38F9AE13" w14:textId="6947EF7E"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6,763,681,567.75</w:t>
            </w:r>
          </w:p>
        </w:tc>
        <w:tc>
          <w:tcPr>
            <w:tcW w:w="1524" w:type="dxa"/>
            <w:tcBorders>
              <w:top w:val="nil"/>
              <w:left w:val="nil"/>
              <w:bottom w:val="single" w:sz="8" w:space="0" w:color="FFFFFF"/>
              <w:right w:val="single" w:sz="8" w:space="0" w:color="FFFFFF"/>
            </w:tcBorders>
            <w:shd w:val="clear" w:color="000000" w:fill="EAF4D7"/>
            <w:noWrap/>
            <w:vAlign w:val="center"/>
          </w:tcPr>
          <w:p w14:paraId="5D97DBA1" w14:textId="41CB09AA"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5,553,273,701.25</w:t>
            </w:r>
          </w:p>
        </w:tc>
        <w:tc>
          <w:tcPr>
            <w:tcW w:w="1524" w:type="dxa"/>
            <w:tcBorders>
              <w:top w:val="nil"/>
              <w:left w:val="nil"/>
              <w:bottom w:val="single" w:sz="8" w:space="0" w:color="FFFFFF"/>
              <w:right w:val="single" w:sz="8" w:space="0" w:color="FFFFFF"/>
            </w:tcBorders>
            <w:shd w:val="clear" w:color="000000" w:fill="EAF4D7"/>
            <w:noWrap/>
            <w:vAlign w:val="center"/>
          </w:tcPr>
          <w:p w14:paraId="25D1A055" w14:textId="6C48E492"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8,868,643,830.83</w:t>
            </w:r>
          </w:p>
        </w:tc>
        <w:tc>
          <w:tcPr>
            <w:tcW w:w="1614" w:type="dxa"/>
            <w:tcBorders>
              <w:top w:val="nil"/>
              <w:left w:val="nil"/>
              <w:bottom w:val="single" w:sz="8" w:space="0" w:color="FFFFFF"/>
              <w:right w:val="single" w:sz="8" w:space="0" w:color="FFFFFF"/>
            </w:tcBorders>
            <w:shd w:val="clear" w:color="000000" w:fill="EAF4D7"/>
            <w:noWrap/>
            <w:vAlign w:val="center"/>
          </w:tcPr>
          <w:p w14:paraId="7600A57B" w14:textId="160479DB" w:rsidR="008C209E" w:rsidRPr="00307E2B" w:rsidRDefault="008C209E"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21,185,599,099.83</w:t>
            </w:r>
          </w:p>
        </w:tc>
      </w:tr>
      <w:tr w:rsidR="00EF3F98" w:rsidRPr="00307E2B" w14:paraId="6403EE8B" w14:textId="77777777" w:rsidTr="00EF3F98">
        <w:trPr>
          <w:trHeight w:val="219"/>
          <w:jc w:val="center"/>
        </w:trPr>
        <w:tc>
          <w:tcPr>
            <w:tcW w:w="313" w:type="dxa"/>
            <w:tcBorders>
              <w:top w:val="nil"/>
              <w:left w:val="single" w:sz="8" w:space="0" w:color="FFFFFF"/>
              <w:bottom w:val="single" w:sz="8" w:space="0" w:color="FFFFFF"/>
              <w:right w:val="single" w:sz="8" w:space="0" w:color="FFFFFF"/>
            </w:tcBorders>
            <w:shd w:val="clear" w:color="000000" w:fill="BFE2A8"/>
            <w:noWrap/>
            <w:vAlign w:val="center"/>
            <w:hideMark/>
          </w:tcPr>
          <w:p w14:paraId="5B4EB87D" w14:textId="77777777" w:rsidR="008C209E" w:rsidRPr="00307E2B" w:rsidRDefault="008C209E"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4</w:t>
            </w:r>
          </w:p>
        </w:tc>
        <w:tc>
          <w:tcPr>
            <w:tcW w:w="1286" w:type="dxa"/>
            <w:tcBorders>
              <w:top w:val="nil"/>
              <w:left w:val="nil"/>
              <w:bottom w:val="single" w:sz="8" w:space="0" w:color="FFFFFF"/>
              <w:right w:val="single" w:sz="8" w:space="0" w:color="FFFFFF"/>
            </w:tcBorders>
            <w:shd w:val="clear" w:color="000000" w:fill="D6EAAF"/>
            <w:noWrap/>
            <w:vAlign w:val="center"/>
            <w:hideMark/>
          </w:tcPr>
          <w:p w14:paraId="76087E8E" w14:textId="77777777" w:rsidR="008C209E" w:rsidRPr="00307E2B" w:rsidRDefault="008C209E" w:rsidP="00224AA8">
            <w:pPr>
              <w:spacing w:after="0" w:line="240" w:lineRule="auto"/>
              <w:jc w:val="center"/>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Equipos de control y comunicaciones</w:t>
            </w:r>
          </w:p>
        </w:tc>
        <w:tc>
          <w:tcPr>
            <w:tcW w:w="1614" w:type="dxa"/>
            <w:tcBorders>
              <w:top w:val="nil"/>
              <w:left w:val="nil"/>
              <w:bottom w:val="single" w:sz="8" w:space="0" w:color="FFFFFF"/>
              <w:right w:val="single" w:sz="8" w:space="0" w:color="FFFFFF"/>
            </w:tcBorders>
            <w:shd w:val="clear" w:color="000000" w:fill="BFBFBF"/>
            <w:noWrap/>
            <w:vAlign w:val="center"/>
            <w:hideMark/>
          </w:tcPr>
          <w:p w14:paraId="3EEC040C" w14:textId="77777777"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0</w:t>
            </w:r>
          </w:p>
        </w:tc>
        <w:tc>
          <w:tcPr>
            <w:tcW w:w="1614" w:type="dxa"/>
            <w:tcBorders>
              <w:top w:val="nil"/>
              <w:left w:val="nil"/>
              <w:bottom w:val="single" w:sz="8" w:space="0" w:color="FFFFFF"/>
              <w:right w:val="single" w:sz="8" w:space="0" w:color="FFFFFF"/>
            </w:tcBorders>
            <w:shd w:val="clear" w:color="000000" w:fill="D6EAAF"/>
            <w:noWrap/>
            <w:vAlign w:val="center"/>
          </w:tcPr>
          <w:p w14:paraId="7F6420F0" w14:textId="1CC57F12"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15,127,618,671.50</w:t>
            </w:r>
          </w:p>
        </w:tc>
        <w:tc>
          <w:tcPr>
            <w:tcW w:w="1524" w:type="dxa"/>
            <w:tcBorders>
              <w:top w:val="nil"/>
              <w:left w:val="nil"/>
              <w:bottom w:val="single" w:sz="8" w:space="0" w:color="FFFFFF"/>
              <w:right w:val="single" w:sz="8" w:space="0" w:color="FFFFFF"/>
            </w:tcBorders>
            <w:shd w:val="clear" w:color="000000" w:fill="D6EAAF"/>
            <w:noWrap/>
            <w:vAlign w:val="center"/>
          </w:tcPr>
          <w:p w14:paraId="3F509C8F" w14:textId="609D049D"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1,404,564,288.00</w:t>
            </w:r>
          </w:p>
        </w:tc>
        <w:tc>
          <w:tcPr>
            <w:tcW w:w="1524" w:type="dxa"/>
            <w:tcBorders>
              <w:top w:val="nil"/>
              <w:left w:val="nil"/>
              <w:bottom w:val="single" w:sz="8" w:space="0" w:color="FFFFFF"/>
              <w:right w:val="single" w:sz="8" w:space="0" w:color="FFFFFF"/>
            </w:tcBorders>
            <w:shd w:val="clear" w:color="000000" w:fill="D6EAAF"/>
            <w:noWrap/>
            <w:vAlign w:val="center"/>
          </w:tcPr>
          <w:p w14:paraId="12930014" w14:textId="2356EABA"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2,459,578,804.00</w:t>
            </w:r>
          </w:p>
        </w:tc>
        <w:tc>
          <w:tcPr>
            <w:tcW w:w="1614" w:type="dxa"/>
            <w:tcBorders>
              <w:top w:val="nil"/>
              <w:left w:val="nil"/>
              <w:bottom w:val="single" w:sz="8" w:space="0" w:color="FFFFFF"/>
              <w:right w:val="single" w:sz="8" w:space="0" w:color="FFFFFF"/>
            </w:tcBorders>
            <w:shd w:val="clear" w:color="000000" w:fill="D6EAAF"/>
            <w:noWrap/>
            <w:vAlign w:val="center"/>
          </w:tcPr>
          <w:p w14:paraId="2C76C8D9" w14:textId="01471763" w:rsidR="008C209E" w:rsidRPr="00307E2B" w:rsidRDefault="008C209E"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18,991,761,763.50</w:t>
            </w:r>
          </w:p>
        </w:tc>
      </w:tr>
      <w:tr w:rsidR="00EF3F98" w:rsidRPr="00307E2B" w14:paraId="4868BA6F" w14:textId="77777777" w:rsidTr="00EF3F98">
        <w:trPr>
          <w:trHeight w:val="219"/>
          <w:jc w:val="center"/>
        </w:trPr>
        <w:tc>
          <w:tcPr>
            <w:tcW w:w="313" w:type="dxa"/>
            <w:tcBorders>
              <w:top w:val="nil"/>
              <w:left w:val="single" w:sz="8" w:space="0" w:color="FFFFFF"/>
              <w:bottom w:val="single" w:sz="8" w:space="0" w:color="FFFFFF"/>
              <w:right w:val="single" w:sz="8" w:space="0" w:color="FFFFFF"/>
            </w:tcBorders>
            <w:shd w:val="clear" w:color="000000" w:fill="BFE2A8"/>
            <w:noWrap/>
            <w:vAlign w:val="center"/>
            <w:hideMark/>
          </w:tcPr>
          <w:p w14:paraId="05E32FCE" w14:textId="77777777" w:rsidR="008C209E" w:rsidRPr="00307E2B" w:rsidRDefault="008C209E"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5</w:t>
            </w:r>
          </w:p>
        </w:tc>
        <w:tc>
          <w:tcPr>
            <w:tcW w:w="1286" w:type="dxa"/>
            <w:tcBorders>
              <w:top w:val="nil"/>
              <w:left w:val="nil"/>
              <w:bottom w:val="single" w:sz="8" w:space="0" w:color="FFFFFF"/>
              <w:right w:val="single" w:sz="8" w:space="0" w:color="FFFFFF"/>
            </w:tcBorders>
            <w:shd w:val="clear" w:color="000000" w:fill="EAF4D7"/>
            <w:noWrap/>
            <w:vAlign w:val="center"/>
            <w:hideMark/>
          </w:tcPr>
          <w:p w14:paraId="77AD9520" w14:textId="77777777" w:rsidR="008C209E" w:rsidRPr="00307E2B" w:rsidRDefault="008C209E" w:rsidP="00224AA8">
            <w:pPr>
              <w:spacing w:after="0" w:line="240" w:lineRule="auto"/>
              <w:jc w:val="center"/>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Equipos de subestación</w:t>
            </w:r>
          </w:p>
        </w:tc>
        <w:tc>
          <w:tcPr>
            <w:tcW w:w="1614" w:type="dxa"/>
            <w:tcBorders>
              <w:top w:val="nil"/>
              <w:left w:val="nil"/>
              <w:bottom w:val="single" w:sz="8" w:space="0" w:color="FFFFFF"/>
              <w:right w:val="single" w:sz="8" w:space="0" w:color="FFFFFF"/>
            </w:tcBorders>
            <w:shd w:val="clear" w:color="000000" w:fill="BFBFBF"/>
            <w:noWrap/>
            <w:vAlign w:val="center"/>
            <w:hideMark/>
          </w:tcPr>
          <w:p w14:paraId="593EDBAB" w14:textId="77777777"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0</w:t>
            </w:r>
          </w:p>
        </w:tc>
        <w:tc>
          <w:tcPr>
            <w:tcW w:w="1614" w:type="dxa"/>
            <w:tcBorders>
              <w:top w:val="nil"/>
              <w:left w:val="nil"/>
              <w:bottom w:val="single" w:sz="8" w:space="0" w:color="FFFFFF"/>
              <w:right w:val="single" w:sz="8" w:space="0" w:color="FFFFFF"/>
            </w:tcBorders>
            <w:shd w:val="clear" w:color="000000" w:fill="EAF4D7"/>
            <w:noWrap/>
            <w:vAlign w:val="center"/>
          </w:tcPr>
          <w:p w14:paraId="5B7E1074" w14:textId="31EFC153"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56,873,000.00</w:t>
            </w:r>
          </w:p>
        </w:tc>
        <w:tc>
          <w:tcPr>
            <w:tcW w:w="1524" w:type="dxa"/>
            <w:tcBorders>
              <w:top w:val="nil"/>
              <w:left w:val="nil"/>
              <w:bottom w:val="single" w:sz="8" w:space="0" w:color="FFFFFF"/>
              <w:right w:val="single" w:sz="8" w:space="0" w:color="FFFFFF"/>
            </w:tcBorders>
            <w:shd w:val="clear" w:color="000000" w:fill="EAF4D7"/>
            <w:noWrap/>
            <w:vAlign w:val="center"/>
          </w:tcPr>
          <w:p w14:paraId="0E4A0A1C" w14:textId="6AF5345E"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294,057,000.00</w:t>
            </w:r>
          </w:p>
        </w:tc>
        <w:tc>
          <w:tcPr>
            <w:tcW w:w="1524" w:type="dxa"/>
            <w:tcBorders>
              <w:top w:val="nil"/>
              <w:left w:val="nil"/>
              <w:bottom w:val="single" w:sz="8" w:space="0" w:color="FFFFFF"/>
              <w:right w:val="single" w:sz="8" w:space="0" w:color="FFFFFF"/>
            </w:tcBorders>
            <w:shd w:val="clear" w:color="000000" w:fill="EAF4D7"/>
            <w:noWrap/>
            <w:vAlign w:val="center"/>
          </w:tcPr>
          <w:p w14:paraId="49729117" w14:textId="466448EC"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914,814,000.00</w:t>
            </w:r>
          </w:p>
        </w:tc>
        <w:tc>
          <w:tcPr>
            <w:tcW w:w="1614" w:type="dxa"/>
            <w:tcBorders>
              <w:top w:val="nil"/>
              <w:left w:val="nil"/>
              <w:bottom w:val="single" w:sz="8" w:space="0" w:color="FFFFFF"/>
              <w:right w:val="single" w:sz="8" w:space="0" w:color="FFFFFF"/>
            </w:tcBorders>
            <w:shd w:val="clear" w:color="000000" w:fill="EAF4D7"/>
            <w:noWrap/>
            <w:vAlign w:val="center"/>
          </w:tcPr>
          <w:p w14:paraId="4B34ECAE" w14:textId="2BA0E5F6" w:rsidR="008C209E" w:rsidRPr="00307E2B" w:rsidRDefault="008C209E"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1,265,744,000.00</w:t>
            </w:r>
          </w:p>
        </w:tc>
      </w:tr>
      <w:tr w:rsidR="00EF3F98" w:rsidRPr="00307E2B" w14:paraId="7B9B9D19" w14:textId="77777777" w:rsidTr="00EF3F98">
        <w:trPr>
          <w:trHeight w:val="219"/>
          <w:jc w:val="center"/>
        </w:trPr>
        <w:tc>
          <w:tcPr>
            <w:tcW w:w="313" w:type="dxa"/>
            <w:tcBorders>
              <w:top w:val="nil"/>
              <w:left w:val="single" w:sz="8" w:space="0" w:color="FFFFFF"/>
              <w:bottom w:val="single" w:sz="8" w:space="0" w:color="FFFFFF"/>
              <w:right w:val="single" w:sz="8" w:space="0" w:color="FFFFFF"/>
            </w:tcBorders>
            <w:shd w:val="clear" w:color="000000" w:fill="BFE2A8"/>
            <w:noWrap/>
            <w:vAlign w:val="center"/>
            <w:hideMark/>
          </w:tcPr>
          <w:p w14:paraId="74C50B63" w14:textId="77777777" w:rsidR="008C209E" w:rsidRPr="00307E2B" w:rsidRDefault="008C209E"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6</w:t>
            </w:r>
          </w:p>
        </w:tc>
        <w:tc>
          <w:tcPr>
            <w:tcW w:w="1286" w:type="dxa"/>
            <w:tcBorders>
              <w:top w:val="nil"/>
              <w:left w:val="nil"/>
              <w:bottom w:val="single" w:sz="8" w:space="0" w:color="FFFFFF"/>
              <w:right w:val="single" w:sz="8" w:space="0" w:color="FFFFFF"/>
            </w:tcBorders>
            <w:shd w:val="clear" w:color="000000" w:fill="D6EAAF"/>
            <w:noWrap/>
            <w:vAlign w:val="center"/>
            <w:hideMark/>
          </w:tcPr>
          <w:p w14:paraId="4652D7B7" w14:textId="77777777" w:rsidR="008C209E" w:rsidRPr="00307E2B" w:rsidRDefault="008C209E" w:rsidP="00224AA8">
            <w:pPr>
              <w:spacing w:after="0" w:line="240" w:lineRule="auto"/>
              <w:jc w:val="center"/>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Otros activos subestación</w:t>
            </w:r>
          </w:p>
        </w:tc>
        <w:tc>
          <w:tcPr>
            <w:tcW w:w="1614" w:type="dxa"/>
            <w:tcBorders>
              <w:top w:val="nil"/>
              <w:left w:val="nil"/>
              <w:bottom w:val="single" w:sz="8" w:space="0" w:color="FFFFFF"/>
              <w:right w:val="single" w:sz="8" w:space="0" w:color="FFFFFF"/>
            </w:tcBorders>
            <w:shd w:val="clear" w:color="000000" w:fill="BFBFBF"/>
            <w:noWrap/>
            <w:vAlign w:val="center"/>
            <w:hideMark/>
          </w:tcPr>
          <w:p w14:paraId="732A5FF8" w14:textId="77777777"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0</w:t>
            </w:r>
          </w:p>
        </w:tc>
        <w:tc>
          <w:tcPr>
            <w:tcW w:w="1614" w:type="dxa"/>
            <w:tcBorders>
              <w:top w:val="nil"/>
              <w:left w:val="nil"/>
              <w:bottom w:val="single" w:sz="8" w:space="0" w:color="FFFFFF"/>
              <w:right w:val="single" w:sz="8" w:space="0" w:color="FFFFFF"/>
            </w:tcBorders>
            <w:shd w:val="clear" w:color="000000" w:fill="D6EAAF"/>
            <w:noWrap/>
            <w:vAlign w:val="center"/>
          </w:tcPr>
          <w:p w14:paraId="3BB09ACA" w14:textId="40828425"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6,422,320,865.99</w:t>
            </w:r>
          </w:p>
        </w:tc>
        <w:tc>
          <w:tcPr>
            <w:tcW w:w="1524" w:type="dxa"/>
            <w:tcBorders>
              <w:top w:val="nil"/>
              <w:left w:val="nil"/>
              <w:bottom w:val="single" w:sz="8" w:space="0" w:color="FFFFFF"/>
              <w:right w:val="single" w:sz="8" w:space="0" w:color="FFFFFF"/>
            </w:tcBorders>
            <w:shd w:val="clear" w:color="000000" w:fill="D6EAAF"/>
            <w:noWrap/>
            <w:vAlign w:val="center"/>
          </w:tcPr>
          <w:p w14:paraId="012F0E3B" w14:textId="29531519"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4,439,018,799.99</w:t>
            </w:r>
          </w:p>
        </w:tc>
        <w:tc>
          <w:tcPr>
            <w:tcW w:w="1524" w:type="dxa"/>
            <w:tcBorders>
              <w:top w:val="nil"/>
              <w:left w:val="nil"/>
              <w:bottom w:val="single" w:sz="8" w:space="0" w:color="FFFFFF"/>
              <w:right w:val="single" w:sz="8" w:space="0" w:color="FFFFFF"/>
            </w:tcBorders>
            <w:shd w:val="clear" w:color="000000" w:fill="D6EAAF"/>
            <w:noWrap/>
            <w:vAlign w:val="center"/>
          </w:tcPr>
          <w:p w14:paraId="05418E8E" w14:textId="57D4E350"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10,099,175,822.99</w:t>
            </w:r>
          </w:p>
        </w:tc>
        <w:tc>
          <w:tcPr>
            <w:tcW w:w="1614" w:type="dxa"/>
            <w:tcBorders>
              <w:top w:val="nil"/>
              <w:left w:val="nil"/>
              <w:bottom w:val="single" w:sz="8" w:space="0" w:color="FFFFFF"/>
              <w:right w:val="single" w:sz="8" w:space="0" w:color="FFFFFF"/>
            </w:tcBorders>
            <w:shd w:val="clear" w:color="000000" w:fill="D6EAAF"/>
            <w:noWrap/>
            <w:vAlign w:val="center"/>
          </w:tcPr>
          <w:p w14:paraId="3F069C01" w14:textId="2587BC9F" w:rsidR="008C209E" w:rsidRPr="00307E2B" w:rsidRDefault="008C209E"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20,960,515,488.98</w:t>
            </w:r>
          </w:p>
        </w:tc>
      </w:tr>
      <w:tr w:rsidR="00EF3F98" w:rsidRPr="00307E2B" w14:paraId="5A36FFB2" w14:textId="77777777" w:rsidTr="00EF3F98">
        <w:trPr>
          <w:trHeight w:val="219"/>
          <w:jc w:val="center"/>
        </w:trPr>
        <w:tc>
          <w:tcPr>
            <w:tcW w:w="313" w:type="dxa"/>
            <w:tcBorders>
              <w:top w:val="nil"/>
              <w:left w:val="single" w:sz="8" w:space="0" w:color="FFFFFF"/>
              <w:bottom w:val="single" w:sz="8" w:space="0" w:color="FFFFFF"/>
              <w:right w:val="single" w:sz="8" w:space="0" w:color="FFFFFF"/>
            </w:tcBorders>
            <w:shd w:val="clear" w:color="000000" w:fill="BFE2A8"/>
            <w:noWrap/>
            <w:vAlign w:val="center"/>
            <w:hideMark/>
          </w:tcPr>
          <w:p w14:paraId="1BE6B4A8" w14:textId="77777777" w:rsidR="008C209E" w:rsidRPr="00307E2B" w:rsidRDefault="008C209E"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7</w:t>
            </w:r>
          </w:p>
        </w:tc>
        <w:tc>
          <w:tcPr>
            <w:tcW w:w="1286" w:type="dxa"/>
            <w:tcBorders>
              <w:top w:val="nil"/>
              <w:left w:val="nil"/>
              <w:bottom w:val="single" w:sz="8" w:space="0" w:color="FFFFFF"/>
              <w:right w:val="single" w:sz="8" w:space="0" w:color="FFFFFF"/>
            </w:tcBorders>
            <w:shd w:val="clear" w:color="000000" w:fill="EAF4D7"/>
            <w:noWrap/>
            <w:vAlign w:val="center"/>
            <w:hideMark/>
          </w:tcPr>
          <w:p w14:paraId="7CAD4C25" w14:textId="77777777" w:rsidR="008C209E" w:rsidRPr="00307E2B" w:rsidRDefault="008C209E" w:rsidP="00224AA8">
            <w:pPr>
              <w:spacing w:after="0" w:line="240" w:lineRule="auto"/>
              <w:jc w:val="center"/>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Líneas aéreas</w:t>
            </w:r>
          </w:p>
        </w:tc>
        <w:tc>
          <w:tcPr>
            <w:tcW w:w="1614" w:type="dxa"/>
            <w:tcBorders>
              <w:top w:val="nil"/>
              <w:left w:val="nil"/>
              <w:bottom w:val="single" w:sz="8" w:space="0" w:color="FFFFFF"/>
              <w:right w:val="single" w:sz="8" w:space="0" w:color="FFFFFF"/>
            </w:tcBorders>
            <w:shd w:val="clear" w:color="000000" w:fill="BFBFBF"/>
            <w:noWrap/>
            <w:vAlign w:val="center"/>
            <w:hideMark/>
          </w:tcPr>
          <w:p w14:paraId="1F4F33B6" w14:textId="77777777"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0</w:t>
            </w:r>
          </w:p>
        </w:tc>
        <w:tc>
          <w:tcPr>
            <w:tcW w:w="1614" w:type="dxa"/>
            <w:tcBorders>
              <w:top w:val="nil"/>
              <w:left w:val="nil"/>
              <w:bottom w:val="single" w:sz="8" w:space="0" w:color="FFFFFF"/>
              <w:right w:val="single" w:sz="8" w:space="0" w:color="FFFFFF"/>
            </w:tcBorders>
            <w:shd w:val="clear" w:color="000000" w:fill="EAF4D7"/>
            <w:noWrap/>
            <w:vAlign w:val="center"/>
          </w:tcPr>
          <w:p w14:paraId="3C7F81CB" w14:textId="576FBE0D"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106,440,509,746.97</w:t>
            </w:r>
          </w:p>
        </w:tc>
        <w:tc>
          <w:tcPr>
            <w:tcW w:w="1524" w:type="dxa"/>
            <w:tcBorders>
              <w:top w:val="nil"/>
              <w:left w:val="nil"/>
              <w:bottom w:val="single" w:sz="8" w:space="0" w:color="FFFFFF"/>
              <w:right w:val="single" w:sz="8" w:space="0" w:color="FFFFFF"/>
            </w:tcBorders>
            <w:shd w:val="clear" w:color="000000" w:fill="EAF4D7"/>
            <w:noWrap/>
            <w:vAlign w:val="center"/>
          </w:tcPr>
          <w:p w14:paraId="02A316D3" w14:textId="0C39940E"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14,323,934,764.11</w:t>
            </w:r>
          </w:p>
        </w:tc>
        <w:tc>
          <w:tcPr>
            <w:tcW w:w="1524" w:type="dxa"/>
            <w:tcBorders>
              <w:top w:val="nil"/>
              <w:left w:val="nil"/>
              <w:bottom w:val="single" w:sz="8" w:space="0" w:color="FFFFFF"/>
              <w:right w:val="single" w:sz="8" w:space="0" w:color="FFFFFF"/>
            </w:tcBorders>
            <w:shd w:val="clear" w:color="000000" w:fill="EAF4D7"/>
            <w:noWrap/>
            <w:vAlign w:val="center"/>
          </w:tcPr>
          <w:p w14:paraId="45AF5A78" w14:textId="280D43F4"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473,961,830.80</w:t>
            </w:r>
          </w:p>
        </w:tc>
        <w:tc>
          <w:tcPr>
            <w:tcW w:w="1614" w:type="dxa"/>
            <w:tcBorders>
              <w:top w:val="nil"/>
              <w:left w:val="nil"/>
              <w:bottom w:val="single" w:sz="8" w:space="0" w:color="FFFFFF"/>
              <w:right w:val="single" w:sz="8" w:space="0" w:color="FFFFFF"/>
            </w:tcBorders>
            <w:shd w:val="clear" w:color="000000" w:fill="EAF4D7"/>
            <w:noWrap/>
            <w:vAlign w:val="center"/>
          </w:tcPr>
          <w:p w14:paraId="732E81D0" w14:textId="0953B884" w:rsidR="008C209E" w:rsidRPr="00307E2B" w:rsidRDefault="008C209E"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121,238,406,341.88</w:t>
            </w:r>
          </w:p>
        </w:tc>
      </w:tr>
      <w:tr w:rsidR="00EF3F98" w:rsidRPr="00307E2B" w14:paraId="746763FF" w14:textId="77777777" w:rsidTr="00EF3F98">
        <w:trPr>
          <w:trHeight w:val="219"/>
          <w:jc w:val="center"/>
        </w:trPr>
        <w:tc>
          <w:tcPr>
            <w:tcW w:w="313" w:type="dxa"/>
            <w:tcBorders>
              <w:top w:val="nil"/>
              <w:left w:val="single" w:sz="8" w:space="0" w:color="FFFFFF"/>
              <w:bottom w:val="single" w:sz="8" w:space="0" w:color="FFFFFF"/>
              <w:right w:val="single" w:sz="8" w:space="0" w:color="FFFFFF"/>
            </w:tcBorders>
            <w:shd w:val="clear" w:color="000000" w:fill="BFE2A8"/>
            <w:noWrap/>
            <w:vAlign w:val="center"/>
            <w:hideMark/>
          </w:tcPr>
          <w:p w14:paraId="0AFC48AD" w14:textId="77777777" w:rsidR="008C209E" w:rsidRPr="00307E2B" w:rsidRDefault="008C209E"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8</w:t>
            </w:r>
          </w:p>
        </w:tc>
        <w:tc>
          <w:tcPr>
            <w:tcW w:w="1286" w:type="dxa"/>
            <w:tcBorders>
              <w:top w:val="nil"/>
              <w:left w:val="nil"/>
              <w:bottom w:val="single" w:sz="8" w:space="0" w:color="FFFFFF"/>
              <w:right w:val="single" w:sz="8" w:space="0" w:color="FFFFFF"/>
            </w:tcBorders>
            <w:shd w:val="clear" w:color="000000" w:fill="D6EAAF"/>
            <w:noWrap/>
            <w:vAlign w:val="center"/>
            <w:hideMark/>
          </w:tcPr>
          <w:p w14:paraId="0B7CD5BD" w14:textId="77777777" w:rsidR="008C209E" w:rsidRPr="00307E2B" w:rsidRDefault="008C209E" w:rsidP="00224AA8">
            <w:pPr>
              <w:spacing w:after="0" w:line="240" w:lineRule="auto"/>
              <w:jc w:val="center"/>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Líneas subterráneas</w:t>
            </w:r>
          </w:p>
        </w:tc>
        <w:tc>
          <w:tcPr>
            <w:tcW w:w="1614" w:type="dxa"/>
            <w:tcBorders>
              <w:top w:val="nil"/>
              <w:left w:val="nil"/>
              <w:bottom w:val="single" w:sz="8" w:space="0" w:color="FFFFFF"/>
              <w:right w:val="single" w:sz="8" w:space="0" w:color="FFFFFF"/>
            </w:tcBorders>
            <w:shd w:val="clear" w:color="000000" w:fill="BFBFBF"/>
            <w:noWrap/>
            <w:vAlign w:val="center"/>
            <w:hideMark/>
          </w:tcPr>
          <w:p w14:paraId="4F2072AD" w14:textId="77777777"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0</w:t>
            </w:r>
          </w:p>
        </w:tc>
        <w:tc>
          <w:tcPr>
            <w:tcW w:w="1614" w:type="dxa"/>
            <w:tcBorders>
              <w:top w:val="nil"/>
              <w:left w:val="nil"/>
              <w:bottom w:val="single" w:sz="8" w:space="0" w:color="FFFFFF"/>
              <w:right w:val="single" w:sz="8" w:space="0" w:color="FFFFFF"/>
            </w:tcBorders>
            <w:shd w:val="clear" w:color="000000" w:fill="D6EAAF"/>
            <w:noWrap/>
            <w:vAlign w:val="center"/>
          </w:tcPr>
          <w:p w14:paraId="2ADC2779" w14:textId="34E4506C"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15,731,230,157.47</w:t>
            </w:r>
          </w:p>
        </w:tc>
        <w:tc>
          <w:tcPr>
            <w:tcW w:w="1524" w:type="dxa"/>
            <w:tcBorders>
              <w:top w:val="nil"/>
              <w:left w:val="nil"/>
              <w:bottom w:val="single" w:sz="8" w:space="0" w:color="FFFFFF"/>
              <w:right w:val="single" w:sz="8" w:space="0" w:color="FFFFFF"/>
            </w:tcBorders>
            <w:shd w:val="clear" w:color="000000" w:fill="D6EAAF"/>
            <w:noWrap/>
            <w:vAlign w:val="center"/>
          </w:tcPr>
          <w:p w14:paraId="5AE31184" w14:textId="09C64545"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226,474,808.64</w:t>
            </w:r>
          </w:p>
        </w:tc>
        <w:tc>
          <w:tcPr>
            <w:tcW w:w="1524" w:type="dxa"/>
            <w:tcBorders>
              <w:top w:val="nil"/>
              <w:left w:val="nil"/>
              <w:bottom w:val="single" w:sz="8" w:space="0" w:color="FFFFFF"/>
              <w:right w:val="single" w:sz="8" w:space="0" w:color="FFFFFF"/>
            </w:tcBorders>
            <w:shd w:val="clear" w:color="000000" w:fill="D6EAAF"/>
            <w:noWrap/>
            <w:vAlign w:val="center"/>
          </w:tcPr>
          <w:p w14:paraId="5423D682" w14:textId="64F5C80C"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w:t>
            </w:r>
          </w:p>
        </w:tc>
        <w:tc>
          <w:tcPr>
            <w:tcW w:w="1614" w:type="dxa"/>
            <w:tcBorders>
              <w:top w:val="nil"/>
              <w:left w:val="nil"/>
              <w:bottom w:val="single" w:sz="8" w:space="0" w:color="FFFFFF"/>
              <w:right w:val="single" w:sz="8" w:space="0" w:color="FFFFFF"/>
            </w:tcBorders>
            <w:shd w:val="clear" w:color="000000" w:fill="D6EAAF"/>
            <w:noWrap/>
            <w:vAlign w:val="center"/>
          </w:tcPr>
          <w:p w14:paraId="7DE92618" w14:textId="11899FB7" w:rsidR="008C209E" w:rsidRPr="00307E2B" w:rsidRDefault="008C209E"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15,957,704,966.11</w:t>
            </w:r>
          </w:p>
        </w:tc>
      </w:tr>
      <w:tr w:rsidR="00EF3F98" w:rsidRPr="00307E2B" w14:paraId="02E63CC3" w14:textId="77777777" w:rsidTr="00EF3F98">
        <w:trPr>
          <w:trHeight w:val="219"/>
          <w:jc w:val="center"/>
        </w:trPr>
        <w:tc>
          <w:tcPr>
            <w:tcW w:w="313" w:type="dxa"/>
            <w:tcBorders>
              <w:top w:val="nil"/>
              <w:left w:val="single" w:sz="8" w:space="0" w:color="FFFFFF"/>
              <w:bottom w:val="single" w:sz="8" w:space="0" w:color="FFFFFF"/>
              <w:right w:val="single" w:sz="8" w:space="0" w:color="FFFFFF"/>
            </w:tcBorders>
            <w:shd w:val="clear" w:color="000000" w:fill="BFE2A8"/>
            <w:noWrap/>
            <w:vAlign w:val="center"/>
            <w:hideMark/>
          </w:tcPr>
          <w:p w14:paraId="3D742273" w14:textId="77777777" w:rsidR="008C209E" w:rsidRPr="00307E2B" w:rsidRDefault="008C209E"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9</w:t>
            </w:r>
          </w:p>
        </w:tc>
        <w:tc>
          <w:tcPr>
            <w:tcW w:w="1286" w:type="dxa"/>
            <w:tcBorders>
              <w:top w:val="nil"/>
              <w:left w:val="nil"/>
              <w:bottom w:val="single" w:sz="8" w:space="0" w:color="FFFFFF"/>
              <w:right w:val="single" w:sz="8" w:space="0" w:color="FFFFFF"/>
            </w:tcBorders>
            <w:shd w:val="clear" w:color="000000" w:fill="EAF4D7"/>
            <w:noWrap/>
            <w:vAlign w:val="center"/>
            <w:hideMark/>
          </w:tcPr>
          <w:p w14:paraId="2B5A7683" w14:textId="77777777" w:rsidR="008C209E" w:rsidRPr="00307E2B" w:rsidRDefault="008C209E" w:rsidP="00224AA8">
            <w:pPr>
              <w:spacing w:after="0" w:line="240" w:lineRule="auto"/>
              <w:jc w:val="center"/>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Equipos de línea</w:t>
            </w:r>
          </w:p>
        </w:tc>
        <w:tc>
          <w:tcPr>
            <w:tcW w:w="1614" w:type="dxa"/>
            <w:tcBorders>
              <w:top w:val="nil"/>
              <w:left w:val="nil"/>
              <w:bottom w:val="single" w:sz="8" w:space="0" w:color="FFFFFF"/>
              <w:right w:val="single" w:sz="8" w:space="0" w:color="FFFFFF"/>
            </w:tcBorders>
            <w:shd w:val="clear" w:color="000000" w:fill="BFBFBF"/>
            <w:noWrap/>
            <w:vAlign w:val="center"/>
            <w:hideMark/>
          </w:tcPr>
          <w:p w14:paraId="4881462C" w14:textId="77777777"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0</w:t>
            </w:r>
          </w:p>
        </w:tc>
        <w:tc>
          <w:tcPr>
            <w:tcW w:w="1614" w:type="dxa"/>
            <w:tcBorders>
              <w:top w:val="nil"/>
              <w:left w:val="nil"/>
              <w:bottom w:val="single" w:sz="8" w:space="0" w:color="FFFFFF"/>
              <w:right w:val="single" w:sz="8" w:space="0" w:color="FFFFFF"/>
            </w:tcBorders>
            <w:shd w:val="clear" w:color="000000" w:fill="EAF4D7"/>
            <w:noWrap/>
            <w:vAlign w:val="center"/>
          </w:tcPr>
          <w:p w14:paraId="226DE3DF" w14:textId="6E036058"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25,095,849,000.00</w:t>
            </w:r>
          </w:p>
        </w:tc>
        <w:tc>
          <w:tcPr>
            <w:tcW w:w="1524" w:type="dxa"/>
            <w:tcBorders>
              <w:top w:val="nil"/>
              <w:left w:val="nil"/>
              <w:bottom w:val="single" w:sz="8" w:space="0" w:color="FFFFFF"/>
              <w:right w:val="single" w:sz="8" w:space="0" w:color="FFFFFF"/>
            </w:tcBorders>
            <w:shd w:val="clear" w:color="000000" w:fill="EAF4D7"/>
            <w:noWrap/>
            <w:vAlign w:val="center"/>
          </w:tcPr>
          <w:p w14:paraId="6CCBAC57" w14:textId="558DB61C"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1,193,516,000.00</w:t>
            </w:r>
          </w:p>
        </w:tc>
        <w:tc>
          <w:tcPr>
            <w:tcW w:w="1524" w:type="dxa"/>
            <w:tcBorders>
              <w:top w:val="nil"/>
              <w:left w:val="nil"/>
              <w:bottom w:val="single" w:sz="8" w:space="0" w:color="FFFFFF"/>
              <w:right w:val="single" w:sz="8" w:space="0" w:color="FFFFFF"/>
            </w:tcBorders>
            <w:shd w:val="clear" w:color="000000" w:fill="EAF4D7"/>
            <w:noWrap/>
            <w:vAlign w:val="center"/>
          </w:tcPr>
          <w:p w14:paraId="5C9F66A3" w14:textId="0E971C08"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w:t>
            </w:r>
          </w:p>
        </w:tc>
        <w:tc>
          <w:tcPr>
            <w:tcW w:w="1614" w:type="dxa"/>
            <w:tcBorders>
              <w:top w:val="nil"/>
              <w:left w:val="nil"/>
              <w:bottom w:val="single" w:sz="8" w:space="0" w:color="FFFFFF"/>
              <w:right w:val="single" w:sz="8" w:space="0" w:color="FFFFFF"/>
            </w:tcBorders>
            <w:shd w:val="clear" w:color="000000" w:fill="EAF4D7"/>
            <w:noWrap/>
            <w:vAlign w:val="center"/>
          </w:tcPr>
          <w:p w14:paraId="6A315DBE" w14:textId="6807667C" w:rsidR="008C209E" w:rsidRPr="00307E2B" w:rsidRDefault="008C209E"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26,289,365,000.00</w:t>
            </w:r>
          </w:p>
        </w:tc>
      </w:tr>
      <w:tr w:rsidR="00EF3F98" w:rsidRPr="00307E2B" w14:paraId="750CEFCE" w14:textId="77777777" w:rsidTr="00EF3F98">
        <w:trPr>
          <w:trHeight w:val="219"/>
          <w:jc w:val="center"/>
        </w:trPr>
        <w:tc>
          <w:tcPr>
            <w:tcW w:w="313" w:type="dxa"/>
            <w:tcBorders>
              <w:top w:val="nil"/>
              <w:left w:val="single" w:sz="8" w:space="0" w:color="FFFFFF"/>
              <w:bottom w:val="single" w:sz="8" w:space="0" w:color="FFFFFF"/>
              <w:right w:val="single" w:sz="8" w:space="0" w:color="FFFFFF"/>
            </w:tcBorders>
            <w:shd w:val="clear" w:color="000000" w:fill="BFE2A8"/>
            <w:noWrap/>
            <w:vAlign w:val="center"/>
            <w:hideMark/>
          </w:tcPr>
          <w:p w14:paraId="55B5A62F" w14:textId="77777777" w:rsidR="008C209E" w:rsidRPr="00307E2B" w:rsidRDefault="008C209E"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10</w:t>
            </w:r>
          </w:p>
        </w:tc>
        <w:tc>
          <w:tcPr>
            <w:tcW w:w="1286" w:type="dxa"/>
            <w:tcBorders>
              <w:top w:val="nil"/>
              <w:left w:val="nil"/>
              <w:bottom w:val="single" w:sz="8" w:space="0" w:color="FFFFFF"/>
              <w:right w:val="single" w:sz="8" w:space="0" w:color="FFFFFF"/>
            </w:tcBorders>
            <w:shd w:val="clear" w:color="000000" w:fill="D6EAAF"/>
            <w:noWrap/>
            <w:vAlign w:val="center"/>
            <w:hideMark/>
          </w:tcPr>
          <w:p w14:paraId="34B52C66" w14:textId="77777777" w:rsidR="008C209E" w:rsidRPr="00307E2B" w:rsidRDefault="008C209E" w:rsidP="00224AA8">
            <w:pPr>
              <w:spacing w:after="0" w:line="240" w:lineRule="auto"/>
              <w:jc w:val="center"/>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Centro de control</w:t>
            </w:r>
          </w:p>
        </w:tc>
        <w:tc>
          <w:tcPr>
            <w:tcW w:w="1614" w:type="dxa"/>
            <w:tcBorders>
              <w:top w:val="nil"/>
              <w:left w:val="nil"/>
              <w:bottom w:val="single" w:sz="8" w:space="0" w:color="FFFFFF"/>
              <w:right w:val="single" w:sz="8" w:space="0" w:color="FFFFFF"/>
            </w:tcBorders>
            <w:shd w:val="clear" w:color="000000" w:fill="BFBFBF"/>
            <w:noWrap/>
            <w:vAlign w:val="center"/>
            <w:hideMark/>
          </w:tcPr>
          <w:p w14:paraId="25750EF0" w14:textId="77777777"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0</w:t>
            </w:r>
          </w:p>
        </w:tc>
        <w:tc>
          <w:tcPr>
            <w:tcW w:w="1614" w:type="dxa"/>
            <w:tcBorders>
              <w:top w:val="nil"/>
              <w:left w:val="nil"/>
              <w:bottom w:val="single" w:sz="8" w:space="0" w:color="FFFFFF"/>
              <w:right w:val="single" w:sz="8" w:space="0" w:color="FFFFFF"/>
            </w:tcBorders>
            <w:shd w:val="clear" w:color="000000" w:fill="D6EAAF"/>
            <w:noWrap/>
            <w:vAlign w:val="center"/>
          </w:tcPr>
          <w:p w14:paraId="16CAC46A" w14:textId="63DEBF04"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3,634,142,544.84</w:t>
            </w:r>
          </w:p>
        </w:tc>
        <w:tc>
          <w:tcPr>
            <w:tcW w:w="1524" w:type="dxa"/>
            <w:tcBorders>
              <w:top w:val="nil"/>
              <w:left w:val="nil"/>
              <w:bottom w:val="single" w:sz="8" w:space="0" w:color="FFFFFF"/>
              <w:right w:val="single" w:sz="8" w:space="0" w:color="FFFFFF"/>
            </w:tcBorders>
            <w:shd w:val="clear" w:color="000000" w:fill="D6EAAF"/>
            <w:noWrap/>
            <w:vAlign w:val="center"/>
          </w:tcPr>
          <w:p w14:paraId="7BDDC4F6" w14:textId="4D527D24"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3,634,142,544.84</w:t>
            </w:r>
          </w:p>
        </w:tc>
        <w:tc>
          <w:tcPr>
            <w:tcW w:w="1524" w:type="dxa"/>
            <w:tcBorders>
              <w:top w:val="nil"/>
              <w:left w:val="nil"/>
              <w:bottom w:val="single" w:sz="8" w:space="0" w:color="FFFFFF"/>
              <w:right w:val="single" w:sz="8" w:space="0" w:color="FFFFFF"/>
            </w:tcBorders>
            <w:shd w:val="clear" w:color="000000" w:fill="D6EAAF"/>
            <w:noWrap/>
            <w:vAlign w:val="center"/>
          </w:tcPr>
          <w:p w14:paraId="05DA02E3" w14:textId="04653BCE"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3,634,142,544.84</w:t>
            </w:r>
          </w:p>
        </w:tc>
        <w:tc>
          <w:tcPr>
            <w:tcW w:w="1614" w:type="dxa"/>
            <w:tcBorders>
              <w:top w:val="nil"/>
              <w:left w:val="nil"/>
              <w:bottom w:val="single" w:sz="8" w:space="0" w:color="FFFFFF"/>
              <w:right w:val="single" w:sz="8" w:space="0" w:color="FFFFFF"/>
            </w:tcBorders>
            <w:shd w:val="clear" w:color="000000" w:fill="D6EAAF"/>
            <w:noWrap/>
            <w:vAlign w:val="center"/>
          </w:tcPr>
          <w:p w14:paraId="17AD7923" w14:textId="29270EC4" w:rsidR="008C209E" w:rsidRPr="00307E2B" w:rsidRDefault="008C209E"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10,902,427,634.52</w:t>
            </w:r>
          </w:p>
        </w:tc>
      </w:tr>
      <w:tr w:rsidR="00EF3F98" w:rsidRPr="00307E2B" w14:paraId="2A127D26" w14:textId="77777777" w:rsidTr="00EF3F98">
        <w:trPr>
          <w:trHeight w:val="219"/>
          <w:jc w:val="center"/>
        </w:trPr>
        <w:tc>
          <w:tcPr>
            <w:tcW w:w="313" w:type="dxa"/>
            <w:tcBorders>
              <w:top w:val="nil"/>
              <w:left w:val="single" w:sz="8" w:space="0" w:color="FFFFFF"/>
              <w:bottom w:val="single" w:sz="8" w:space="0" w:color="FFFFFF"/>
              <w:right w:val="single" w:sz="8" w:space="0" w:color="FFFFFF"/>
            </w:tcBorders>
            <w:shd w:val="clear" w:color="000000" w:fill="BFE2A8"/>
            <w:noWrap/>
            <w:vAlign w:val="center"/>
            <w:hideMark/>
          </w:tcPr>
          <w:p w14:paraId="0C58A59B" w14:textId="77777777" w:rsidR="008C209E" w:rsidRPr="00307E2B" w:rsidRDefault="008C209E"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11</w:t>
            </w:r>
          </w:p>
        </w:tc>
        <w:tc>
          <w:tcPr>
            <w:tcW w:w="1286" w:type="dxa"/>
            <w:tcBorders>
              <w:top w:val="nil"/>
              <w:left w:val="nil"/>
              <w:bottom w:val="single" w:sz="8" w:space="0" w:color="FFFFFF"/>
              <w:right w:val="single" w:sz="8" w:space="0" w:color="FFFFFF"/>
            </w:tcBorders>
            <w:shd w:val="clear" w:color="000000" w:fill="EAF4D7"/>
            <w:noWrap/>
            <w:vAlign w:val="center"/>
            <w:hideMark/>
          </w:tcPr>
          <w:p w14:paraId="3FD5D0D9" w14:textId="5A6E4C32" w:rsidR="008C209E" w:rsidRPr="00307E2B" w:rsidRDefault="008C209E" w:rsidP="00224AA8">
            <w:pPr>
              <w:spacing w:after="0" w:line="240" w:lineRule="auto"/>
              <w:jc w:val="center"/>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Transformadores de distribución</w:t>
            </w:r>
          </w:p>
        </w:tc>
        <w:tc>
          <w:tcPr>
            <w:tcW w:w="1614" w:type="dxa"/>
            <w:tcBorders>
              <w:top w:val="nil"/>
              <w:left w:val="nil"/>
              <w:bottom w:val="single" w:sz="8" w:space="0" w:color="FFFFFF"/>
              <w:right w:val="single" w:sz="8" w:space="0" w:color="FFFFFF"/>
            </w:tcBorders>
            <w:shd w:val="clear" w:color="000000" w:fill="EAF4D7"/>
            <w:noWrap/>
            <w:vAlign w:val="center"/>
            <w:hideMark/>
          </w:tcPr>
          <w:p w14:paraId="08B9EEC0" w14:textId="188D03AB"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39,318,321,632.00</w:t>
            </w:r>
          </w:p>
        </w:tc>
        <w:tc>
          <w:tcPr>
            <w:tcW w:w="1614" w:type="dxa"/>
            <w:tcBorders>
              <w:top w:val="nil"/>
              <w:left w:val="nil"/>
              <w:bottom w:val="single" w:sz="8" w:space="0" w:color="FFFFFF"/>
              <w:right w:val="single" w:sz="8" w:space="0" w:color="FFFFFF"/>
            </w:tcBorders>
            <w:shd w:val="clear" w:color="000000" w:fill="BFBFBF"/>
            <w:noWrap/>
            <w:vAlign w:val="center"/>
            <w:hideMark/>
          </w:tcPr>
          <w:p w14:paraId="6008EE06" w14:textId="77777777"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0</w:t>
            </w:r>
          </w:p>
        </w:tc>
        <w:tc>
          <w:tcPr>
            <w:tcW w:w="1524" w:type="dxa"/>
            <w:tcBorders>
              <w:top w:val="nil"/>
              <w:left w:val="nil"/>
              <w:bottom w:val="single" w:sz="8" w:space="0" w:color="FFFFFF"/>
              <w:right w:val="single" w:sz="8" w:space="0" w:color="FFFFFF"/>
            </w:tcBorders>
            <w:shd w:val="clear" w:color="000000" w:fill="BFBFBF"/>
            <w:noWrap/>
            <w:vAlign w:val="center"/>
            <w:hideMark/>
          </w:tcPr>
          <w:p w14:paraId="51A057D0" w14:textId="77777777"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0</w:t>
            </w:r>
          </w:p>
        </w:tc>
        <w:tc>
          <w:tcPr>
            <w:tcW w:w="1524" w:type="dxa"/>
            <w:tcBorders>
              <w:top w:val="nil"/>
              <w:left w:val="nil"/>
              <w:bottom w:val="single" w:sz="8" w:space="0" w:color="FFFFFF"/>
              <w:right w:val="single" w:sz="8" w:space="0" w:color="FFFFFF"/>
            </w:tcBorders>
            <w:shd w:val="clear" w:color="000000" w:fill="BFBFBF"/>
            <w:noWrap/>
            <w:vAlign w:val="center"/>
            <w:hideMark/>
          </w:tcPr>
          <w:p w14:paraId="0F55952A" w14:textId="77777777"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0</w:t>
            </w:r>
          </w:p>
        </w:tc>
        <w:tc>
          <w:tcPr>
            <w:tcW w:w="1614" w:type="dxa"/>
            <w:tcBorders>
              <w:top w:val="nil"/>
              <w:left w:val="nil"/>
              <w:bottom w:val="single" w:sz="8" w:space="0" w:color="FFFFFF"/>
              <w:right w:val="single" w:sz="8" w:space="0" w:color="FFFFFF"/>
            </w:tcBorders>
            <w:shd w:val="clear" w:color="000000" w:fill="EAF4D7"/>
            <w:noWrap/>
            <w:vAlign w:val="center"/>
          </w:tcPr>
          <w:p w14:paraId="6148347D" w14:textId="49304BA8" w:rsidR="008C209E" w:rsidRPr="00307E2B" w:rsidRDefault="008C209E"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39,318,321,632.00</w:t>
            </w:r>
          </w:p>
        </w:tc>
      </w:tr>
      <w:tr w:rsidR="00EF3F98" w:rsidRPr="00307E2B" w14:paraId="5415B329" w14:textId="77777777" w:rsidTr="00EF3F98">
        <w:trPr>
          <w:trHeight w:val="219"/>
          <w:jc w:val="center"/>
        </w:trPr>
        <w:tc>
          <w:tcPr>
            <w:tcW w:w="313" w:type="dxa"/>
            <w:tcBorders>
              <w:top w:val="nil"/>
              <w:left w:val="single" w:sz="8" w:space="0" w:color="FFFFFF"/>
              <w:bottom w:val="single" w:sz="8" w:space="0" w:color="FFFFFF"/>
              <w:right w:val="single" w:sz="8" w:space="0" w:color="FFFFFF"/>
            </w:tcBorders>
            <w:shd w:val="clear" w:color="000000" w:fill="BFE2A8"/>
            <w:noWrap/>
            <w:vAlign w:val="center"/>
            <w:hideMark/>
          </w:tcPr>
          <w:p w14:paraId="2257D733" w14:textId="77777777" w:rsidR="008C209E" w:rsidRPr="00307E2B" w:rsidRDefault="008C209E"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12</w:t>
            </w:r>
          </w:p>
        </w:tc>
        <w:tc>
          <w:tcPr>
            <w:tcW w:w="1286" w:type="dxa"/>
            <w:tcBorders>
              <w:top w:val="nil"/>
              <w:left w:val="nil"/>
              <w:bottom w:val="single" w:sz="8" w:space="0" w:color="FFFFFF"/>
              <w:right w:val="single" w:sz="8" w:space="0" w:color="FFFFFF"/>
            </w:tcBorders>
            <w:shd w:val="clear" w:color="000000" w:fill="D6EAAF"/>
            <w:noWrap/>
            <w:vAlign w:val="center"/>
            <w:hideMark/>
          </w:tcPr>
          <w:p w14:paraId="1EE78271" w14:textId="77777777" w:rsidR="008C209E" w:rsidRPr="00307E2B" w:rsidRDefault="008C209E" w:rsidP="00224AA8">
            <w:pPr>
              <w:spacing w:after="0" w:line="240" w:lineRule="auto"/>
              <w:jc w:val="center"/>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Redes de distribución</w:t>
            </w:r>
          </w:p>
        </w:tc>
        <w:tc>
          <w:tcPr>
            <w:tcW w:w="1614" w:type="dxa"/>
            <w:tcBorders>
              <w:top w:val="nil"/>
              <w:left w:val="nil"/>
              <w:bottom w:val="single" w:sz="8" w:space="0" w:color="FFFFFF"/>
              <w:right w:val="single" w:sz="8" w:space="0" w:color="FFFFFF"/>
            </w:tcBorders>
            <w:shd w:val="clear" w:color="000000" w:fill="D6EAAF"/>
            <w:noWrap/>
            <w:vAlign w:val="center"/>
            <w:hideMark/>
          </w:tcPr>
          <w:p w14:paraId="3283E465" w14:textId="30770A53"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71,177,939,602.51</w:t>
            </w:r>
          </w:p>
        </w:tc>
        <w:tc>
          <w:tcPr>
            <w:tcW w:w="1614" w:type="dxa"/>
            <w:tcBorders>
              <w:top w:val="nil"/>
              <w:left w:val="nil"/>
              <w:bottom w:val="single" w:sz="8" w:space="0" w:color="FFFFFF"/>
              <w:right w:val="single" w:sz="8" w:space="0" w:color="FFFFFF"/>
            </w:tcBorders>
            <w:shd w:val="clear" w:color="000000" w:fill="BFBFBF"/>
            <w:noWrap/>
            <w:vAlign w:val="center"/>
            <w:hideMark/>
          </w:tcPr>
          <w:p w14:paraId="08DDCB24" w14:textId="77777777"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0</w:t>
            </w:r>
          </w:p>
        </w:tc>
        <w:tc>
          <w:tcPr>
            <w:tcW w:w="1524" w:type="dxa"/>
            <w:tcBorders>
              <w:top w:val="nil"/>
              <w:left w:val="nil"/>
              <w:bottom w:val="single" w:sz="8" w:space="0" w:color="FFFFFF"/>
              <w:right w:val="single" w:sz="8" w:space="0" w:color="FFFFFF"/>
            </w:tcBorders>
            <w:shd w:val="clear" w:color="000000" w:fill="BFBFBF"/>
            <w:noWrap/>
            <w:vAlign w:val="center"/>
            <w:hideMark/>
          </w:tcPr>
          <w:p w14:paraId="3FC6CC64" w14:textId="77777777"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0</w:t>
            </w:r>
          </w:p>
        </w:tc>
        <w:tc>
          <w:tcPr>
            <w:tcW w:w="1524" w:type="dxa"/>
            <w:tcBorders>
              <w:top w:val="nil"/>
              <w:left w:val="nil"/>
              <w:bottom w:val="single" w:sz="8" w:space="0" w:color="FFFFFF"/>
              <w:right w:val="single" w:sz="8" w:space="0" w:color="FFFFFF"/>
            </w:tcBorders>
            <w:shd w:val="clear" w:color="000000" w:fill="BFBFBF"/>
            <w:noWrap/>
            <w:vAlign w:val="center"/>
            <w:hideMark/>
          </w:tcPr>
          <w:p w14:paraId="489BE787" w14:textId="77777777" w:rsidR="008C209E" w:rsidRPr="00307E2B" w:rsidRDefault="008C209E" w:rsidP="00224AA8">
            <w:pPr>
              <w:spacing w:after="0" w:line="240" w:lineRule="auto"/>
              <w:jc w:val="right"/>
              <w:rPr>
                <w:rFonts w:ascii="Trebuchet MS" w:eastAsia="Times New Roman" w:hAnsi="Trebuchet MS" w:cs="Calibri"/>
                <w:color w:val="000000"/>
                <w:sz w:val="16"/>
                <w:szCs w:val="16"/>
                <w:lang w:eastAsia="es-CO"/>
              </w:rPr>
            </w:pPr>
            <w:r w:rsidRPr="00307E2B">
              <w:rPr>
                <w:rFonts w:ascii="Trebuchet MS" w:eastAsia="Times New Roman" w:hAnsi="Trebuchet MS" w:cs="Calibri"/>
                <w:color w:val="000000"/>
                <w:sz w:val="16"/>
                <w:szCs w:val="16"/>
                <w:lang w:eastAsia="es-CO"/>
              </w:rPr>
              <w:t>0</w:t>
            </w:r>
          </w:p>
        </w:tc>
        <w:tc>
          <w:tcPr>
            <w:tcW w:w="1614" w:type="dxa"/>
            <w:tcBorders>
              <w:top w:val="nil"/>
              <w:left w:val="nil"/>
              <w:bottom w:val="single" w:sz="8" w:space="0" w:color="FFFFFF"/>
              <w:right w:val="single" w:sz="8" w:space="0" w:color="FFFFFF"/>
            </w:tcBorders>
            <w:shd w:val="clear" w:color="000000" w:fill="D6EAAF"/>
            <w:noWrap/>
            <w:vAlign w:val="center"/>
          </w:tcPr>
          <w:p w14:paraId="200DFFA9" w14:textId="1570F63B" w:rsidR="008C209E" w:rsidRPr="00307E2B" w:rsidRDefault="008C209E"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71,177,939,602.51</w:t>
            </w:r>
          </w:p>
        </w:tc>
      </w:tr>
      <w:tr w:rsidR="00DA2467" w:rsidRPr="00307E2B" w14:paraId="5F811A0D" w14:textId="77777777" w:rsidTr="002F1FFA">
        <w:trPr>
          <w:trHeight w:val="219"/>
          <w:jc w:val="center"/>
        </w:trPr>
        <w:tc>
          <w:tcPr>
            <w:tcW w:w="1600" w:type="dxa"/>
            <w:gridSpan w:val="2"/>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5F8711A5" w14:textId="77777777" w:rsidR="00DA2467" w:rsidRPr="00307E2B" w:rsidRDefault="00DA2467" w:rsidP="00224AA8">
            <w:pPr>
              <w:spacing w:after="0" w:line="240" w:lineRule="auto"/>
              <w:jc w:val="center"/>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TOTAL</w:t>
            </w:r>
          </w:p>
        </w:tc>
        <w:tc>
          <w:tcPr>
            <w:tcW w:w="1614" w:type="dxa"/>
            <w:tcBorders>
              <w:top w:val="nil"/>
              <w:left w:val="nil"/>
              <w:bottom w:val="single" w:sz="8" w:space="0" w:color="FFFFFF"/>
              <w:right w:val="single" w:sz="8" w:space="0" w:color="FFFFFF"/>
            </w:tcBorders>
            <w:shd w:val="clear" w:color="000000" w:fill="BFE2A8"/>
            <w:noWrap/>
            <w:vAlign w:val="center"/>
          </w:tcPr>
          <w:p w14:paraId="5BBCDA68" w14:textId="7034079F" w:rsidR="00DA2467" w:rsidRPr="00307E2B" w:rsidRDefault="008C209E"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110,496,261,234.51</w:t>
            </w:r>
          </w:p>
        </w:tc>
        <w:tc>
          <w:tcPr>
            <w:tcW w:w="1614" w:type="dxa"/>
            <w:tcBorders>
              <w:top w:val="nil"/>
              <w:left w:val="nil"/>
              <w:bottom w:val="single" w:sz="8" w:space="0" w:color="FFFFFF"/>
              <w:right w:val="single" w:sz="8" w:space="0" w:color="FFFFFF"/>
            </w:tcBorders>
            <w:shd w:val="clear" w:color="000000" w:fill="BFE2A8"/>
            <w:noWrap/>
            <w:vAlign w:val="center"/>
          </w:tcPr>
          <w:p w14:paraId="77139E18" w14:textId="691CFFF2" w:rsidR="00DA2467" w:rsidRPr="00307E2B" w:rsidRDefault="002F7208"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186,857,445,054.53</w:t>
            </w:r>
          </w:p>
        </w:tc>
        <w:tc>
          <w:tcPr>
            <w:tcW w:w="1524" w:type="dxa"/>
            <w:tcBorders>
              <w:top w:val="nil"/>
              <w:left w:val="nil"/>
              <w:bottom w:val="single" w:sz="8" w:space="0" w:color="FFFFFF"/>
              <w:right w:val="single" w:sz="8" w:space="0" w:color="FFFFFF"/>
            </w:tcBorders>
            <w:shd w:val="clear" w:color="000000" w:fill="BFE2A8"/>
            <w:noWrap/>
            <w:vAlign w:val="center"/>
          </w:tcPr>
          <w:p w14:paraId="46A50883" w14:textId="2F8C06AD" w:rsidR="00DA2467" w:rsidRPr="00307E2B" w:rsidRDefault="002F7208"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36,037,389,906.83</w:t>
            </w:r>
          </w:p>
        </w:tc>
        <w:tc>
          <w:tcPr>
            <w:tcW w:w="1524" w:type="dxa"/>
            <w:tcBorders>
              <w:top w:val="nil"/>
              <w:left w:val="nil"/>
              <w:bottom w:val="single" w:sz="8" w:space="0" w:color="FFFFFF"/>
              <w:right w:val="single" w:sz="8" w:space="0" w:color="FFFFFF"/>
            </w:tcBorders>
            <w:shd w:val="clear" w:color="000000" w:fill="BFE2A8"/>
            <w:noWrap/>
            <w:vAlign w:val="center"/>
          </w:tcPr>
          <w:p w14:paraId="444464ED" w14:textId="1903F7B2" w:rsidR="00DA2467" w:rsidRPr="00307E2B" w:rsidRDefault="002F7208"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26,450,316,833.46</w:t>
            </w:r>
          </w:p>
        </w:tc>
        <w:tc>
          <w:tcPr>
            <w:tcW w:w="1614" w:type="dxa"/>
            <w:tcBorders>
              <w:top w:val="nil"/>
              <w:left w:val="nil"/>
              <w:bottom w:val="single" w:sz="8" w:space="0" w:color="FFFFFF"/>
              <w:right w:val="single" w:sz="8" w:space="0" w:color="FFFFFF"/>
            </w:tcBorders>
            <w:shd w:val="clear" w:color="000000" w:fill="BFE2A8"/>
            <w:noWrap/>
            <w:vAlign w:val="center"/>
          </w:tcPr>
          <w:p w14:paraId="0EE0C20D" w14:textId="6EF99FAE" w:rsidR="00DA2467" w:rsidRPr="00307E2B" w:rsidRDefault="007A03BA" w:rsidP="00224AA8">
            <w:pPr>
              <w:spacing w:after="0" w:line="240" w:lineRule="auto"/>
              <w:jc w:val="right"/>
              <w:rPr>
                <w:rFonts w:ascii="Trebuchet MS" w:eastAsia="Times New Roman" w:hAnsi="Trebuchet MS" w:cs="Calibri"/>
                <w:b/>
                <w:bCs/>
                <w:color w:val="000000"/>
                <w:sz w:val="16"/>
                <w:szCs w:val="16"/>
                <w:lang w:eastAsia="es-CO"/>
              </w:rPr>
            </w:pPr>
            <w:r w:rsidRPr="00307E2B">
              <w:rPr>
                <w:rFonts w:ascii="Trebuchet MS" w:eastAsia="Times New Roman" w:hAnsi="Trebuchet MS" w:cs="Calibri"/>
                <w:b/>
                <w:bCs/>
                <w:color w:val="000000"/>
                <w:sz w:val="16"/>
                <w:szCs w:val="16"/>
                <w:lang w:eastAsia="es-CO"/>
              </w:rPr>
              <w:t>359,841,413,029.33</w:t>
            </w:r>
          </w:p>
        </w:tc>
      </w:tr>
      <w:tr w:rsidR="001F3B4F" w:rsidRPr="00307E2B" w14:paraId="597B90E2" w14:textId="77777777" w:rsidTr="002F1FFA">
        <w:trPr>
          <w:trHeight w:val="219"/>
          <w:jc w:val="center"/>
        </w:trPr>
        <w:tc>
          <w:tcPr>
            <w:tcW w:w="9493" w:type="dxa"/>
            <w:gridSpan w:val="7"/>
            <w:tcBorders>
              <w:top w:val="single" w:sz="8" w:space="0" w:color="FFFFFF"/>
              <w:left w:val="single" w:sz="8" w:space="0" w:color="FFFFFF"/>
              <w:bottom w:val="single" w:sz="8" w:space="0" w:color="FFFFFF"/>
              <w:right w:val="single" w:sz="8" w:space="0" w:color="FFFFFF"/>
            </w:tcBorders>
            <w:shd w:val="clear" w:color="000000" w:fill="DFF0D3"/>
            <w:noWrap/>
            <w:vAlign w:val="center"/>
            <w:hideMark/>
          </w:tcPr>
          <w:p w14:paraId="76D160CD" w14:textId="77777777" w:rsidR="001F3B4F" w:rsidRPr="00307E2B" w:rsidRDefault="001F3B4F" w:rsidP="00224AA8">
            <w:pPr>
              <w:spacing w:after="0" w:line="240" w:lineRule="auto"/>
              <w:jc w:val="center"/>
              <w:rPr>
                <w:rFonts w:ascii="Trebuchet MS" w:eastAsia="Times New Roman" w:hAnsi="Trebuchet MS" w:cs="Calibri"/>
                <w:i/>
                <w:iCs/>
                <w:color w:val="000000"/>
                <w:sz w:val="16"/>
                <w:szCs w:val="16"/>
                <w:lang w:eastAsia="es-CO"/>
              </w:rPr>
            </w:pPr>
            <w:r w:rsidRPr="00307E2B">
              <w:rPr>
                <w:rFonts w:ascii="Trebuchet MS" w:eastAsia="Times New Roman" w:hAnsi="Trebuchet MS" w:cs="Calibri"/>
                <w:i/>
                <w:iCs/>
                <w:color w:val="000000"/>
                <w:sz w:val="16"/>
                <w:szCs w:val="16"/>
                <w:lang w:eastAsia="es-CO"/>
              </w:rPr>
              <w:t>*Todos los valores están en pesos a diciembre del 2017.</w:t>
            </w:r>
          </w:p>
        </w:tc>
      </w:tr>
    </w:tbl>
    <w:p w14:paraId="0C7E40C1" w14:textId="77777777" w:rsidR="002F1FFA" w:rsidRDefault="002F1FFA" w:rsidP="00DF29CB">
      <w:pPr>
        <w:ind w:left="360"/>
        <w:jc w:val="both"/>
        <w:rPr>
          <w:rFonts w:ascii="Trebuchet MS" w:hAnsi="Trebuchet MS"/>
          <w:szCs w:val="24"/>
        </w:rPr>
      </w:pPr>
    </w:p>
    <w:p w14:paraId="6EDB0C12" w14:textId="30461AC8" w:rsidR="005A4974" w:rsidRPr="002946A9" w:rsidRDefault="00917008" w:rsidP="00DF29CB">
      <w:pPr>
        <w:ind w:left="360"/>
        <w:jc w:val="both"/>
        <w:rPr>
          <w:rFonts w:ascii="Trebuchet MS" w:hAnsi="Trebuchet MS"/>
          <w:szCs w:val="24"/>
        </w:rPr>
      </w:pPr>
      <w:r w:rsidRPr="002946A9">
        <w:rPr>
          <w:rFonts w:ascii="Trebuchet MS" w:hAnsi="Trebuchet MS"/>
          <w:szCs w:val="24"/>
        </w:rPr>
        <w:t xml:space="preserve">Acorde con lo dispuesto </w:t>
      </w:r>
      <w:r w:rsidR="00584DEA" w:rsidRPr="002946A9">
        <w:rPr>
          <w:rFonts w:ascii="Trebuchet MS" w:hAnsi="Trebuchet MS"/>
          <w:szCs w:val="24"/>
        </w:rPr>
        <w:t xml:space="preserve">con el numeral </w:t>
      </w:r>
      <w:r w:rsidR="00D45DAF" w:rsidRPr="002946A9">
        <w:rPr>
          <w:rFonts w:ascii="Trebuchet MS" w:hAnsi="Trebuchet MS"/>
          <w:szCs w:val="24"/>
        </w:rPr>
        <w:t>3.</w:t>
      </w:r>
      <w:r w:rsidR="00765C43" w:rsidRPr="002946A9">
        <w:rPr>
          <w:rFonts w:ascii="Trebuchet MS" w:hAnsi="Trebuchet MS"/>
          <w:szCs w:val="24"/>
        </w:rPr>
        <w:t>1.</w:t>
      </w:r>
      <w:r w:rsidR="0008218E" w:rsidRPr="002946A9">
        <w:rPr>
          <w:rFonts w:ascii="Trebuchet MS" w:hAnsi="Trebuchet MS"/>
          <w:szCs w:val="24"/>
        </w:rPr>
        <w:t>1.2</w:t>
      </w:r>
      <w:r w:rsidR="00E06B97" w:rsidRPr="002946A9">
        <w:rPr>
          <w:rFonts w:ascii="Trebuchet MS" w:hAnsi="Trebuchet MS"/>
          <w:szCs w:val="24"/>
        </w:rPr>
        <w:t>, de la resolución CREG 015 del 2018,</w:t>
      </w:r>
      <w:r w:rsidR="00F145FA" w:rsidRPr="002946A9">
        <w:rPr>
          <w:rFonts w:ascii="Trebuchet MS" w:hAnsi="Trebuchet MS"/>
          <w:szCs w:val="24"/>
        </w:rPr>
        <w:t xml:space="preserve"> respecto a la variable </w:t>
      </w:r>
      <w:r w:rsidR="00F145FA" w:rsidRPr="002946A9">
        <w:rPr>
          <w:rFonts w:ascii="Trebuchet MS" w:hAnsi="Trebuchet MS"/>
          <w:i/>
          <w:iCs/>
          <w:szCs w:val="24"/>
        </w:rPr>
        <w:t>INVR</w:t>
      </w:r>
      <w:r w:rsidR="00F145FA" w:rsidRPr="002946A9">
        <w:rPr>
          <w:rFonts w:ascii="Trebuchet MS" w:hAnsi="Trebuchet MS"/>
          <w:i/>
          <w:iCs/>
          <w:szCs w:val="24"/>
          <w:vertAlign w:val="subscript"/>
        </w:rPr>
        <w:t>j,n,l,</w:t>
      </w:r>
      <w:r w:rsidR="005239FA" w:rsidRPr="002946A9">
        <w:rPr>
          <w:rFonts w:ascii="Trebuchet MS" w:hAnsi="Trebuchet MS"/>
          <w:i/>
          <w:iCs/>
          <w:szCs w:val="24"/>
          <w:vertAlign w:val="subscript"/>
        </w:rPr>
        <w:t>t</w:t>
      </w:r>
      <w:r w:rsidR="00F145FA" w:rsidRPr="002946A9">
        <w:t xml:space="preserve">: </w:t>
      </w:r>
      <w:r w:rsidR="002346E9" w:rsidRPr="002946A9">
        <w:rPr>
          <w:i/>
          <w:iCs/>
        </w:rPr>
        <w:t>“</w:t>
      </w:r>
      <w:r w:rsidR="000C3BEF" w:rsidRPr="002946A9">
        <w:rPr>
          <w:rFonts w:ascii="Trebuchet MS" w:hAnsi="Trebuchet MS"/>
          <w:i/>
          <w:iCs/>
          <w:szCs w:val="24"/>
        </w:rPr>
        <w:t>Para los niveles de tensión 1, 2 y 3 el valor máximo de esta variable para el año t es 1</w:t>
      </w:r>
      <w:r w:rsidR="008A11FE" w:rsidRPr="002946A9">
        <w:rPr>
          <w:rFonts w:ascii="Trebuchet MS" w:hAnsi="Trebuchet MS"/>
          <w:i/>
          <w:iCs/>
          <w:szCs w:val="24"/>
        </w:rPr>
        <w:t>.</w:t>
      </w:r>
      <w:r w:rsidR="000C3BEF" w:rsidRPr="002946A9">
        <w:rPr>
          <w:rFonts w:ascii="Trebuchet MS" w:hAnsi="Trebuchet MS"/>
          <w:i/>
          <w:iCs/>
          <w:szCs w:val="24"/>
        </w:rPr>
        <w:t>1 veces la variable INVA</w:t>
      </w:r>
      <w:r w:rsidR="000C3BEF" w:rsidRPr="002946A9">
        <w:rPr>
          <w:rFonts w:ascii="Trebuchet MS" w:hAnsi="Trebuchet MS"/>
          <w:i/>
          <w:iCs/>
          <w:szCs w:val="24"/>
          <w:vertAlign w:val="subscript"/>
        </w:rPr>
        <w:t>j,n,l,t</w:t>
      </w:r>
      <w:r w:rsidR="000C3BEF" w:rsidRPr="002946A9">
        <w:rPr>
          <w:rFonts w:ascii="Trebuchet MS" w:hAnsi="Trebuchet MS"/>
          <w:i/>
          <w:iCs/>
          <w:szCs w:val="24"/>
        </w:rPr>
        <w:t>.</w:t>
      </w:r>
      <w:r w:rsidR="002346E9" w:rsidRPr="002946A9">
        <w:rPr>
          <w:rFonts w:ascii="Trebuchet MS" w:hAnsi="Trebuchet MS"/>
          <w:i/>
          <w:iCs/>
          <w:szCs w:val="24"/>
        </w:rPr>
        <w:t xml:space="preserve"> </w:t>
      </w:r>
      <w:r w:rsidR="000C3BEF" w:rsidRPr="002946A9">
        <w:rPr>
          <w:rFonts w:ascii="Trebuchet MS" w:hAnsi="Trebuchet MS"/>
          <w:i/>
          <w:iCs/>
          <w:szCs w:val="24"/>
        </w:rPr>
        <w:t>En caso de superarse este valor, la diferencia se puede incorporar en el INVR</w:t>
      </w:r>
      <w:r w:rsidR="000C3BEF" w:rsidRPr="002946A9">
        <w:rPr>
          <w:rFonts w:ascii="Trebuchet MS" w:hAnsi="Trebuchet MS"/>
          <w:i/>
          <w:iCs/>
          <w:szCs w:val="24"/>
          <w:vertAlign w:val="subscript"/>
        </w:rPr>
        <w:t>j,n,l</w:t>
      </w:r>
      <w:r w:rsidR="000C3BEF" w:rsidRPr="002946A9">
        <w:rPr>
          <w:rFonts w:ascii="Trebuchet MS" w:hAnsi="Trebuchet MS"/>
          <w:i/>
          <w:iCs/>
          <w:szCs w:val="24"/>
        </w:rPr>
        <w:t xml:space="preserve"> del siguiente año</w:t>
      </w:r>
      <w:r w:rsidR="002346E9" w:rsidRPr="002946A9">
        <w:rPr>
          <w:rFonts w:ascii="Trebuchet MS" w:hAnsi="Trebuchet MS"/>
          <w:i/>
          <w:iCs/>
          <w:szCs w:val="24"/>
        </w:rPr>
        <w:t>”</w:t>
      </w:r>
      <w:r w:rsidR="00B022D8" w:rsidRPr="002946A9">
        <w:rPr>
          <w:rFonts w:ascii="Trebuchet MS" w:hAnsi="Trebuchet MS"/>
          <w:szCs w:val="24"/>
        </w:rPr>
        <w:t xml:space="preserve">. </w:t>
      </w:r>
    </w:p>
    <w:p w14:paraId="0B894C94" w14:textId="23940503" w:rsidR="001669C2" w:rsidRPr="002946A9" w:rsidRDefault="00B022D8" w:rsidP="00A93762">
      <w:pPr>
        <w:spacing w:after="0"/>
        <w:ind w:left="360"/>
        <w:jc w:val="both"/>
        <w:rPr>
          <w:rFonts w:ascii="Trebuchet MS" w:hAnsi="Trebuchet MS" w:cs="Arial"/>
        </w:rPr>
      </w:pPr>
      <w:r w:rsidRPr="002946A9">
        <w:rPr>
          <w:rFonts w:ascii="Trebuchet MS" w:hAnsi="Trebuchet MS"/>
          <w:szCs w:val="24"/>
        </w:rPr>
        <w:t>Con base en lo anterior</w:t>
      </w:r>
      <w:r w:rsidR="00AD59E2" w:rsidRPr="002946A9">
        <w:rPr>
          <w:rFonts w:ascii="Trebuchet MS" w:hAnsi="Trebuchet MS"/>
          <w:szCs w:val="24"/>
        </w:rPr>
        <w:t xml:space="preserve">, a los valores </w:t>
      </w:r>
      <w:r w:rsidR="00065E7C" w:rsidRPr="002946A9">
        <w:rPr>
          <w:rFonts w:ascii="Trebuchet MS" w:hAnsi="Trebuchet MS"/>
          <w:szCs w:val="24"/>
        </w:rPr>
        <w:t>por categorías y nivel</w:t>
      </w:r>
      <w:r w:rsidR="00685EEF" w:rsidRPr="002946A9">
        <w:rPr>
          <w:rFonts w:ascii="Trebuchet MS" w:hAnsi="Trebuchet MS"/>
          <w:szCs w:val="24"/>
        </w:rPr>
        <w:t xml:space="preserve">es </w:t>
      </w:r>
      <w:r w:rsidR="00065E7C" w:rsidRPr="002946A9">
        <w:rPr>
          <w:rFonts w:ascii="Trebuchet MS" w:hAnsi="Trebuchet MS"/>
          <w:szCs w:val="24"/>
        </w:rPr>
        <w:t>de tensión</w:t>
      </w:r>
      <w:r w:rsidR="00685EEF" w:rsidRPr="002946A9">
        <w:rPr>
          <w:rFonts w:ascii="Trebuchet MS" w:hAnsi="Trebuchet MS"/>
          <w:szCs w:val="24"/>
        </w:rPr>
        <w:t xml:space="preserve"> 1, 2 y 3</w:t>
      </w:r>
      <w:r w:rsidR="00C80555" w:rsidRPr="002946A9">
        <w:rPr>
          <w:rFonts w:ascii="Trebuchet MS" w:hAnsi="Trebuchet MS"/>
          <w:szCs w:val="24"/>
        </w:rPr>
        <w:t>,</w:t>
      </w:r>
      <w:r w:rsidR="00F97B3E" w:rsidRPr="002946A9">
        <w:rPr>
          <w:rFonts w:ascii="Trebuchet MS" w:hAnsi="Trebuchet MS"/>
          <w:szCs w:val="24"/>
        </w:rPr>
        <w:t xml:space="preserve"> </w:t>
      </w:r>
      <w:r w:rsidR="00AD59E2" w:rsidRPr="002946A9">
        <w:rPr>
          <w:rFonts w:ascii="Trebuchet MS" w:hAnsi="Trebuchet MS"/>
          <w:szCs w:val="24"/>
        </w:rPr>
        <w:t xml:space="preserve">presentados en la </w:t>
      </w:r>
      <w:r w:rsidR="00AD59E2" w:rsidRPr="002946A9">
        <w:rPr>
          <w:rFonts w:ascii="Trebuchet MS" w:hAnsi="Trebuchet MS"/>
          <w:szCs w:val="24"/>
        </w:rPr>
        <w:fldChar w:fldCharType="begin"/>
      </w:r>
      <w:r w:rsidR="00AD59E2" w:rsidRPr="002946A9">
        <w:rPr>
          <w:rFonts w:ascii="Trebuchet MS" w:hAnsi="Trebuchet MS"/>
          <w:szCs w:val="24"/>
        </w:rPr>
        <w:instrText xml:space="preserve"> REF _Ref67390194 \h </w:instrText>
      </w:r>
      <w:r w:rsidR="00DF29CB" w:rsidRPr="002946A9">
        <w:rPr>
          <w:rFonts w:ascii="Trebuchet MS" w:hAnsi="Trebuchet MS"/>
          <w:szCs w:val="24"/>
        </w:rPr>
        <w:instrText xml:space="preserve"> \* MERGEFORMAT </w:instrText>
      </w:r>
      <w:r w:rsidR="00AD59E2" w:rsidRPr="002946A9">
        <w:rPr>
          <w:rFonts w:ascii="Trebuchet MS" w:hAnsi="Trebuchet MS"/>
          <w:szCs w:val="24"/>
        </w:rPr>
      </w:r>
      <w:r w:rsidR="00AD59E2"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1</w:t>
      </w:r>
      <w:r w:rsidR="00AD59E2" w:rsidRPr="002946A9">
        <w:rPr>
          <w:rFonts w:ascii="Trebuchet MS" w:hAnsi="Trebuchet MS"/>
          <w:szCs w:val="24"/>
        </w:rPr>
        <w:fldChar w:fldCharType="end"/>
      </w:r>
      <w:r w:rsidR="00AD59E2" w:rsidRPr="002946A9">
        <w:rPr>
          <w:rFonts w:ascii="Trebuchet MS" w:hAnsi="Trebuchet MS"/>
          <w:szCs w:val="24"/>
        </w:rPr>
        <w:t xml:space="preserve">, </w:t>
      </w:r>
      <w:r w:rsidR="00893E0C" w:rsidRPr="002946A9">
        <w:rPr>
          <w:rFonts w:ascii="Trebuchet MS" w:hAnsi="Trebuchet MS"/>
          <w:szCs w:val="24"/>
        </w:rPr>
        <w:t>se le</w:t>
      </w:r>
      <w:r w:rsidR="009819ED" w:rsidRPr="002946A9">
        <w:rPr>
          <w:rFonts w:ascii="Trebuchet MS" w:hAnsi="Trebuchet MS"/>
          <w:szCs w:val="24"/>
        </w:rPr>
        <w:t>s</w:t>
      </w:r>
      <w:r w:rsidR="00893E0C" w:rsidRPr="002946A9">
        <w:rPr>
          <w:rFonts w:ascii="Trebuchet MS" w:hAnsi="Trebuchet MS"/>
          <w:szCs w:val="24"/>
        </w:rPr>
        <w:t xml:space="preserve"> aplica e</w:t>
      </w:r>
      <w:r w:rsidR="00AD59E2" w:rsidRPr="002946A9">
        <w:rPr>
          <w:rFonts w:ascii="Trebuchet MS" w:hAnsi="Trebuchet MS"/>
          <w:szCs w:val="24"/>
        </w:rPr>
        <w:t>l</w:t>
      </w:r>
      <w:r w:rsidR="00593728" w:rsidRPr="002946A9">
        <w:rPr>
          <w:rFonts w:ascii="Trebuchet MS" w:hAnsi="Trebuchet MS"/>
          <w:szCs w:val="24"/>
        </w:rPr>
        <w:t xml:space="preserve"> acote</w:t>
      </w:r>
      <w:r w:rsidR="005A4974" w:rsidRPr="002946A9">
        <w:rPr>
          <w:rFonts w:ascii="Trebuchet MS" w:hAnsi="Trebuchet MS"/>
          <w:szCs w:val="24"/>
        </w:rPr>
        <w:t xml:space="preserve"> con límite </w:t>
      </w:r>
      <w:r w:rsidR="0081626B" w:rsidRPr="002946A9">
        <w:rPr>
          <w:rFonts w:ascii="Trebuchet MS" w:hAnsi="Trebuchet MS"/>
          <w:szCs w:val="24"/>
        </w:rPr>
        <w:t xml:space="preserve">superior </w:t>
      </w:r>
      <w:r w:rsidR="00201BFE" w:rsidRPr="002946A9">
        <w:rPr>
          <w:rFonts w:ascii="Trebuchet MS" w:hAnsi="Trebuchet MS"/>
          <w:szCs w:val="24"/>
        </w:rPr>
        <w:t>correspondiente a</w:t>
      </w:r>
      <w:r w:rsidR="00593728" w:rsidRPr="002946A9">
        <w:rPr>
          <w:rFonts w:ascii="Trebuchet MS" w:hAnsi="Trebuchet MS"/>
          <w:szCs w:val="24"/>
        </w:rPr>
        <w:t xml:space="preserve"> 1.1</w:t>
      </w:r>
      <w:r w:rsidR="002D378C" w:rsidRPr="002946A9">
        <w:rPr>
          <w:rFonts w:ascii="Trebuchet MS" w:hAnsi="Trebuchet MS"/>
          <w:szCs w:val="24"/>
        </w:rPr>
        <w:t>*</w:t>
      </w:r>
      <w:r w:rsidR="00BB3FA2" w:rsidRPr="002946A9">
        <w:rPr>
          <w:rFonts w:ascii="Trebuchet MS" w:hAnsi="Trebuchet MS"/>
          <w:szCs w:val="24"/>
        </w:rPr>
        <w:t>(</w:t>
      </w:r>
      <w:r w:rsidR="002D378C" w:rsidRPr="002946A9">
        <w:rPr>
          <w:rFonts w:ascii="Trebuchet MS" w:hAnsi="Trebuchet MS" w:cstheme="minorHAnsi"/>
          <w:i/>
          <w:iCs/>
        </w:rPr>
        <w:t>INVA</w:t>
      </w:r>
      <w:r w:rsidR="002D378C" w:rsidRPr="002946A9">
        <w:rPr>
          <w:rFonts w:ascii="Trebuchet MS" w:hAnsi="Trebuchet MS" w:cstheme="minorHAnsi"/>
          <w:i/>
          <w:iCs/>
          <w:vertAlign w:val="subscript"/>
        </w:rPr>
        <w:t>j,n,l,</w:t>
      </w:r>
      <w:r w:rsidR="00E52275">
        <w:rPr>
          <w:rFonts w:ascii="Trebuchet MS" w:hAnsi="Trebuchet MS" w:cstheme="minorHAnsi"/>
          <w:i/>
          <w:iCs/>
          <w:vertAlign w:val="subscript"/>
        </w:rPr>
        <w:t>4</w:t>
      </w:r>
      <w:r w:rsidR="00E52275" w:rsidRPr="002946A9">
        <w:rPr>
          <w:rFonts w:ascii="Trebuchet MS" w:hAnsi="Trebuchet MS" w:cstheme="minorHAnsi"/>
          <w:i/>
          <w:iCs/>
          <w:vertAlign w:val="subscript"/>
        </w:rPr>
        <w:t xml:space="preserve"> </w:t>
      </w:r>
      <w:r w:rsidR="00B803BC" w:rsidRPr="002946A9">
        <w:rPr>
          <w:rFonts w:ascii="Trebuchet MS" w:hAnsi="Trebuchet MS" w:cs="Arial"/>
        </w:rPr>
        <w:t>dado en la</w:t>
      </w:r>
      <w:r w:rsidR="00BB3FA2" w:rsidRPr="002946A9">
        <w:rPr>
          <w:rFonts w:ascii="Trebuchet MS" w:hAnsi="Trebuchet MS" w:cs="Arial"/>
        </w:rPr>
        <w:t xml:space="preserve"> </w:t>
      </w:r>
      <w:r w:rsidR="00BB3FA2" w:rsidRPr="002946A9">
        <w:rPr>
          <w:rFonts w:ascii="Trebuchet MS" w:hAnsi="Trebuchet MS" w:cs="Arial"/>
        </w:rPr>
        <w:fldChar w:fldCharType="begin"/>
      </w:r>
      <w:r w:rsidR="00BB3FA2" w:rsidRPr="002946A9">
        <w:rPr>
          <w:rFonts w:ascii="Trebuchet MS" w:hAnsi="Trebuchet MS" w:cs="Arial"/>
        </w:rPr>
        <w:instrText xml:space="preserve"> REF _Ref67067707 \h </w:instrText>
      </w:r>
      <w:r w:rsidR="00DF29CB" w:rsidRPr="002946A9">
        <w:rPr>
          <w:rFonts w:ascii="Trebuchet MS" w:hAnsi="Trebuchet MS" w:cs="Arial"/>
        </w:rPr>
        <w:instrText xml:space="preserve"> \* MERGEFORMAT </w:instrText>
      </w:r>
      <w:r w:rsidR="00BB3FA2" w:rsidRPr="002946A9">
        <w:rPr>
          <w:rFonts w:ascii="Trebuchet MS" w:hAnsi="Trebuchet MS" w:cs="Arial"/>
        </w:rPr>
      </w:r>
      <w:r w:rsidR="00BB3FA2" w:rsidRPr="002946A9">
        <w:rPr>
          <w:rFonts w:ascii="Trebuchet MS" w:hAnsi="Trebuchet MS" w:cs="Arial"/>
        </w:rPr>
        <w:fldChar w:fldCharType="separate"/>
      </w:r>
      <w:r w:rsidR="00C944CB" w:rsidRPr="002946A9">
        <w:rPr>
          <w:rFonts w:ascii="Trebuchet MS" w:hAnsi="Trebuchet MS"/>
        </w:rPr>
        <w:t xml:space="preserve">Tabla </w:t>
      </w:r>
      <w:r w:rsidR="00C944CB">
        <w:rPr>
          <w:rFonts w:ascii="Trebuchet MS" w:hAnsi="Trebuchet MS"/>
          <w:noProof/>
        </w:rPr>
        <w:t>2</w:t>
      </w:r>
      <w:r w:rsidR="00C944CB" w:rsidRPr="002946A9">
        <w:rPr>
          <w:rFonts w:ascii="Trebuchet MS" w:hAnsi="Trebuchet MS"/>
          <w:noProof/>
        </w:rPr>
        <w:t>.</w:t>
      </w:r>
      <w:r w:rsidR="00C944CB">
        <w:rPr>
          <w:rFonts w:ascii="Trebuchet MS" w:hAnsi="Trebuchet MS"/>
          <w:noProof/>
        </w:rPr>
        <w:t>19</w:t>
      </w:r>
      <w:r w:rsidR="00BB3FA2" w:rsidRPr="002946A9">
        <w:rPr>
          <w:rFonts w:ascii="Trebuchet MS" w:hAnsi="Trebuchet MS" w:cs="Arial"/>
        </w:rPr>
        <w:fldChar w:fldCharType="end"/>
      </w:r>
      <w:r w:rsidR="00BB3FA2" w:rsidRPr="002946A9">
        <w:rPr>
          <w:rFonts w:ascii="Trebuchet MS" w:hAnsi="Trebuchet MS" w:cs="Arial"/>
        </w:rPr>
        <w:t xml:space="preserve">), </w:t>
      </w:r>
      <w:r w:rsidR="001669C2" w:rsidRPr="002946A9">
        <w:rPr>
          <w:rFonts w:ascii="Trebuchet MS" w:hAnsi="Trebuchet MS" w:cs="Arial"/>
        </w:rPr>
        <w:t>el resultado se presenta en</w:t>
      </w:r>
      <w:r w:rsidR="002F6A9B" w:rsidRPr="002946A9">
        <w:rPr>
          <w:rFonts w:ascii="Trebuchet MS" w:hAnsi="Trebuchet MS" w:cs="Arial"/>
        </w:rPr>
        <w:t xml:space="preserve"> la </w:t>
      </w:r>
      <w:r w:rsidR="002F6A9B" w:rsidRPr="002946A9">
        <w:rPr>
          <w:rFonts w:ascii="Trebuchet MS" w:hAnsi="Trebuchet MS" w:cs="Arial"/>
        </w:rPr>
        <w:fldChar w:fldCharType="begin"/>
      </w:r>
      <w:r w:rsidR="002F6A9B" w:rsidRPr="002946A9">
        <w:rPr>
          <w:rFonts w:ascii="Trebuchet MS" w:hAnsi="Trebuchet MS" w:cs="Arial"/>
        </w:rPr>
        <w:instrText xml:space="preserve"> REF _Ref67392343 \h </w:instrText>
      </w:r>
      <w:r w:rsidR="00DF29CB" w:rsidRPr="002946A9">
        <w:rPr>
          <w:rFonts w:ascii="Trebuchet MS" w:hAnsi="Trebuchet MS" w:cs="Arial"/>
        </w:rPr>
        <w:instrText xml:space="preserve"> \* MERGEFORMAT </w:instrText>
      </w:r>
      <w:r w:rsidR="002F6A9B" w:rsidRPr="002946A9">
        <w:rPr>
          <w:rFonts w:ascii="Trebuchet MS" w:hAnsi="Trebuchet MS" w:cs="Arial"/>
        </w:rPr>
      </w:r>
      <w:r w:rsidR="002F6A9B" w:rsidRPr="002946A9">
        <w:rPr>
          <w:rFonts w:ascii="Trebuchet MS" w:hAnsi="Trebuchet MS" w:cs="Arial"/>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2</w:t>
      </w:r>
      <w:r w:rsidR="002F6A9B" w:rsidRPr="002946A9">
        <w:rPr>
          <w:rFonts w:ascii="Trebuchet MS" w:hAnsi="Trebuchet MS" w:cs="Arial"/>
        </w:rPr>
        <w:fldChar w:fldCharType="end"/>
      </w:r>
      <w:r w:rsidR="002F6A9B" w:rsidRPr="002946A9">
        <w:rPr>
          <w:rFonts w:ascii="Trebuchet MS" w:hAnsi="Trebuchet MS" w:cs="Arial"/>
        </w:rPr>
        <w:t>.</w:t>
      </w:r>
    </w:p>
    <w:p w14:paraId="01C941EE" w14:textId="13FAE372" w:rsidR="006304DD" w:rsidRPr="002946A9" w:rsidRDefault="006304DD" w:rsidP="00DF29CB">
      <w:pPr>
        <w:ind w:left="360"/>
        <w:jc w:val="both"/>
        <w:rPr>
          <w:rFonts w:ascii="Trebuchet MS" w:hAnsi="Trebuchet MS" w:cs="Arial"/>
        </w:rPr>
      </w:pPr>
    </w:p>
    <w:p w14:paraId="1B990B60" w14:textId="480BECF5" w:rsidR="000C0C92" w:rsidRPr="002946A9" w:rsidRDefault="000C0C92" w:rsidP="000C0C92">
      <w:pPr>
        <w:ind w:left="1416" w:hanging="1056"/>
        <w:jc w:val="both"/>
        <w:rPr>
          <w:rFonts w:ascii="Trebuchet MS" w:hAnsi="Trebuchet MS"/>
        </w:rPr>
      </w:pPr>
      <w:bookmarkStart w:id="184" w:name="_Ref67392343"/>
      <w:bookmarkStart w:id="185" w:name="_Toc131032792"/>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2</w:t>
      </w:r>
      <w:r w:rsidRPr="002946A9">
        <w:rPr>
          <w:rFonts w:ascii="Trebuchet MS" w:hAnsi="Trebuchet MS"/>
        </w:rPr>
        <w:fldChar w:fldCharType="end"/>
      </w:r>
      <w:bookmarkEnd w:id="184"/>
      <w:r w:rsidRPr="002946A9">
        <w:rPr>
          <w:rFonts w:ascii="Trebuchet MS" w:hAnsi="Trebuchet MS"/>
        </w:rPr>
        <w:t xml:space="preserve">  Inversiones en activos puestos en operación en el sistema de EPM en el año </w:t>
      </w:r>
      <w:r w:rsidR="007B7AEB" w:rsidRPr="002946A9">
        <w:rPr>
          <w:rFonts w:ascii="Trebuchet MS" w:hAnsi="Trebuchet MS"/>
        </w:rPr>
        <w:t>202</w:t>
      </w:r>
      <w:r w:rsidR="007B7AEB">
        <w:rPr>
          <w:rFonts w:ascii="Trebuchet MS" w:hAnsi="Trebuchet MS"/>
        </w:rPr>
        <w:t>2</w:t>
      </w:r>
      <w:r w:rsidRPr="002946A9">
        <w:rPr>
          <w:rFonts w:ascii="Trebuchet MS" w:hAnsi="Trebuchet MS"/>
        </w:rPr>
        <w:t>. Incluye el acote del 1.1*</w:t>
      </w:r>
      <w:r w:rsidRPr="002946A9">
        <w:rPr>
          <w:rFonts w:ascii="Trebuchet MS" w:hAnsi="Trebuchet MS" w:cstheme="minorHAnsi"/>
          <w:i/>
          <w:iCs/>
        </w:rPr>
        <w:t>INVA</w:t>
      </w:r>
      <w:r w:rsidRPr="002946A9">
        <w:rPr>
          <w:rFonts w:ascii="Trebuchet MS" w:hAnsi="Trebuchet MS" w:cstheme="minorHAnsi"/>
          <w:i/>
          <w:iCs/>
          <w:vertAlign w:val="subscript"/>
        </w:rPr>
        <w:t>j,n,l,</w:t>
      </w:r>
      <w:r w:rsidR="007B7AEB">
        <w:rPr>
          <w:rFonts w:ascii="Trebuchet MS" w:hAnsi="Trebuchet MS" w:cstheme="minorHAnsi"/>
          <w:i/>
          <w:iCs/>
          <w:vertAlign w:val="subscript"/>
        </w:rPr>
        <w:t>4</w:t>
      </w:r>
      <w:r w:rsidR="007B7AEB" w:rsidRPr="002946A9">
        <w:rPr>
          <w:rFonts w:ascii="Trebuchet MS" w:hAnsi="Trebuchet MS" w:cstheme="minorHAnsi"/>
          <w:i/>
          <w:iCs/>
        </w:rPr>
        <w:t xml:space="preserve"> </w:t>
      </w:r>
      <w:r w:rsidR="00150B12" w:rsidRPr="002946A9">
        <w:rPr>
          <w:rFonts w:ascii="Trebuchet MS" w:hAnsi="Trebuchet MS" w:cstheme="minorHAnsi"/>
          <w:i/>
          <w:iCs/>
        </w:rPr>
        <w:t>para N</w:t>
      </w:r>
      <w:r w:rsidR="00C35749" w:rsidRPr="002946A9">
        <w:rPr>
          <w:rFonts w:ascii="Trebuchet MS" w:hAnsi="Trebuchet MS" w:cstheme="minorHAnsi"/>
          <w:i/>
          <w:iCs/>
        </w:rPr>
        <w:t xml:space="preserve">1, </w:t>
      </w:r>
      <w:r w:rsidR="00150B12" w:rsidRPr="002946A9">
        <w:rPr>
          <w:rFonts w:ascii="Trebuchet MS" w:hAnsi="Trebuchet MS" w:cstheme="minorHAnsi"/>
          <w:i/>
          <w:iCs/>
        </w:rPr>
        <w:t>N</w:t>
      </w:r>
      <w:r w:rsidR="00C35749" w:rsidRPr="002946A9">
        <w:rPr>
          <w:rFonts w:ascii="Trebuchet MS" w:hAnsi="Trebuchet MS" w:cstheme="minorHAnsi"/>
          <w:i/>
          <w:iCs/>
        </w:rPr>
        <w:t xml:space="preserve">2 </w:t>
      </w:r>
      <w:r w:rsidR="00402DAC" w:rsidRPr="002946A9">
        <w:rPr>
          <w:rFonts w:ascii="Trebuchet MS" w:hAnsi="Trebuchet MS" w:cstheme="minorHAnsi"/>
          <w:i/>
          <w:iCs/>
        </w:rPr>
        <w:t>y</w:t>
      </w:r>
      <w:r w:rsidR="00C35749" w:rsidRPr="002946A9">
        <w:rPr>
          <w:rFonts w:ascii="Trebuchet MS" w:hAnsi="Trebuchet MS" w:cstheme="minorHAnsi"/>
          <w:i/>
          <w:iCs/>
        </w:rPr>
        <w:t xml:space="preserve"> </w:t>
      </w:r>
      <w:r w:rsidR="00150B12" w:rsidRPr="002946A9">
        <w:rPr>
          <w:rFonts w:ascii="Trebuchet MS" w:hAnsi="Trebuchet MS" w:cstheme="minorHAnsi"/>
          <w:i/>
          <w:iCs/>
        </w:rPr>
        <w:t>N</w:t>
      </w:r>
      <w:r w:rsidR="00C35749" w:rsidRPr="002946A9">
        <w:rPr>
          <w:rFonts w:ascii="Trebuchet MS" w:hAnsi="Trebuchet MS" w:cstheme="minorHAnsi"/>
          <w:i/>
          <w:iCs/>
        </w:rPr>
        <w:t>3</w:t>
      </w:r>
      <w:r w:rsidR="00150B12" w:rsidRPr="002946A9">
        <w:rPr>
          <w:rFonts w:ascii="Trebuchet MS" w:hAnsi="Trebuchet MS" w:cstheme="minorHAnsi"/>
          <w:i/>
          <w:iCs/>
        </w:rPr>
        <w:t>.</w:t>
      </w:r>
      <w:bookmarkEnd w:id="185"/>
    </w:p>
    <w:tbl>
      <w:tblPr>
        <w:tblStyle w:val="Tablaconcuadrcula5oscura-nfasis1"/>
        <w:tblW w:w="10119" w:type="dxa"/>
        <w:tblLayout w:type="fixed"/>
        <w:tblCellMar>
          <w:left w:w="57" w:type="dxa"/>
          <w:right w:w="57" w:type="dxa"/>
        </w:tblCellMar>
        <w:tblLook w:val="04A0" w:firstRow="1" w:lastRow="0" w:firstColumn="1" w:lastColumn="0" w:noHBand="0" w:noVBand="1"/>
      </w:tblPr>
      <w:tblGrid>
        <w:gridCol w:w="448"/>
        <w:gridCol w:w="1524"/>
        <w:gridCol w:w="1601"/>
        <w:gridCol w:w="1650"/>
        <w:gridCol w:w="1601"/>
        <w:gridCol w:w="1601"/>
        <w:gridCol w:w="1672"/>
        <w:gridCol w:w="22"/>
      </w:tblGrid>
      <w:tr w:rsidR="000C0C92" w:rsidRPr="00307E2B" w14:paraId="6C6F89DC" w14:textId="77777777" w:rsidTr="00307E2B">
        <w:trPr>
          <w:cnfStyle w:val="100000000000" w:firstRow="1" w:lastRow="0" w:firstColumn="0" w:lastColumn="0" w:oddVBand="0" w:evenVBand="0" w:oddHBand="0" w:evenHBand="0" w:firstRowFirstColumn="0" w:firstRowLastColumn="0" w:lastRowFirstColumn="0" w:lastRowLastColumn="0"/>
          <w:trHeight w:val="176"/>
          <w:tblHeader/>
        </w:trPr>
        <w:tc>
          <w:tcPr>
            <w:cnfStyle w:val="001000000000" w:firstRow="0" w:lastRow="0" w:firstColumn="1" w:lastColumn="0" w:oddVBand="0" w:evenVBand="0" w:oddHBand="0" w:evenHBand="0" w:firstRowFirstColumn="0" w:firstRowLastColumn="0" w:lastRowFirstColumn="0" w:lastRowLastColumn="0"/>
            <w:tcW w:w="448" w:type="dxa"/>
            <w:vMerge w:val="restart"/>
            <w:noWrap/>
            <w:hideMark/>
          </w:tcPr>
          <w:p w14:paraId="59562862" w14:textId="77777777" w:rsidR="000C0C92" w:rsidRPr="00307E2B" w:rsidRDefault="000C0C92" w:rsidP="001D28D0">
            <w:pPr>
              <w:rPr>
                <w:rFonts w:eastAsia="Times New Roman" w:cs="Times New Roman"/>
                <w:i/>
                <w:iCs/>
                <w:color w:val="auto"/>
                <w:sz w:val="16"/>
                <w:szCs w:val="16"/>
                <w:lang w:eastAsia="es-CO"/>
              </w:rPr>
            </w:pPr>
            <w:r w:rsidRPr="00307E2B">
              <w:rPr>
                <w:rFonts w:eastAsia="Times New Roman" w:cs="Times New Roman"/>
                <w:i/>
                <w:iCs/>
                <w:sz w:val="16"/>
                <w:szCs w:val="16"/>
                <w:lang w:eastAsia="es-CO"/>
              </w:rPr>
              <w:t>l</w:t>
            </w:r>
          </w:p>
        </w:tc>
        <w:tc>
          <w:tcPr>
            <w:tcW w:w="1524" w:type="dxa"/>
            <w:vMerge w:val="restart"/>
            <w:noWrap/>
            <w:hideMark/>
          </w:tcPr>
          <w:p w14:paraId="59580E84" w14:textId="77777777" w:rsidR="000C0C92" w:rsidRPr="00307E2B" w:rsidRDefault="000C0C92" w:rsidP="001D28D0">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es-CO"/>
              </w:rPr>
            </w:pPr>
            <w:r w:rsidRPr="00307E2B">
              <w:rPr>
                <w:rFonts w:eastAsia="Times New Roman" w:cs="Times New Roman"/>
                <w:sz w:val="16"/>
                <w:szCs w:val="16"/>
                <w:lang w:eastAsia="es-CO"/>
              </w:rPr>
              <w:t>Descripción</w:t>
            </w:r>
          </w:p>
        </w:tc>
        <w:tc>
          <w:tcPr>
            <w:tcW w:w="8146" w:type="dxa"/>
            <w:gridSpan w:val="6"/>
            <w:noWrap/>
            <w:hideMark/>
          </w:tcPr>
          <w:p w14:paraId="2231D2C5" w14:textId="1CD74EE0" w:rsidR="000C0C92" w:rsidRPr="00307E2B" w:rsidRDefault="000C0C92" w:rsidP="001D28D0">
            <w:pPr>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auto"/>
                <w:sz w:val="16"/>
                <w:szCs w:val="16"/>
                <w:lang w:eastAsia="es-CO"/>
              </w:rPr>
            </w:pPr>
            <w:r w:rsidRPr="00307E2B">
              <w:rPr>
                <w:rFonts w:eastAsia="Times New Roman" w:cs="Times New Roman"/>
                <w:i/>
                <w:iCs/>
                <w:sz w:val="16"/>
                <w:szCs w:val="16"/>
                <w:lang w:eastAsia="es-CO"/>
              </w:rPr>
              <w:t>INVR</w:t>
            </w:r>
            <w:r w:rsidRPr="00307E2B">
              <w:rPr>
                <w:rFonts w:eastAsia="Times New Roman" w:cs="Times New Roman"/>
                <w:i/>
                <w:iCs/>
                <w:sz w:val="16"/>
                <w:szCs w:val="16"/>
                <w:vertAlign w:val="subscript"/>
                <w:lang w:eastAsia="es-CO"/>
              </w:rPr>
              <w:t>j,n,l,</w:t>
            </w:r>
            <w:r w:rsidR="00E52275" w:rsidRPr="00307E2B">
              <w:rPr>
                <w:rFonts w:eastAsia="Times New Roman" w:cs="Times New Roman"/>
                <w:i/>
                <w:iCs/>
                <w:sz w:val="16"/>
                <w:szCs w:val="16"/>
                <w:vertAlign w:val="subscript"/>
                <w:lang w:eastAsia="es-CO"/>
              </w:rPr>
              <w:t>4</w:t>
            </w:r>
            <w:r w:rsidR="00E52275" w:rsidRPr="00307E2B" w:rsidDel="00E52275">
              <w:rPr>
                <w:rFonts w:eastAsia="Times New Roman" w:cs="Times New Roman"/>
                <w:i/>
                <w:iCs/>
                <w:sz w:val="16"/>
                <w:szCs w:val="16"/>
                <w:vertAlign w:val="subscript"/>
                <w:lang w:eastAsia="es-CO"/>
              </w:rPr>
              <w:t xml:space="preserve"> </w:t>
            </w:r>
            <w:r w:rsidRPr="00307E2B">
              <w:rPr>
                <w:rFonts w:eastAsia="Times New Roman" w:cs="Times New Roman"/>
                <w:i/>
                <w:iCs/>
                <w:sz w:val="16"/>
                <w:szCs w:val="16"/>
                <w:vertAlign w:val="superscript"/>
                <w:lang w:eastAsia="es-CO"/>
              </w:rPr>
              <w:t xml:space="preserve">* </w:t>
            </w:r>
            <w:r w:rsidRPr="00307E2B">
              <w:rPr>
                <w:rFonts w:eastAsia="Times New Roman" w:cs="Times New Roman"/>
                <w:i/>
                <w:iCs/>
                <w:sz w:val="16"/>
                <w:szCs w:val="16"/>
                <w:lang w:eastAsia="es-CO"/>
              </w:rPr>
              <w:t>- valores acotados</w:t>
            </w:r>
          </w:p>
        </w:tc>
      </w:tr>
      <w:tr w:rsidR="000C0C92" w:rsidRPr="00307E2B" w14:paraId="3EAAE619" w14:textId="77777777" w:rsidTr="00307E2B">
        <w:trPr>
          <w:gridAfter w:val="1"/>
          <w:cnfStyle w:val="100000000000" w:firstRow="1" w:lastRow="0" w:firstColumn="0" w:lastColumn="0" w:oddVBand="0" w:evenVBand="0" w:oddHBand="0" w:evenHBand="0" w:firstRowFirstColumn="0" w:firstRowLastColumn="0" w:lastRowFirstColumn="0" w:lastRowLastColumn="0"/>
          <w:wAfter w:w="22" w:type="dxa"/>
          <w:trHeight w:val="170"/>
          <w:tblHeader/>
        </w:trPr>
        <w:tc>
          <w:tcPr>
            <w:cnfStyle w:val="001000000000" w:firstRow="0" w:lastRow="0" w:firstColumn="1" w:lastColumn="0" w:oddVBand="0" w:evenVBand="0" w:oddHBand="0" w:evenHBand="0" w:firstRowFirstColumn="0" w:firstRowLastColumn="0" w:lastRowFirstColumn="0" w:lastRowLastColumn="0"/>
            <w:tcW w:w="448" w:type="dxa"/>
            <w:vMerge/>
            <w:hideMark/>
          </w:tcPr>
          <w:p w14:paraId="0E08A2E7" w14:textId="77777777" w:rsidR="000C0C92" w:rsidRPr="00307E2B" w:rsidRDefault="000C0C92" w:rsidP="001D28D0">
            <w:pPr>
              <w:rPr>
                <w:rFonts w:eastAsia="Times New Roman" w:cs="Times New Roman"/>
                <w:i/>
                <w:iCs/>
                <w:color w:val="auto"/>
                <w:sz w:val="16"/>
                <w:szCs w:val="16"/>
                <w:lang w:eastAsia="es-CO"/>
              </w:rPr>
            </w:pPr>
          </w:p>
        </w:tc>
        <w:tc>
          <w:tcPr>
            <w:tcW w:w="1524" w:type="dxa"/>
            <w:vMerge/>
            <w:hideMark/>
          </w:tcPr>
          <w:p w14:paraId="7C5E33A2" w14:textId="77777777" w:rsidR="000C0C92" w:rsidRPr="00307E2B" w:rsidRDefault="000C0C92" w:rsidP="001D28D0">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6"/>
                <w:szCs w:val="16"/>
                <w:lang w:eastAsia="es-CO"/>
              </w:rPr>
            </w:pPr>
          </w:p>
        </w:tc>
        <w:tc>
          <w:tcPr>
            <w:tcW w:w="1601" w:type="dxa"/>
            <w:noWrap/>
            <w:hideMark/>
          </w:tcPr>
          <w:p w14:paraId="44EFC523" w14:textId="77777777" w:rsidR="000C0C92" w:rsidRPr="00307E2B" w:rsidRDefault="000C0C92" w:rsidP="001D28D0">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307E2B">
              <w:rPr>
                <w:rFonts w:eastAsia="Times New Roman" w:cs="Times New Roman"/>
                <w:sz w:val="16"/>
                <w:szCs w:val="16"/>
                <w:lang w:eastAsia="es-CO"/>
              </w:rPr>
              <w:t>N1</w:t>
            </w:r>
          </w:p>
        </w:tc>
        <w:tc>
          <w:tcPr>
            <w:tcW w:w="1650" w:type="dxa"/>
            <w:noWrap/>
            <w:hideMark/>
          </w:tcPr>
          <w:p w14:paraId="3D6AB026" w14:textId="77777777" w:rsidR="000C0C92" w:rsidRPr="00307E2B" w:rsidRDefault="000C0C92" w:rsidP="001D28D0">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307E2B">
              <w:rPr>
                <w:rFonts w:eastAsia="Times New Roman" w:cs="Times New Roman"/>
                <w:sz w:val="16"/>
                <w:szCs w:val="16"/>
                <w:lang w:eastAsia="es-CO"/>
              </w:rPr>
              <w:t>N2</w:t>
            </w:r>
          </w:p>
        </w:tc>
        <w:tc>
          <w:tcPr>
            <w:tcW w:w="1601" w:type="dxa"/>
            <w:noWrap/>
            <w:hideMark/>
          </w:tcPr>
          <w:p w14:paraId="40F472E1" w14:textId="77777777" w:rsidR="000C0C92" w:rsidRPr="00307E2B" w:rsidRDefault="000C0C92" w:rsidP="001D28D0">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307E2B">
              <w:rPr>
                <w:rFonts w:eastAsia="Times New Roman" w:cs="Times New Roman"/>
                <w:sz w:val="16"/>
                <w:szCs w:val="16"/>
                <w:lang w:eastAsia="es-CO"/>
              </w:rPr>
              <w:t>N3</w:t>
            </w:r>
          </w:p>
        </w:tc>
        <w:tc>
          <w:tcPr>
            <w:tcW w:w="1601" w:type="dxa"/>
            <w:noWrap/>
            <w:hideMark/>
          </w:tcPr>
          <w:p w14:paraId="7CE7E9BE" w14:textId="77777777" w:rsidR="000C0C92" w:rsidRPr="00307E2B" w:rsidRDefault="000C0C92" w:rsidP="001D28D0">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307E2B">
              <w:rPr>
                <w:rFonts w:eastAsia="Times New Roman" w:cs="Times New Roman"/>
                <w:sz w:val="16"/>
                <w:szCs w:val="16"/>
                <w:lang w:eastAsia="es-CO"/>
              </w:rPr>
              <w:t>N4</w:t>
            </w:r>
          </w:p>
        </w:tc>
        <w:tc>
          <w:tcPr>
            <w:tcW w:w="1672" w:type="dxa"/>
            <w:noWrap/>
            <w:hideMark/>
          </w:tcPr>
          <w:p w14:paraId="67FF0D37" w14:textId="77777777" w:rsidR="000C0C92" w:rsidRPr="00307E2B" w:rsidRDefault="000C0C92" w:rsidP="001D28D0">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307E2B">
              <w:rPr>
                <w:rFonts w:eastAsia="Times New Roman" w:cs="Times New Roman"/>
                <w:sz w:val="16"/>
                <w:szCs w:val="16"/>
                <w:lang w:eastAsia="es-CO"/>
              </w:rPr>
              <w:t>TOTAL</w:t>
            </w:r>
          </w:p>
        </w:tc>
      </w:tr>
      <w:tr w:rsidR="0041328A" w:rsidRPr="00307E2B" w14:paraId="05BA3715" w14:textId="77777777" w:rsidTr="00307E2B">
        <w:trPr>
          <w:gridAfter w:val="1"/>
          <w:cnfStyle w:val="000000100000" w:firstRow="0" w:lastRow="0" w:firstColumn="0" w:lastColumn="0" w:oddVBand="0" w:evenVBand="0" w:oddHBand="1" w:evenHBand="0" w:firstRowFirstColumn="0" w:firstRowLastColumn="0" w:lastRowFirstColumn="0" w:lastRowLastColumn="0"/>
          <w:wAfter w:w="22" w:type="dxa"/>
          <w:trHeight w:val="170"/>
        </w:trPr>
        <w:tc>
          <w:tcPr>
            <w:cnfStyle w:val="001000000000" w:firstRow="0" w:lastRow="0" w:firstColumn="1" w:lastColumn="0" w:oddVBand="0" w:evenVBand="0" w:oddHBand="0" w:evenHBand="0" w:firstRowFirstColumn="0" w:firstRowLastColumn="0" w:lastRowFirstColumn="0" w:lastRowLastColumn="0"/>
            <w:tcW w:w="448" w:type="dxa"/>
            <w:noWrap/>
            <w:hideMark/>
          </w:tcPr>
          <w:p w14:paraId="3D4A353C" w14:textId="77777777" w:rsidR="003577E5" w:rsidRPr="00307E2B" w:rsidRDefault="003577E5" w:rsidP="003577E5">
            <w:pPr>
              <w:jc w:val="center"/>
              <w:rPr>
                <w:rFonts w:eastAsia="Times New Roman" w:cs="Times New Roman"/>
                <w:color w:val="auto"/>
                <w:sz w:val="16"/>
                <w:szCs w:val="16"/>
                <w:lang w:eastAsia="es-CO"/>
              </w:rPr>
            </w:pPr>
            <w:r w:rsidRPr="00307E2B">
              <w:rPr>
                <w:rFonts w:eastAsia="Times New Roman" w:cs="Times New Roman"/>
                <w:sz w:val="16"/>
                <w:szCs w:val="16"/>
                <w:lang w:eastAsia="es-CO"/>
              </w:rPr>
              <w:t>1</w:t>
            </w:r>
          </w:p>
        </w:tc>
        <w:tc>
          <w:tcPr>
            <w:tcW w:w="1524" w:type="dxa"/>
            <w:noWrap/>
            <w:hideMark/>
          </w:tcPr>
          <w:p w14:paraId="62E904B4" w14:textId="77777777" w:rsidR="003577E5" w:rsidRPr="00307E2B" w:rsidRDefault="003577E5" w:rsidP="003577E5">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Transformadores de potencia</w:t>
            </w:r>
          </w:p>
        </w:tc>
        <w:tc>
          <w:tcPr>
            <w:tcW w:w="1601" w:type="dxa"/>
            <w:shd w:val="clear" w:color="auto" w:fill="BFBFBF" w:themeFill="background1" w:themeFillShade="BF"/>
            <w:noWrap/>
            <w:hideMark/>
          </w:tcPr>
          <w:p w14:paraId="2066594A" w14:textId="77777777"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50" w:type="dxa"/>
            <w:noWrap/>
          </w:tcPr>
          <w:p w14:paraId="117C34F1" w14:textId="3BE36D5A"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7,585,219,500.00</w:t>
            </w:r>
          </w:p>
        </w:tc>
        <w:tc>
          <w:tcPr>
            <w:tcW w:w="1601" w:type="dxa"/>
            <w:noWrap/>
          </w:tcPr>
          <w:p w14:paraId="6507B8D9" w14:textId="1DE49C68"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4,968,408,000.00</w:t>
            </w:r>
          </w:p>
        </w:tc>
        <w:tc>
          <w:tcPr>
            <w:tcW w:w="1601" w:type="dxa"/>
            <w:noWrap/>
          </w:tcPr>
          <w:p w14:paraId="744B389E" w14:textId="4EB4CA6B"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72" w:type="dxa"/>
            <w:noWrap/>
          </w:tcPr>
          <w:p w14:paraId="04C7F2CC" w14:textId="3AB6BB3C"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12,553,627,500.00</w:t>
            </w:r>
          </w:p>
        </w:tc>
      </w:tr>
      <w:tr w:rsidR="0041328A" w:rsidRPr="00307E2B" w14:paraId="5D0555BF" w14:textId="77777777" w:rsidTr="00307E2B">
        <w:trPr>
          <w:gridAfter w:val="1"/>
          <w:cnfStyle w:val="000000010000" w:firstRow="0" w:lastRow="0" w:firstColumn="0" w:lastColumn="0" w:oddVBand="0" w:evenVBand="0" w:oddHBand="0" w:evenHBand="1" w:firstRowFirstColumn="0" w:firstRowLastColumn="0" w:lastRowFirstColumn="0" w:lastRowLastColumn="0"/>
          <w:wAfter w:w="22" w:type="dxa"/>
          <w:trHeight w:val="170"/>
        </w:trPr>
        <w:tc>
          <w:tcPr>
            <w:cnfStyle w:val="001000000000" w:firstRow="0" w:lastRow="0" w:firstColumn="1" w:lastColumn="0" w:oddVBand="0" w:evenVBand="0" w:oddHBand="0" w:evenHBand="0" w:firstRowFirstColumn="0" w:firstRowLastColumn="0" w:lastRowFirstColumn="0" w:lastRowLastColumn="0"/>
            <w:tcW w:w="448" w:type="dxa"/>
            <w:noWrap/>
            <w:hideMark/>
          </w:tcPr>
          <w:p w14:paraId="53DFD23B" w14:textId="77777777" w:rsidR="003577E5" w:rsidRPr="00307E2B" w:rsidRDefault="003577E5" w:rsidP="003577E5">
            <w:pPr>
              <w:jc w:val="center"/>
              <w:rPr>
                <w:rFonts w:eastAsia="Times New Roman" w:cs="Times New Roman"/>
                <w:color w:val="auto"/>
                <w:sz w:val="16"/>
                <w:szCs w:val="16"/>
                <w:lang w:eastAsia="es-CO"/>
              </w:rPr>
            </w:pPr>
            <w:r w:rsidRPr="00307E2B">
              <w:rPr>
                <w:rFonts w:eastAsia="Times New Roman" w:cs="Times New Roman"/>
                <w:sz w:val="16"/>
                <w:szCs w:val="16"/>
                <w:lang w:eastAsia="es-CO"/>
              </w:rPr>
              <w:t>2</w:t>
            </w:r>
          </w:p>
        </w:tc>
        <w:tc>
          <w:tcPr>
            <w:tcW w:w="1524" w:type="dxa"/>
            <w:noWrap/>
            <w:hideMark/>
          </w:tcPr>
          <w:p w14:paraId="4C9104B7" w14:textId="77777777" w:rsidR="003577E5" w:rsidRPr="00307E2B" w:rsidRDefault="003577E5" w:rsidP="003577E5">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Compensación reactiva</w:t>
            </w:r>
          </w:p>
        </w:tc>
        <w:tc>
          <w:tcPr>
            <w:tcW w:w="1601" w:type="dxa"/>
            <w:shd w:val="clear" w:color="auto" w:fill="BFBFBF" w:themeFill="background1" w:themeFillShade="BF"/>
            <w:noWrap/>
            <w:hideMark/>
          </w:tcPr>
          <w:p w14:paraId="726EADCE" w14:textId="77777777"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50" w:type="dxa"/>
            <w:noWrap/>
          </w:tcPr>
          <w:p w14:paraId="1B0EA310" w14:textId="37E4DD1C"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01" w:type="dxa"/>
            <w:noWrap/>
          </w:tcPr>
          <w:p w14:paraId="1B924D98" w14:textId="3434AD86"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01" w:type="dxa"/>
            <w:noWrap/>
          </w:tcPr>
          <w:p w14:paraId="56B77D36" w14:textId="4A3E707E"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72" w:type="dxa"/>
            <w:noWrap/>
          </w:tcPr>
          <w:p w14:paraId="584B54E9" w14:textId="1FF22E66"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w:t>
            </w:r>
          </w:p>
        </w:tc>
      </w:tr>
      <w:tr w:rsidR="0041328A" w:rsidRPr="00307E2B" w14:paraId="72DCDC9F" w14:textId="77777777" w:rsidTr="00307E2B">
        <w:trPr>
          <w:gridAfter w:val="1"/>
          <w:cnfStyle w:val="000000100000" w:firstRow="0" w:lastRow="0" w:firstColumn="0" w:lastColumn="0" w:oddVBand="0" w:evenVBand="0" w:oddHBand="1" w:evenHBand="0" w:firstRowFirstColumn="0" w:firstRowLastColumn="0" w:lastRowFirstColumn="0" w:lastRowLastColumn="0"/>
          <w:wAfter w:w="22" w:type="dxa"/>
          <w:trHeight w:val="170"/>
        </w:trPr>
        <w:tc>
          <w:tcPr>
            <w:cnfStyle w:val="001000000000" w:firstRow="0" w:lastRow="0" w:firstColumn="1" w:lastColumn="0" w:oddVBand="0" w:evenVBand="0" w:oddHBand="0" w:evenHBand="0" w:firstRowFirstColumn="0" w:firstRowLastColumn="0" w:lastRowFirstColumn="0" w:lastRowLastColumn="0"/>
            <w:tcW w:w="448" w:type="dxa"/>
            <w:noWrap/>
            <w:hideMark/>
          </w:tcPr>
          <w:p w14:paraId="30B757D4" w14:textId="77777777" w:rsidR="003577E5" w:rsidRPr="00307E2B" w:rsidRDefault="003577E5" w:rsidP="003577E5">
            <w:pPr>
              <w:jc w:val="center"/>
              <w:rPr>
                <w:rFonts w:eastAsia="Times New Roman" w:cs="Times New Roman"/>
                <w:color w:val="auto"/>
                <w:sz w:val="16"/>
                <w:szCs w:val="16"/>
                <w:lang w:eastAsia="es-CO"/>
              </w:rPr>
            </w:pPr>
            <w:r w:rsidRPr="00307E2B">
              <w:rPr>
                <w:rFonts w:eastAsia="Times New Roman" w:cs="Times New Roman"/>
                <w:sz w:val="16"/>
                <w:szCs w:val="16"/>
                <w:lang w:eastAsia="es-CO"/>
              </w:rPr>
              <w:t>3</w:t>
            </w:r>
          </w:p>
        </w:tc>
        <w:tc>
          <w:tcPr>
            <w:tcW w:w="1524" w:type="dxa"/>
            <w:noWrap/>
            <w:hideMark/>
          </w:tcPr>
          <w:p w14:paraId="04B138E2" w14:textId="77777777" w:rsidR="003577E5" w:rsidRPr="00307E2B" w:rsidRDefault="003577E5" w:rsidP="003577E5">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Bahías y celdas</w:t>
            </w:r>
          </w:p>
        </w:tc>
        <w:tc>
          <w:tcPr>
            <w:tcW w:w="1601" w:type="dxa"/>
            <w:shd w:val="clear" w:color="auto" w:fill="BFBFBF" w:themeFill="background1" w:themeFillShade="BF"/>
            <w:noWrap/>
            <w:hideMark/>
          </w:tcPr>
          <w:p w14:paraId="1DDFF9EA" w14:textId="77777777"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50" w:type="dxa"/>
            <w:noWrap/>
          </w:tcPr>
          <w:p w14:paraId="3483483F" w14:textId="50458C44"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6,763,681,567.75</w:t>
            </w:r>
          </w:p>
        </w:tc>
        <w:tc>
          <w:tcPr>
            <w:tcW w:w="1601" w:type="dxa"/>
            <w:noWrap/>
          </w:tcPr>
          <w:p w14:paraId="2B77623E" w14:textId="3115B29E"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5,443,684,624.91</w:t>
            </w:r>
          </w:p>
        </w:tc>
        <w:tc>
          <w:tcPr>
            <w:tcW w:w="1601" w:type="dxa"/>
            <w:noWrap/>
          </w:tcPr>
          <w:p w14:paraId="1E00B7B2" w14:textId="3E1D16C0"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8,868,643,830.83</w:t>
            </w:r>
          </w:p>
        </w:tc>
        <w:tc>
          <w:tcPr>
            <w:tcW w:w="1672" w:type="dxa"/>
            <w:noWrap/>
          </w:tcPr>
          <w:p w14:paraId="1C93F2F8" w14:textId="4C3E9A91"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21,076,010,023.49</w:t>
            </w:r>
          </w:p>
        </w:tc>
      </w:tr>
      <w:tr w:rsidR="0041328A" w:rsidRPr="00307E2B" w14:paraId="3C1674BD" w14:textId="77777777" w:rsidTr="00307E2B">
        <w:trPr>
          <w:gridAfter w:val="1"/>
          <w:cnfStyle w:val="000000010000" w:firstRow="0" w:lastRow="0" w:firstColumn="0" w:lastColumn="0" w:oddVBand="0" w:evenVBand="0" w:oddHBand="0" w:evenHBand="1" w:firstRowFirstColumn="0" w:firstRowLastColumn="0" w:lastRowFirstColumn="0" w:lastRowLastColumn="0"/>
          <w:wAfter w:w="22" w:type="dxa"/>
          <w:trHeight w:val="170"/>
        </w:trPr>
        <w:tc>
          <w:tcPr>
            <w:cnfStyle w:val="001000000000" w:firstRow="0" w:lastRow="0" w:firstColumn="1" w:lastColumn="0" w:oddVBand="0" w:evenVBand="0" w:oddHBand="0" w:evenHBand="0" w:firstRowFirstColumn="0" w:firstRowLastColumn="0" w:lastRowFirstColumn="0" w:lastRowLastColumn="0"/>
            <w:tcW w:w="448" w:type="dxa"/>
            <w:noWrap/>
            <w:hideMark/>
          </w:tcPr>
          <w:p w14:paraId="1E08B95F" w14:textId="77777777" w:rsidR="003577E5" w:rsidRPr="00307E2B" w:rsidRDefault="003577E5" w:rsidP="003577E5">
            <w:pPr>
              <w:jc w:val="center"/>
              <w:rPr>
                <w:rFonts w:eastAsia="Times New Roman" w:cs="Times New Roman"/>
                <w:color w:val="auto"/>
                <w:sz w:val="16"/>
                <w:szCs w:val="16"/>
                <w:lang w:eastAsia="es-CO"/>
              </w:rPr>
            </w:pPr>
            <w:r w:rsidRPr="00307E2B">
              <w:rPr>
                <w:rFonts w:eastAsia="Times New Roman" w:cs="Times New Roman"/>
                <w:sz w:val="16"/>
                <w:szCs w:val="16"/>
                <w:lang w:eastAsia="es-CO"/>
              </w:rPr>
              <w:t>4</w:t>
            </w:r>
          </w:p>
        </w:tc>
        <w:tc>
          <w:tcPr>
            <w:tcW w:w="1524" w:type="dxa"/>
            <w:noWrap/>
            <w:hideMark/>
          </w:tcPr>
          <w:p w14:paraId="4FBC43DB" w14:textId="77777777" w:rsidR="003577E5" w:rsidRPr="00307E2B" w:rsidRDefault="003577E5" w:rsidP="003577E5">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Equipos de control y comunicaciones</w:t>
            </w:r>
          </w:p>
        </w:tc>
        <w:tc>
          <w:tcPr>
            <w:tcW w:w="1601" w:type="dxa"/>
            <w:shd w:val="clear" w:color="auto" w:fill="BFBFBF" w:themeFill="background1" w:themeFillShade="BF"/>
            <w:noWrap/>
            <w:hideMark/>
          </w:tcPr>
          <w:p w14:paraId="04841A4E" w14:textId="77777777"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50" w:type="dxa"/>
            <w:noWrap/>
          </w:tcPr>
          <w:p w14:paraId="5AF1CB78" w14:textId="1233D6A1"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14,505,338,540.00</w:t>
            </w:r>
          </w:p>
        </w:tc>
        <w:tc>
          <w:tcPr>
            <w:tcW w:w="1601" w:type="dxa"/>
            <w:noWrap/>
          </w:tcPr>
          <w:p w14:paraId="0917B016" w14:textId="2B2AA4A9"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1,404,564,288.00</w:t>
            </w:r>
          </w:p>
        </w:tc>
        <w:tc>
          <w:tcPr>
            <w:tcW w:w="1601" w:type="dxa"/>
            <w:noWrap/>
          </w:tcPr>
          <w:p w14:paraId="6CCAE846" w14:textId="5A0F1C0F"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2,459,578,804.00</w:t>
            </w:r>
          </w:p>
        </w:tc>
        <w:tc>
          <w:tcPr>
            <w:tcW w:w="1672" w:type="dxa"/>
            <w:noWrap/>
          </w:tcPr>
          <w:p w14:paraId="3F3DACAE" w14:textId="71CF9727"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18,369,481,632.00</w:t>
            </w:r>
          </w:p>
        </w:tc>
      </w:tr>
      <w:tr w:rsidR="0041328A" w:rsidRPr="00307E2B" w14:paraId="11E6D611" w14:textId="77777777" w:rsidTr="00307E2B">
        <w:trPr>
          <w:gridAfter w:val="1"/>
          <w:cnfStyle w:val="000000100000" w:firstRow="0" w:lastRow="0" w:firstColumn="0" w:lastColumn="0" w:oddVBand="0" w:evenVBand="0" w:oddHBand="1" w:evenHBand="0" w:firstRowFirstColumn="0" w:firstRowLastColumn="0" w:lastRowFirstColumn="0" w:lastRowLastColumn="0"/>
          <w:wAfter w:w="22" w:type="dxa"/>
          <w:trHeight w:val="170"/>
        </w:trPr>
        <w:tc>
          <w:tcPr>
            <w:cnfStyle w:val="001000000000" w:firstRow="0" w:lastRow="0" w:firstColumn="1" w:lastColumn="0" w:oddVBand="0" w:evenVBand="0" w:oddHBand="0" w:evenHBand="0" w:firstRowFirstColumn="0" w:firstRowLastColumn="0" w:lastRowFirstColumn="0" w:lastRowLastColumn="0"/>
            <w:tcW w:w="448" w:type="dxa"/>
            <w:noWrap/>
            <w:hideMark/>
          </w:tcPr>
          <w:p w14:paraId="44895538" w14:textId="77777777" w:rsidR="003577E5" w:rsidRPr="00307E2B" w:rsidRDefault="003577E5" w:rsidP="003577E5">
            <w:pPr>
              <w:jc w:val="center"/>
              <w:rPr>
                <w:rFonts w:eastAsia="Times New Roman" w:cs="Times New Roman"/>
                <w:color w:val="auto"/>
                <w:sz w:val="16"/>
                <w:szCs w:val="16"/>
                <w:lang w:eastAsia="es-CO"/>
              </w:rPr>
            </w:pPr>
            <w:r w:rsidRPr="00307E2B">
              <w:rPr>
                <w:rFonts w:eastAsia="Times New Roman" w:cs="Times New Roman"/>
                <w:sz w:val="16"/>
                <w:szCs w:val="16"/>
                <w:lang w:eastAsia="es-CO"/>
              </w:rPr>
              <w:t>5</w:t>
            </w:r>
          </w:p>
        </w:tc>
        <w:tc>
          <w:tcPr>
            <w:tcW w:w="1524" w:type="dxa"/>
            <w:noWrap/>
            <w:hideMark/>
          </w:tcPr>
          <w:p w14:paraId="63972806" w14:textId="77777777" w:rsidR="003577E5" w:rsidRPr="00307E2B" w:rsidRDefault="003577E5" w:rsidP="003577E5">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Equipos de subestación</w:t>
            </w:r>
          </w:p>
        </w:tc>
        <w:tc>
          <w:tcPr>
            <w:tcW w:w="1601" w:type="dxa"/>
            <w:shd w:val="clear" w:color="auto" w:fill="BFBFBF" w:themeFill="background1" w:themeFillShade="BF"/>
            <w:noWrap/>
            <w:hideMark/>
          </w:tcPr>
          <w:p w14:paraId="38E7507D" w14:textId="77777777"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50" w:type="dxa"/>
            <w:noWrap/>
          </w:tcPr>
          <w:p w14:paraId="1D078AE0" w14:textId="011DBC0F"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56,873,000.00</w:t>
            </w:r>
          </w:p>
        </w:tc>
        <w:tc>
          <w:tcPr>
            <w:tcW w:w="1601" w:type="dxa"/>
            <w:noWrap/>
          </w:tcPr>
          <w:p w14:paraId="45678772" w14:textId="41F66185"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253,453,200.00</w:t>
            </w:r>
          </w:p>
        </w:tc>
        <w:tc>
          <w:tcPr>
            <w:tcW w:w="1601" w:type="dxa"/>
            <w:noWrap/>
          </w:tcPr>
          <w:p w14:paraId="2FC3F29D" w14:textId="5FC3C358"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914,814,000.00</w:t>
            </w:r>
          </w:p>
        </w:tc>
        <w:tc>
          <w:tcPr>
            <w:tcW w:w="1672" w:type="dxa"/>
            <w:noWrap/>
          </w:tcPr>
          <w:p w14:paraId="0B3F2E7B" w14:textId="07A1DFDB"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1,225,140,200.00</w:t>
            </w:r>
          </w:p>
        </w:tc>
      </w:tr>
      <w:tr w:rsidR="0041328A" w:rsidRPr="00307E2B" w14:paraId="69B32BDE" w14:textId="77777777" w:rsidTr="00307E2B">
        <w:trPr>
          <w:gridAfter w:val="1"/>
          <w:cnfStyle w:val="000000010000" w:firstRow="0" w:lastRow="0" w:firstColumn="0" w:lastColumn="0" w:oddVBand="0" w:evenVBand="0" w:oddHBand="0" w:evenHBand="1" w:firstRowFirstColumn="0" w:firstRowLastColumn="0" w:lastRowFirstColumn="0" w:lastRowLastColumn="0"/>
          <w:wAfter w:w="22" w:type="dxa"/>
          <w:trHeight w:val="170"/>
        </w:trPr>
        <w:tc>
          <w:tcPr>
            <w:cnfStyle w:val="001000000000" w:firstRow="0" w:lastRow="0" w:firstColumn="1" w:lastColumn="0" w:oddVBand="0" w:evenVBand="0" w:oddHBand="0" w:evenHBand="0" w:firstRowFirstColumn="0" w:firstRowLastColumn="0" w:lastRowFirstColumn="0" w:lastRowLastColumn="0"/>
            <w:tcW w:w="448" w:type="dxa"/>
            <w:noWrap/>
            <w:hideMark/>
          </w:tcPr>
          <w:p w14:paraId="5FAEF230" w14:textId="77777777" w:rsidR="003577E5" w:rsidRPr="00307E2B" w:rsidRDefault="003577E5" w:rsidP="003577E5">
            <w:pPr>
              <w:jc w:val="center"/>
              <w:rPr>
                <w:rFonts w:eastAsia="Times New Roman" w:cs="Times New Roman"/>
                <w:color w:val="auto"/>
                <w:sz w:val="16"/>
                <w:szCs w:val="16"/>
                <w:lang w:eastAsia="es-CO"/>
              </w:rPr>
            </w:pPr>
            <w:r w:rsidRPr="00307E2B">
              <w:rPr>
                <w:rFonts w:eastAsia="Times New Roman" w:cs="Times New Roman"/>
                <w:sz w:val="16"/>
                <w:szCs w:val="16"/>
                <w:lang w:eastAsia="es-CO"/>
              </w:rPr>
              <w:t>6</w:t>
            </w:r>
          </w:p>
        </w:tc>
        <w:tc>
          <w:tcPr>
            <w:tcW w:w="1524" w:type="dxa"/>
            <w:noWrap/>
            <w:hideMark/>
          </w:tcPr>
          <w:p w14:paraId="558DF520" w14:textId="77777777" w:rsidR="003577E5" w:rsidRPr="00307E2B" w:rsidRDefault="003577E5" w:rsidP="003577E5">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Otros activos subestación</w:t>
            </w:r>
          </w:p>
        </w:tc>
        <w:tc>
          <w:tcPr>
            <w:tcW w:w="1601" w:type="dxa"/>
            <w:shd w:val="clear" w:color="auto" w:fill="BFBFBF" w:themeFill="background1" w:themeFillShade="BF"/>
            <w:noWrap/>
            <w:hideMark/>
          </w:tcPr>
          <w:p w14:paraId="4201B6B9" w14:textId="77777777"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50" w:type="dxa"/>
            <w:noWrap/>
          </w:tcPr>
          <w:p w14:paraId="56CBB8D6" w14:textId="1C4D1BBD"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1,547,145,600.00</w:t>
            </w:r>
          </w:p>
        </w:tc>
        <w:tc>
          <w:tcPr>
            <w:tcW w:w="1601" w:type="dxa"/>
            <w:noWrap/>
          </w:tcPr>
          <w:p w14:paraId="607EDD94" w14:textId="5C059DFD"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1,834,352,505.70</w:t>
            </w:r>
          </w:p>
        </w:tc>
        <w:tc>
          <w:tcPr>
            <w:tcW w:w="1601" w:type="dxa"/>
            <w:noWrap/>
          </w:tcPr>
          <w:p w14:paraId="7E076FEC" w14:textId="0D25BBB4"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10,099,175,822.99</w:t>
            </w:r>
          </w:p>
        </w:tc>
        <w:tc>
          <w:tcPr>
            <w:tcW w:w="1672" w:type="dxa"/>
            <w:noWrap/>
          </w:tcPr>
          <w:p w14:paraId="7E5DA5EB" w14:textId="0E052E60"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13,480,673,928.69</w:t>
            </w:r>
          </w:p>
        </w:tc>
      </w:tr>
      <w:tr w:rsidR="0041328A" w:rsidRPr="00307E2B" w14:paraId="75157CE6" w14:textId="77777777" w:rsidTr="00307E2B">
        <w:trPr>
          <w:gridAfter w:val="1"/>
          <w:cnfStyle w:val="000000100000" w:firstRow="0" w:lastRow="0" w:firstColumn="0" w:lastColumn="0" w:oddVBand="0" w:evenVBand="0" w:oddHBand="1" w:evenHBand="0" w:firstRowFirstColumn="0" w:firstRowLastColumn="0" w:lastRowFirstColumn="0" w:lastRowLastColumn="0"/>
          <w:wAfter w:w="22" w:type="dxa"/>
          <w:trHeight w:val="170"/>
        </w:trPr>
        <w:tc>
          <w:tcPr>
            <w:cnfStyle w:val="001000000000" w:firstRow="0" w:lastRow="0" w:firstColumn="1" w:lastColumn="0" w:oddVBand="0" w:evenVBand="0" w:oddHBand="0" w:evenHBand="0" w:firstRowFirstColumn="0" w:firstRowLastColumn="0" w:lastRowFirstColumn="0" w:lastRowLastColumn="0"/>
            <w:tcW w:w="448" w:type="dxa"/>
            <w:noWrap/>
            <w:hideMark/>
          </w:tcPr>
          <w:p w14:paraId="19A6DB76" w14:textId="77777777" w:rsidR="003577E5" w:rsidRPr="00307E2B" w:rsidRDefault="003577E5" w:rsidP="003577E5">
            <w:pPr>
              <w:jc w:val="center"/>
              <w:rPr>
                <w:rFonts w:eastAsia="Times New Roman" w:cs="Times New Roman"/>
                <w:color w:val="auto"/>
                <w:sz w:val="16"/>
                <w:szCs w:val="16"/>
                <w:lang w:eastAsia="es-CO"/>
              </w:rPr>
            </w:pPr>
            <w:r w:rsidRPr="00307E2B">
              <w:rPr>
                <w:rFonts w:eastAsia="Times New Roman" w:cs="Times New Roman"/>
                <w:sz w:val="16"/>
                <w:szCs w:val="16"/>
                <w:lang w:eastAsia="es-CO"/>
              </w:rPr>
              <w:t>7</w:t>
            </w:r>
          </w:p>
        </w:tc>
        <w:tc>
          <w:tcPr>
            <w:tcW w:w="1524" w:type="dxa"/>
            <w:noWrap/>
            <w:hideMark/>
          </w:tcPr>
          <w:p w14:paraId="313E025A" w14:textId="77777777" w:rsidR="003577E5" w:rsidRPr="00307E2B" w:rsidRDefault="003577E5" w:rsidP="003577E5">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Líneas aéreas</w:t>
            </w:r>
          </w:p>
        </w:tc>
        <w:tc>
          <w:tcPr>
            <w:tcW w:w="1601" w:type="dxa"/>
            <w:shd w:val="clear" w:color="auto" w:fill="BFBFBF" w:themeFill="background1" w:themeFillShade="BF"/>
            <w:noWrap/>
            <w:hideMark/>
          </w:tcPr>
          <w:p w14:paraId="32ED1149" w14:textId="77777777"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50" w:type="dxa"/>
            <w:noWrap/>
          </w:tcPr>
          <w:p w14:paraId="4BBCE826" w14:textId="2327C8BF"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98,723,232,025.79</w:t>
            </w:r>
          </w:p>
        </w:tc>
        <w:tc>
          <w:tcPr>
            <w:tcW w:w="1601" w:type="dxa"/>
            <w:noWrap/>
          </w:tcPr>
          <w:p w14:paraId="2922D059" w14:textId="4C9CBDD1"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14,323,934,764.11</w:t>
            </w:r>
          </w:p>
        </w:tc>
        <w:tc>
          <w:tcPr>
            <w:tcW w:w="1601" w:type="dxa"/>
            <w:noWrap/>
          </w:tcPr>
          <w:p w14:paraId="379FB84E" w14:textId="6D5BD067"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473,961,830.80</w:t>
            </w:r>
          </w:p>
        </w:tc>
        <w:tc>
          <w:tcPr>
            <w:tcW w:w="1672" w:type="dxa"/>
            <w:noWrap/>
          </w:tcPr>
          <w:p w14:paraId="056E573D" w14:textId="00D8DCB0"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113,521,128,620.69</w:t>
            </w:r>
          </w:p>
        </w:tc>
      </w:tr>
      <w:tr w:rsidR="0041328A" w:rsidRPr="00307E2B" w14:paraId="45B81F65" w14:textId="77777777" w:rsidTr="00307E2B">
        <w:trPr>
          <w:gridAfter w:val="1"/>
          <w:cnfStyle w:val="000000010000" w:firstRow="0" w:lastRow="0" w:firstColumn="0" w:lastColumn="0" w:oddVBand="0" w:evenVBand="0" w:oddHBand="0" w:evenHBand="1" w:firstRowFirstColumn="0" w:firstRowLastColumn="0" w:lastRowFirstColumn="0" w:lastRowLastColumn="0"/>
          <w:wAfter w:w="22" w:type="dxa"/>
          <w:trHeight w:val="170"/>
        </w:trPr>
        <w:tc>
          <w:tcPr>
            <w:cnfStyle w:val="001000000000" w:firstRow="0" w:lastRow="0" w:firstColumn="1" w:lastColumn="0" w:oddVBand="0" w:evenVBand="0" w:oddHBand="0" w:evenHBand="0" w:firstRowFirstColumn="0" w:firstRowLastColumn="0" w:lastRowFirstColumn="0" w:lastRowLastColumn="0"/>
            <w:tcW w:w="448" w:type="dxa"/>
            <w:noWrap/>
            <w:hideMark/>
          </w:tcPr>
          <w:p w14:paraId="5465772B" w14:textId="77777777" w:rsidR="003577E5" w:rsidRPr="00307E2B" w:rsidRDefault="003577E5" w:rsidP="003577E5">
            <w:pPr>
              <w:jc w:val="center"/>
              <w:rPr>
                <w:rFonts w:eastAsia="Times New Roman" w:cs="Times New Roman"/>
                <w:color w:val="auto"/>
                <w:sz w:val="16"/>
                <w:szCs w:val="16"/>
                <w:lang w:eastAsia="es-CO"/>
              </w:rPr>
            </w:pPr>
            <w:r w:rsidRPr="00307E2B">
              <w:rPr>
                <w:rFonts w:eastAsia="Times New Roman" w:cs="Times New Roman"/>
                <w:sz w:val="16"/>
                <w:szCs w:val="16"/>
                <w:lang w:eastAsia="es-CO"/>
              </w:rPr>
              <w:t>8</w:t>
            </w:r>
          </w:p>
        </w:tc>
        <w:tc>
          <w:tcPr>
            <w:tcW w:w="1524" w:type="dxa"/>
            <w:noWrap/>
            <w:hideMark/>
          </w:tcPr>
          <w:p w14:paraId="539990F3" w14:textId="77777777" w:rsidR="003577E5" w:rsidRPr="00307E2B" w:rsidRDefault="003577E5" w:rsidP="003577E5">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Líneas subterráneas</w:t>
            </w:r>
          </w:p>
        </w:tc>
        <w:tc>
          <w:tcPr>
            <w:tcW w:w="1601" w:type="dxa"/>
            <w:shd w:val="clear" w:color="auto" w:fill="BFBFBF" w:themeFill="background1" w:themeFillShade="BF"/>
            <w:noWrap/>
            <w:hideMark/>
          </w:tcPr>
          <w:p w14:paraId="455A9C6F" w14:textId="77777777"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50" w:type="dxa"/>
            <w:noWrap/>
          </w:tcPr>
          <w:p w14:paraId="40302637" w14:textId="2D69DBD7"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10,174,213,027.93</w:t>
            </w:r>
          </w:p>
        </w:tc>
        <w:tc>
          <w:tcPr>
            <w:tcW w:w="1601" w:type="dxa"/>
            <w:noWrap/>
          </w:tcPr>
          <w:p w14:paraId="1236E84C" w14:textId="5A06FD85"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226,474,808.64</w:t>
            </w:r>
          </w:p>
        </w:tc>
        <w:tc>
          <w:tcPr>
            <w:tcW w:w="1601" w:type="dxa"/>
            <w:noWrap/>
          </w:tcPr>
          <w:p w14:paraId="5F7A56B1" w14:textId="6EA380B1"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72" w:type="dxa"/>
            <w:noWrap/>
          </w:tcPr>
          <w:p w14:paraId="735CAF25" w14:textId="699B7C0E"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10,400,687,836.57</w:t>
            </w:r>
          </w:p>
        </w:tc>
      </w:tr>
      <w:tr w:rsidR="0041328A" w:rsidRPr="00307E2B" w14:paraId="01BEE919" w14:textId="77777777" w:rsidTr="00307E2B">
        <w:trPr>
          <w:gridAfter w:val="1"/>
          <w:cnfStyle w:val="000000100000" w:firstRow="0" w:lastRow="0" w:firstColumn="0" w:lastColumn="0" w:oddVBand="0" w:evenVBand="0" w:oddHBand="1" w:evenHBand="0" w:firstRowFirstColumn="0" w:firstRowLastColumn="0" w:lastRowFirstColumn="0" w:lastRowLastColumn="0"/>
          <w:wAfter w:w="22" w:type="dxa"/>
          <w:trHeight w:val="170"/>
        </w:trPr>
        <w:tc>
          <w:tcPr>
            <w:cnfStyle w:val="001000000000" w:firstRow="0" w:lastRow="0" w:firstColumn="1" w:lastColumn="0" w:oddVBand="0" w:evenVBand="0" w:oddHBand="0" w:evenHBand="0" w:firstRowFirstColumn="0" w:firstRowLastColumn="0" w:lastRowFirstColumn="0" w:lastRowLastColumn="0"/>
            <w:tcW w:w="448" w:type="dxa"/>
            <w:noWrap/>
            <w:hideMark/>
          </w:tcPr>
          <w:p w14:paraId="43993065" w14:textId="77777777" w:rsidR="003577E5" w:rsidRPr="00307E2B" w:rsidRDefault="003577E5" w:rsidP="003577E5">
            <w:pPr>
              <w:jc w:val="center"/>
              <w:rPr>
                <w:rFonts w:eastAsia="Times New Roman" w:cs="Times New Roman"/>
                <w:color w:val="auto"/>
                <w:sz w:val="16"/>
                <w:szCs w:val="16"/>
                <w:lang w:eastAsia="es-CO"/>
              </w:rPr>
            </w:pPr>
            <w:r w:rsidRPr="00307E2B">
              <w:rPr>
                <w:rFonts w:eastAsia="Times New Roman" w:cs="Times New Roman"/>
                <w:sz w:val="16"/>
                <w:szCs w:val="16"/>
                <w:lang w:eastAsia="es-CO"/>
              </w:rPr>
              <w:t>9</w:t>
            </w:r>
          </w:p>
        </w:tc>
        <w:tc>
          <w:tcPr>
            <w:tcW w:w="1524" w:type="dxa"/>
            <w:noWrap/>
            <w:hideMark/>
          </w:tcPr>
          <w:p w14:paraId="66E27033" w14:textId="77777777" w:rsidR="003577E5" w:rsidRPr="00307E2B" w:rsidRDefault="003577E5" w:rsidP="003577E5">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Equipos de línea</w:t>
            </w:r>
          </w:p>
        </w:tc>
        <w:tc>
          <w:tcPr>
            <w:tcW w:w="1601" w:type="dxa"/>
            <w:shd w:val="clear" w:color="auto" w:fill="BFBFBF" w:themeFill="background1" w:themeFillShade="BF"/>
            <w:noWrap/>
            <w:hideMark/>
          </w:tcPr>
          <w:p w14:paraId="17F748BE" w14:textId="77777777"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50" w:type="dxa"/>
            <w:noWrap/>
          </w:tcPr>
          <w:p w14:paraId="04AE704D" w14:textId="63E51C57"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12,206,295,200.00</w:t>
            </w:r>
          </w:p>
        </w:tc>
        <w:tc>
          <w:tcPr>
            <w:tcW w:w="1601" w:type="dxa"/>
            <w:noWrap/>
          </w:tcPr>
          <w:p w14:paraId="3316F431" w14:textId="48DC7F80"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1,193,516,000.00</w:t>
            </w:r>
          </w:p>
        </w:tc>
        <w:tc>
          <w:tcPr>
            <w:tcW w:w="1601" w:type="dxa"/>
            <w:noWrap/>
          </w:tcPr>
          <w:p w14:paraId="12A2DAD0" w14:textId="78AF84AD"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72" w:type="dxa"/>
            <w:noWrap/>
          </w:tcPr>
          <w:p w14:paraId="0CB11D54" w14:textId="11EB5E2A"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13,399,811,200.00</w:t>
            </w:r>
          </w:p>
        </w:tc>
      </w:tr>
      <w:tr w:rsidR="0041328A" w:rsidRPr="00307E2B" w14:paraId="0B10D0CF" w14:textId="77777777" w:rsidTr="00307E2B">
        <w:trPr>
          <w:gridAfter w:val="1"/>
          <w:cnfStyle w:val="000000010000" w:firstRow="0" w:lastRow="0" w:firstColumn="0" w:lastColumn="0" w:oddVBand="0" w:evenVBand="0" w:oddHBand="0" w:evenHBand="1" w:firstRowFirstColumn="0" w:firstRowLastColumn="0" w:lastRowFirstColumn="0" w:lastRowLastColumn="0"/>
          <w:wAfter w:w="22" w:type="dxa"/>
          <w:trHeight w:val="170"/>
        </w:trPr>
        <w:tc>
          <w:tcPr>
            <w:cnfStyle w:val="001000000000" w:firstRow="0" w:lastRow="0" w:firstColumn="1" w:lastColumn="0" w:oddVBand="0" w:evenVBand="0" w:oddHBand="0" w:evenHBand="0" w:firstRowFirstColumn="0" w:firstRowLastColumn="0" w:lastRowFirstColumn="0" w:lastRowLastColumn="0"/>
            <w:tcW w:w="448" w:type="dxa"/>
            <w:noWrap/>
            <w:hideMark/>
          </w:tcPr>
          <w:p w14:paraId="140125CC" w14:textId="77777777" w:rsidR="003577E5" w:rsidRPr="00307E2B" w:rsidRDefault="003577E5" w:rsidP="003577E5">
            <w:pPr>
              <w:jc w:val="center"/>
              <w:rPr>
                <w:rFonts w:eastAsia="Times New Roman" w:cs="Times New Roman"/>
                <w:color w:val="auto"/>
                <w:sz w:val="16"/>
                <w:szCs w:val="16"/>
                <w:lang w:eastAsia="es-CO"/>
              </w:rPr>
            </w:pPr>
            <w:r w:rsidRPr="00307E2B">
              <w:rPr>
                <w:rFonts w:eastAsia="Times New Roman" w:cs="Times New Roman"/>
                <w:sz w:val="16"/>
                <w:szCs w:val="16"/>
                <w:lang w:eastAsia="es-CO"/>
              </w:rPr>
              <w:t>10</w:t>
            </w:r>
          </w:p>
        </w:tc>
        <w:tc>
          <w:tcPr>
            <w:tcW w:w="1524" w:type="dxa"/>
            <w:noWrap/>
            <w:hideMark/>
          </w:tcPr>
          <w:p w14:paraId="0B13C20E" w14:textId="77777777" w:rsidR="003577E5" w:rsidRPr="00307E2B" w:rsidRDefault="003577E5" w:rsidP="003577E5">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Centro de control</w:t>
            </w:r>
          </w:p>
        </w:tc>
        <w:tc>
          <w:tcPr>
            <w:tcW w:w="1601" w:type="dxa"/>
            <w:shd w:val="clear" w:color="auto" w:fill="BFBFBF" w:themeFill="background1" w:themeFillShade="BF"/>
            <w:noWrap/>
            <w:hideMark/>
          </w:tcPr>
          <w:p w14:paraId="10084D62" w14:textId="77777777"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50" w:type="dxa"/>
            <w:noWrap/>
          </w:tcPr>
          <w:p w14:paraId="298D6838" w14:textId="3CB3A96D"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3,634,142,544.84</w:t>
            </w:r>
          </w:p>
        </w:tc>
        <w:tc>
          <w:tcPr>
            <w:tcW w:w="1601" w:type="dxa"/>
            <w:noWrap/>
          </w:tcPr>
          <w:p w14:paraId="30E3E7FD" w14:textId="2BE9E0E2"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3,634,142,544.84</w:t>
            </w:r>
          </w:p>
        </w:tc>
        <w:tc>
          <w:tcPr>
            <w:tcW w:w="1601" w:type="dxa"/>
            <w:noWrap/>
          </w:tcPr>
          <w:p w14:paraId="32479EDE" w14:textId="2B6077BF"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3,634,142,544.84</w:t>
            </w:r>
          </w:p>
        </w:tc>
        <w:tc>
          <w:tcPr>
            <w:tcW w:w="1672" w:type="dxa"/>
            <w:noWrap/>
          </w:tcPr>
          <w:p w14:paraId="00A668D8" w14:textId="2F8FB3EF"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10,902,427,634.52</w:t>
            </w:r>
          </w:p>
        </w:tc>
      </w:tr>
      <w:tr w:rsidR="0041328A" w:rsidRPr="00307E2B" w14:paraId="5C054E4F" w14:textId="77777777" w:rsidTr="00307E2B">
        <w:trPr>
          <w:gridAfter w:val="1"/>
          <w:cnfStyle w:val="000000100000" w:firstRow="0" w:lastRow="0" w:firstColumn="0" w:lastColumn="0" w:oddVBand="0" w:evenVBand="0" w:oddHBand="1" w:evenHBand="0" w:firstRowFirstColumn="0" w:firstRowLastColumn="0" w:lastRowFirstColumn="0" w:lastRowLastColumn="0"/>
          <w:wAfter w:w="22" w:type="dxa"/>
          <w:trHeight w:val="170"/>
        </w:trPr>
        <w:tc>
          <w:tcPr>
            <w:cnfStyle w:val="001000000000" w:firstRow="0" w:lastRow="0" w:firstColumn="1" w:lastColumn="0" w:oddVBand="0" w:evenVBand="0" w:oddHBand="0" w:evenHBand="0" w:firstRowFirstColumn="0" w:firstRowLastColumn="0" w:lastRowFirstColumn="0" w:lastRowLastColumn="0"/>
            <w:tcW w:w="448" w:type="dxa"/>
            <w:noWrap/>
            <w:hideMark/>
          </w:tcPr>
          <w:p w14:paraId="1F273A5E" w14:textId="77777777" w:rsidR="003577E5" w:rsidRPr="00307E2B" w:rsidRDefault="003577E5" w:rsidP="003577E5">
            <w:pPr>
              <w:jc w:val="center"/>
              <w:rPr>
                <w:rFonts w:eastAsia="Times New Roman" w:cs="Times New Roman"/>
                <w:color w:val="auto"/>
                <w:sz w:val="16"/>
                <w:szCs w:val="16"/>
                <w:lang w:eastAsia="es-CO"/>
              </w:rPr>
            </w:pPr>
            <w:r w:rsidRPr="00307E2B">
              <w:rPr>
                <w:rFonts w:eastAsia="Times New Roman" w:cs="Times New Roman"/>
                <w:sz w:val="16"/>
                <w:szCs w:val="16"/>
                <w:lang w:eastAsia="es-CO"/>
              </w:rPr>
              <w:t>11</w:t>
            </w:r>
          </w:p>
        </w:tc>
        <w:tc>
          <w:tcPr>
            <w:tcW w:w="1524" w:type="dxa"/>
            <w:noWrap/>
            <w:hideMark/>
          </w:tcPr>
          <w:p w14:paraId="3EF6EAB9" w14:textId="77777777" w:rsidR="003577E5" w:rsidRPr="00307E2B" w:rsidRDefault="003577E5" w:rsidP="003577E5">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 xml:space="preserve">Transformadores de distribución </w:t>
            </w:r>
          </w:p>
        </w:tc>
        <w:tc>
          <w:tcPr>
            <w:tcW w:w="1601" w:type="dxa"/>
            <w:noWrap/>
          </w:tcPr>
          <w:p w14:paraId="219790BD" w14:textId="30BA1C0D"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36,276,656,273.00</w:t>
            </w:r>
          </w:p>
        </w:tc>
        <w:tc>
          <w:tcPr>
            <w:tcW w:w="1650" w:type="dxa"/>
            <w:shd w:val="clear" w:color="auto" w:fill="BFBFBF" w:themeFill="background1" w:themeFillShade="BF"/>
            <w:noWrap/>
            <w:hideMark/>
          </w:tcPr>
          <w:p w14:paraId="4E98766E" w14:textId="77777777"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01" w:type="dxa"/>
            <w:shd w:val="clear" w:color="auto" w:fill="BFBFBF" w:themeFill="background1" w:themeFillShade="BF"/>
            <w:noWrap/>
            <w:hideMark/>
          </w:tcPr>
          <w:p w14:paraId="4A0436A6" w14:textId="77777777"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01" w:type="dxa"/>
            <w:shd w:val="clear" w:color="auto" w:fill="BFBFBF" w:themeFill="background1" w:themeFillShade="BF"/>
            <w:noWrap/>
            <w:hideMark/>
          </w:tcPr>
          <w:p w14:paraId="1EB14C3C" w14:textId="77777777"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72" w:type="dxa"/>
            <w:noWrap/>
          </w:tcPr>
          <w:p w14:paraId="12C649AE" w14:textId="2E90BE3F"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36,276,656,273.00</w:t>
            </w:r>
          </w:p>
        </w:tc>
      </w:tr>
      <w:tr w:rsidR="0041328A" w:rsidRPr="00307E2B" w14:paraId="40C30047" w14:textId="77777777" w:rsidTr="00307E2B">
        <w:trPr>
          <w:gridAfter w:val="1"/>
          <w:cnfStyle w:val="000000010000" w:firstRow="0" w:lastRow="0" w:firstColumn="0" w:lastColumn="0" w:oddVBand="0" w:evenVBand="0" w:oddHBand="0" w:evenHBand="1" w:firstRowFirstColumn="0" w:firstRowLastColumn="0" w:lastRowFirstColumn="0" w:lastRowLastColumn="0"/>
          <w:wAfter w:w="22" w:type="dxa"/>
          <w:trHeight w:val="170"/>
        </w:trPr>
        <w:tc>
          <w:tcPr>
            <w:cnfStyle w:val="001000000000" w:firstRow="0" w:lastRow="0" w:firstColumn="1" w:lastColumn="0" w:oddVBand="0" w:evenVBand="0" w:oddHBand="0" w:evenHBand="0" w:firstRowFirstColumn="0" w:firstRowLastColumn="0" w:lastRowFirstColumn="0" w:lastRowLastColumn="0"/>
            <w:tcW w:w="448" w:type="dxa"/>
            <w:noWrap/>
            <w:hideMark/>
          </w:tcPr>
          <w:p w14:paraId="529A0C15" w14:textId="77777777" w:rsidR="003577E5" w:rsidRPr="00307E2B" w:rsidRDefault="003577E5" w:rsidP="003577E5">
            <w:pPr>
              <w:jc w:val="center"/>
              <w:rPr>
                <w:rFonts w:eastAsia="Times New Roman" w:cs="Times New Roman"/>
                <w:color w:val="auto"/>
                <w:sz w:val="16"/>
                <w:szCs w:val="16"/>
                <w:lang w:eastAsia="es-CO"/>
              </w:rPr>
            </w:pPr>
            <w:r w:rsidRPr="00307E2B">
              <w:rPr>
                <w:rFonts w:eastAsia="Times New Roman" w:cs="Times New Roman"/>
                <w:sz w:val="16"/>
                <w:szCs w:val="16"/>
                <w:lang w:eastAsia="es-CO"/>
              </w:rPr>
              <w:t>12</w:t>
            </w:r>
          </w:p>
        </w:tc>
        <w:tc>
          <w:tcPr>
            <w:tcW w:w="1524" w:type="dxa"/>
            <w:noWrap/>
            <w:hideMark/>
          </w:tcPr>
          <w:p w14:paraId="7ACE643B" w14:textId="77777777" w:rsidR="003577E5" w:rsidRPr="00307E2B" w:rsidRDefault="003577E5" w:rsidP="003577E5">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Redes de distribución</w:t>
            </w:r>
          </w:p>
        </w:tc>
        <w:tc>
          <w:tcPr>
            <w:tcW w:w="1601" w:type="dxa"/>
            <w:noWrap/>
          </w:tcPr>
          <w:p w14:paraId="5AE82D22" w14:textId="6A93F601"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38,270,355,203.06</w:t>
            </w:r>
          </w:p>
        </w:tc>
        <w:tc>
          <w:tcPr>
            <w:tcW w:w="1650" w:type="dxa"/>
            <w:shd w:val="clear" w:color="auto" w:fill="BFBFBF" w:themeFill="background1" w:themeFillShade="BF"/>
            <w:noWrap/>
            <w:hideMark/>
          </w:tcPr>
          <w:p w14:paraId="18185B61" w14:textId="77777777"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01" w:type="dxa"/>
            <w:shd w:val="clear" w:color="auto" w:fill="BFBFBF" w:themeFill="background1" w:themeFillShade="BF"/>
            <w:noWrap/>
            <w:hideMark/>
          </w:tcPr>
          <w:p w14:paraId="79764C89" w14:textId="77777777"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01" w:type="dxa"/>
            <w:shd w:val="clear" w:color="auto" w:fill="BFBFBF" w:themeFill="background1" w:themeFillShade="BF"/>
            <w:noWrap/>
            <w:hideMark/>
          </w:tcPr>
          <w:p w14:paraId="4A631BBB" w14:textId="77777777"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307E2B">
              <w:rPr>
                <w:rFonts w:eastAsia="Times New Roman" w:cs="Times New Roman"/>
                <w:sz w:val="16"/>
                <w:szCs w:val="16"/>
                <w:lang w:eastAsia="es-CO"/>
              </w:rPr>
              <w:t>-</w:t>
            </w:r>
          </w:p>
        </w:tc>
        <w:tc>
          <w:tcPr>
            <w:tcW w:w="1672" w:type="dxa"/>
            <w:noWrap/>
          </w:tcPr>
          <w:p w14:paraId="572BA76E" w14:textId="56496382" w:rsidR="003577E5" w:rsidRPr="00307E2B" w:rsidRDefault="003577E5" w:rsidP="00083D35">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38,270,355,203.06</w:t>
            </w:r>
          </w:p>
        </w:tc>
      </w:tr>
      <w:tr w:rsidR="003577E5" w:rsidRPr="00307E2B" w14:paraId="0543A6A3" w14:textId="77777777" w:rsidTr="00307E2B">
        <w:trPr>
          <w:gridAfter w:val="1"/>
          <w:cnfStyle w:val="000000100000" w:firstRow="0" w:lastRow="0" w:firstColumn="0" w:lastColumn="0" w:oddVBand="0" w:evenVBand="0" w:oddHBand="1" w:evenHBand="0" w:firstRowFirstColumn="0" w:firstRowLastColumn="0" w:lastRowFirstColumn="0" w:lastRowLastColumn="0"/>
          <w:wAfter w:w="22" w:type="dxa"/>
          <w:trHeight w:val="170"/>
        </w:trPr>
        <w:tc>
          <w:tcPr>
            <w:cnfStyle w:val="001000000000" w:firstRow="0" w:lastRow="0" w:firstColumn="1" w:lastColumn="0" w:oddVBand="0" w:evenVBand="0" w:oddHBand="0" w:evenHBand="0" w:firstRowFirstColumn="0" w:firstRowLastColumn="0" w:lastRowFirstColumn="0" w:lastRowLastColumn="0"/>
            <w:tcW w:w="1972" w:type="dxa"/>
            <w:gridSpan w:val="2"/>
            <w:noWrap/>
            <w:hideMark/>
          </w:tcPr>
          <w:p w14:paraId="13EE6B0E" w14:textId="77777777" w:rsidR="003577E5" w:rsidRPr="00307E2B" w:rsidRDefault="003577E5" w:rsidP="003577E5">
            <w:pPr>
              <w:jc w:val="center"/>
              <w:rPr>
                <w:rFonts w:eastAsia="Times New Roman" w:cs="Times New Roman"/>
                <w:color w:val="auto"/>
                <w:sz w:val="16"/>
                <w:szCs w:val="16"/>
                <w:lang w:eastAsia="es-CO"/>
              </w:rPr>
            </w:pPr>
            <w:r w:rsidRPr="00307E2B">
              <w:rPr>
                <w:rFonts w:eastAsia="Times New Roman" w:cs="Times New Roman"/>
                <w:sz w:val="16"/>
                <w:szCs w:val="16"/>
                <w:lang w:eastAsia="es-CO"/>
              </w:rPr>
              <w:t>TOTAL</w:t>
            </w:r>
          </w:p>
        </w:tc>
        <w:tc>
          <w:tcPr>
            <w:tcW w:w="1601" w:type="dxa"/>
            <w:shd w:val="clear" w:color="auto" w:fill="BFE2A8" w:themeFill="accent2" w:themeFillTint="66"/>
            <w:noWrap/>
          </w:tcPr>
          <w:p w14:paraId="3C8DA199" w14:textId="11C8AA0C" w:rsidR="003577E5" w:rsidRPr="00307E2B" w:rsidRDefault="003577E5"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74,547,011,476.06</w:t>
            </w:r>
          </w:p>
        </w:tc>
        <w:tc>
          <w:tcPr>
            <w:tcW w:w="1650" w:type="dxa"/>
            <w:shd w:val="clear" w:color="auto" w:fill="BFE2A8" w:themeFill="accent2" w:themeFillTint="66"/>
            <w:noWrap/>
          </w:tcPr>
          <w:p w14:paraId="207D3630" w14:textId="10D5EFE2" w:rsidR="003577E5" w:rsidRPr="00307E2B" w:rsidRDefault="00B12E51"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155,196,141,006.3</w:t>
            </w:r>
          </w:p>
        </w:tc>
        <w:tc>
          <w:tcPr>
            <w:tcW w:w="1601" w:type="dxa"/>
            <w:shd w:val="clear" w:color="auto" w:fill="BFE2A8" w:themeFill="accent2" w:themeFillTint="66"/>
            <w:noWrap/>
          </w:tcPr>
          <w:p w14:paraId="7E948D7A" w14:textId="50EACCF5" w:rsidR="003577E5" w:rsidRPr="00307E2B" w:rsidRDefault="00B12E51"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33,282,530,736.20</w:t>
            </w:r>
          </w:p>
        </w:tc>
        <w:tc>
          <w:tcPr>
            <w:tcW w:w="1601" w:type="dxa"/>
            <w:shd w:val="clear" w:color="auto" w:fill="BFE2A8" w:themeFill="accent2" w:themeFillTint="66"/>
            <w:noWrap/>
          </w:tcPr>
          <w:p w14:paraId="24046A72" w14:textId="628185E8" w:rsidR="003577E5" w:rsidRPr="00307E2B" w:rsidRDefault="00B12E51"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26,450,316,833.46</w:t>
            </w:r>
          </w:p>
        </w:tc>
        <w:tc>
          <w:tcPr>
            <w:tcW w:w="1672" w:type="dxa"/>
            <w:shd w:val="clear" w:color="auto" w:fill="BFE2A8" w:themeFill="accent2" w:themeFillTint="66"/>
            <w:noWrap/>
          </w:tcPr>
          <w:p w14:paraId="58746B42" w14:textId="2A7F3DA0" w:rsidR="003577E5" w:rsidRPr="00307E2B" w:rsidRDefault="00B12E51" w:rsidP="00083D35">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307E2B">
              <w:rPr>
                <w:rFonts w:eastAsia="Times New Roman" w:cs="Times New Roman"/>
                <w:b/>
                <w:bCs/>
                <w:sz w:val="16"/>
                <w:szCs w:val="16"/>
                <w:lang w:eastAsia="es-CO"/>
              </w:rPr>
              <w:t>289,476,000,052.02</w:t>
            </w:r>
          </w:p>
        </w:tc>
      </w:tr>
      <w:tr w:rsidR="000C0C92" w:rsidRPr="00307E2B" w14:paraId="65A829A5" w14:textId="77777777" w:rsidTr="00307E2B">
        <w:trPr>
          <w:cnfStyle w:val="000000010000" w:firstRow="0" w:lastRow="0" w:firstColumn="0" w:lastColumn="0" w:oddVBand="0" w:evenVBand="0" w:oddHBand="0" w:evenHBand="1"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0119" w:type="dxa"/>
            <w:gridSpan w:val="8"/>
            <w:shd w:val="clear" w:color="auto" w:fill="DFF0D3" w:themeFill="accent2" w:themeFillTint="33"/>
            <w:noWrap/>
          </w:tcPr>
          <w:p w14:paraId="0F5C5EA9" w14:textId="77777777" w:rsidR="000C0C92" w:rsidRPr="00307E2B" w:rsidRDefault="000C0C92" w:rsidP="00EE4DDE">
            <w:pPr>
              <w:jc w:val="both"/>
              <w:rPr>
                <w:rFonts w:eastAsia="Times New Roman" w:cs="Times New Roman"/>
                <w:b w:val="0"/>
                <w:bCs w:val="0"/>
                <w:sz w:val="16"/>
                <w:szCs w:val="16"/>
                <w:lang w:eastAsia="es-CO"/>
              </w:rPr>
            </w:pPr>
            <w:r w:rsidRPr="00307E2B">
              <w:rPr>
                <w:rFonts w:cs="Calibri"/>
                <w:i/>
                <w:color w:val="000000"/>
                <w:sz w:val="16"/>
                <w:szCs w:val="16"/>
              </w:rPr>
              <w:t>*Todos los valores están en pesos a diciembre del 2017.</w:t>
            </w:r>
          </w:p>
        </w:tc>
      </w:tr>
    </w:tbl>
    <w:p w14:paraId="1AF43687" w14:textId="0ABFC7B2" w:rsidR="000C0C92" w:rsidRPr="002946A9" w:rsidRDefault="000C0C92" w:rsidP="00DF29CB">
      <w:pPr>
        <w:ind w:left="360"/>
        <w:jc w:val="both"/>
        <w:rPr>
          <w:rFonts w:ascii="Trebuchet MS" w:hAnsi="Trebuchet MS" w:cs="Arial"/>
        </w:rPr>
      </w:pPr>
    </w:p>
    <w:p w14:paraId="11766280" w14:textId="58ED24EA" w:rsidR="00EF5B09" w:rsidRPr="002946A9" w:rsidRDefault="00EF5B09" w:rsidP="00DF29CB">
      <w:pPr>
        <w:ind w:left="360"/>
        <w:jc w:val="both"/>
        <w:rPr>
          <w:rFonts w:ascii="Trebuchet MS" w:hAnsi="Trebuchet MS" w:cs="Arial"/>
        </w:rPr>
      </w:pPr>
      <w:r w:rsidRPr="002946A9">
        <w:rPr>
          <w:rFonts w:ascii="Trebuchet MS" w:hAnsi="Trebuchet MS" w:cs="Arial"/>
        </w:rPr>
        <w:t xml:space="preserve">Respecto a la ejecución del año </w:t>
      </w:r>
      <w:r w:rsidR="009139A7" w:rsidRPr="002946A9">
        <w:rPr>
          <w:rFonts w:ascii="Trebuchet MS" w:hAnsi="Trebuchet MS" w:cs="Arial"/>
        </w:rPr>
        <w:t>202</w:t>
      </w:r>
      <w:r w:rsidR="009139A7">
        <w:rPr>
          <w:rFonts w:ascii="Trebuchet MS" w:hAnsi="Trebuchet MS" w:cs="Arial"/>
        </w:rPr>
        <w:t>1</w:t>
      </w:r>
      <w:r w:rsidRPr="002946A9">
        <w:rPr>
          <w:rFonts w:ascii="Trebuchet MS" w:hAnsi="Trebuchet MS" w:cs="Arial"/>
        </w:rPr>
        <w:t xml:space="preserve">, </w:t>
      </w:r>
      <w:r w:rsidR="00DF29DC" w:rsidRPr="002946A9">
        <w:rPr>
          <w:rFonts w:ascii="Trebuchet MS" w:hAnsi="Trebuchet MS" w:cs="Arial"/>
        </w:rPr>
        <w:t xml:space="preserve">para calcular el </w:t>
      </w:r>
      <w:r w:rsidR="00DF29DC" w:rsidRPr="002946A9">
        <w:rPr>
          <w:rFonts w:ascii="Trebuchet MS" w:hAnsi="Trebuchet MS"/>
          <w:i/>
          <w:iCs/>
          <w:szCs w:val="24"/>
        </w:rPr>
        <w:t>INVR</w:t>
      </w:r>
      <w:r w:rsidR="00DF29DC" w:rsidRPr="002946A9">
        <w:rPr>
          <w:rFonts w:ascii="Trebuchet MS" w:hAnsi="Trebuchet MS"/>
          <w:i/>
          <w:iCs/>
          <w:szCs w:val="24"/>
          <w:vertAlign w:val="subscript"/>
        </w:rPr>
        <w:t>j,n,l,</w:t>
      </w:r>
      <w:r w:rsidR="009139A7">
        <w:rPr>
          <w:rFonts w:ascii="Trebuchet MS" w:hAnsi="Trebuchet MS"/>
          <w:i/>
          <w:iCs/>
          <w:szCs w:val="24"/>
          <w:vertAlign w:val="subscript"/>
        </w:rPr>
        <w:t>3</w:t>
      </w:r>
      <w:r w:rsidR="00DF29DC" w:rsidRPr="002946A9">
        <w:rPr>
          <w:rFonts w:ascii="Trebuchet MS" w:hAnsi="Trebuchet MS"/>
          <w:szCs w:val="24"/>
        </w:rPr>
        <w:t xml:space="preserve"> </w:t>
      </w:r>
      <w:r w:rsidR="00DF758F" w:rsidRPr="002946A9">
        <w:rPr>
          <w:rFonts w:ascii="Trebuchet MS" w:hAnsi="Trebuchet MS"/>
          <w:szCs w:val="24"/>
        </w:rPr>
        <w:t>máximo reconocido</w:t>
      </w:r>
      <w:r w:rsidR="00DE41CF" w:rsidRPr="002946A9">
        <w:rPr>
          <w:rFonts w:ascii="Trebuchet MS" w:hAnsi="Trebuchet MS"/>
          <w:szCs w:val="24"/>
        </w:rPr>
        <w:t xml:space="preserve"> </w:t>
      </w:r>
      <w:r w:rsidR="002D4324" w:rsidRPr="002946A9">
        <w:rPr>
          <w:rFonts w:ascii="Trebuchet MS" w:hAnsi="Trebuchet MS" w:cs="Arial"/>
        </w:rPr>
        <w:t>también se apli</w:t>
      </w:r>
      <w:r w:rsidR="00DE41CF" w:rsidRPr="002946A9">
        <w:rPr>
          <w:rFonts w:ascii="Trebuchet MS" w:hAnsi="Trebuchet MS" w:cs="Arial"/>
        </w:rPr>
        <w:t xml:space="preserve">có </w:t>
      </w:r>
      <w:r w:rsidR="005D5B04" w:rsidRPr="002946A9">
        <w:rPr>
          <w:rFonts w:ascii="Trebuchet MS" w:hAnsi="Trebuchet MS" w:cs="Arial"/>
        </w:rPr>
        <w:t>la misma condición de acote antes mencionada</w:t>
      </w:r>
      <w:r w:rsidR="00DD4B7E" w:rsidRPr="002946A9">
        <w:rPr>
          <w:rFonts w:ascii="Trebuchet MS" w:hAnsi="Trebuchet MS" w:cs="Arial"/>
        </w:rPr>
        <w:t>,</w:t>
      </w:r>
      <w:r w:rsidR="00E36C9B" w:rsidRPr="002946A9">
        <w:rPr>
          <w:rFonts w:ascii="Trebuchet MS" w:hAnsi="Trebuchet MS" w:cs="Arial"/>
        </w:rPr>
        <w:t xml:space="preserve"> </w:t>
      </w:r>
      <w:r w:rsidR="00DE41CF" w:rsidRPr="002946A9">
        <w:rPr>
          <w:rFonts w:ascii="Trebuchet MS" w:hAnsi="Trebuchet MS" w:cs="Arial"/>
        </w:rPr>
        <w:t xml:space="preserve">en función de lo planeado en </w:t>
      </w:r>
      <w:r w:rsidR="009139A7" w:rsidRPr="002946A9">
        <w:rPr>
          <w:rFonts w:ascii="Trebuchet MS" w:hAnsi="Trebuchet MS" w:cs="Arial"/>
        </w:rPr>
        <w:t>202</w:t>
      </w:r>
      <w:r w:rsidR="009139A7">
        <w:rPr>
          <w:rFonts w:ascii="Trebuchet MS" w:hAnsi="Trebuchet MS" w:cs="Arial"/>
        </w:rPr>
        <w:t>1</w:t>
      </w:r>
      <w:r w:rsidR="00DE41CF" w:rsidRPr="002946A9">
        <w:rPr>
          <w:rFonts w:ascii="Trebuchet MS" w:hAnsi="Trebuchet MS" w:cs="Arial"/>
        </w:rPr>
        <w:t xml:space="preserve">. </w:t>
      </w:r>
      <w:r w:rsidR="001270CD" w:rsidRPr="002946A9">
        <w:rPr>
          <w:rFonts w:ascii="Trebuchet MS" w:hAnsi="Trebuchet MS" w:cs="Arial"/>
        </w:rPr>
        <w:t>Al limitar la</w:t>
      </w:r>
      <w:r w:rsidR="0078184B" w:rsidRPr="002946A9">
        <w:rPr>
          <w:rFonts w:ascii="Trebuchet MS" w:hAnsi="Trebuchet MS" w:cs="Arial"/>
        </w:rPr>
        <w:t xml:space="preserve"> variable</w:t>
      </w:r>
      <w:r w:rsidR="001270CD" w:rsidRPr="002946A9">
        <w:rPr>
          <w:rFonts w:ascii="Trebuchet MS" w:hAnsi="Trebuchet MS" w:cs="Arial"/>
        </w:rPr>
        <w:t xml:space="preserve"> </w:t>
      </w:r>
      <w:r w:rsidR="0078184B" w:rsidRPr="002946A9">
        <w:rPr>
          <w:rFonts w:ascii="Trebuchet MS" w:hAnsi="Trebuchet MS"/>
          <w:i/>
          <w:iCs/>
          <w:szCs w:val="24"/>
        </w:rPr>
        <w:t>INVR</w:t>
      </w:r>
      <w:r w:rsidR="0078184B" w:rsidRPr="002946A9">
        <w:rPr>
          <w:rFonts w:ascii="Trebuchet MS" w:hAnsi="Trebuchet MS"/>
          <w:i/>
          <w:iCs/>
          <w:szCs w:val="24"/>
          <w:vertAlign w:val="subscript"/>
        </w:rPr>
        <w:t>j,n,l,</w:t>
      </w:r>
      <w:r w:rsidR="00E52275">
        <w:rPr>
          <w:rFonts w:ascii="Trebuchet MS" w:hAnsi="Trebuchet MS"/>
          <w:i/>
          <w:iCs/>
          <w:szCs w:val="24"/>
          <w:vertAlign w:val="subscript"/>
        </w:rPr>
        <w:t>3</w:t>
      </w:r>
      <w:r w:rsidR="001270CD" w:rsidRPr="002946A9">
        <w:rPr>
          <w:rFonts w:ascii="Trebuchet MS" w:hAnsi="Trebuchet MS" w:cs="Arial"/>
        </w:rPr>
        <w:t>, quedaron</w:t>
      </w:r>
      <w:r w:rsidR="0097126A" w:rsidRPr="002946A9">
        <w:rPr>
          <w:rFonts w:ascii="Trebuchet MS" w:hAnsi="Trebuchet MS" w:cs="Arial"/>
        </w:rPr>
        <w:t xml:space="preserve"> pendiente por remunerar </w:t>
      </w:r>
      <w:r w:rsidR="000F330A" w:rsidRPr="002946A9">
        <w:rPr>
          <w:rFonts w:ascii="Trebuchet MS" w:hAnsi="Trebuchet MS" w:cs="Arial"/>
        </w:rPr>
        <w:t xml:space="preserve">los valores sobrantes o excedentes </w:t>
      </w:r>
      <w:r w:rsidR="0097126A" w:rsidRPr="002946A9">
        <w:rPr>
          <w:rFonts w:ascii="Trebuchet MS" w:hAnsi="Trebuchet MS" w:cs="Arial"/>
        </w:rPr>
        <w:t>que se presentan en</w:t>
      </w:r>
      <w:r w:rsidR="0078184B" w:rsidRPr="002946A9">
        <w:rPr>
          <w:rFonts w:ascii="Trebuchet MS" w:hAnsi="Trebuchet MS" w:cs="Arial"/>
        </w:rPr>
        <w:t xml:space="preserve"> la </w:t>
      </w:r>
      <w:r w:rsidR="00277B55" w:rsidRPr="002946A9">
        <w:rPr>
          <w:rFonts w:ascii="Trebuchet MS" w:hAnsi="Trebuchet MS" w:cs="Arial"/>
        </w:rPr>
        <w:fldChar w:fldCharType="begin"/>
      </w:r>
      <w:r w:rsidR="00277B55" w:rsidRPr="002946A9">
        <w:rPr>
          <w:rFonts w:ascii="Trebuchet MS" w:hAnsi="Trebuchet MS" w:cs="Arial"/>
        </w:rPr>
        <w:instrText xml:space="preserve"> REF _Ref67393410 \h </w:instrText>
      </w:r>
      <w:r w:rsidR="002946A9" w:rsidRPr="002946A9">
        <w:rPr>
          <w:rFonts w:ascii="Trebuchet MS" w:hAnsi="Trebuchet MS" w:cs="Arial"/>
        </w:rPr>
        <w:instrText xml:space="preserve"> \* MERGEFORMAT </w:instrText>
      </w:r>
      <w:r w:rsidR="00277B55" w:rsidRPr="002946A9">
        <w:rPr>
          <w:rFonts w:ascii="Trebuchet MS" w:hAnsi="Trebuchet MS" w:cs="Arial"/>
        </w:rPr>
      </w:r>
      <w:r w:rsidR="00277B55" w:rsidRPr="002946A9">
        <w:rPr>
          <w:rFonts w:ascii="Trebuchet MS" w:hAnsi="Trebuchet MS" w:cs="Arial"/>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3</w:t>
      </w:r>
      <w:r w:rsidR="00277B55" w:rsidRPr="002946A9">
        <w:rPr>
          <w:rFonts w:ascii="Trebuchet MS" w:hAnsi="Trebuchet MS" w:cs="Arial"/>
        </w:rPr>
        <w:fldChar w:fldCharType="end"/>
      </w:r>
      <w:r w:rsidR="00806F4A" w:rsidRPr="002946A9">
        <w:rPr>
          <w:rFonts w:ascii="Trebuchet MS" w:hAnsi="Trebuchet MS" w:cs="Arial"/>
        </w:rPr>
        <w:t xml:space="preserve">, </w:t>
      </w:r>
      <w:r w:rsidR="00277B55" w:rsidRPr="002946A9">
        <w:rPr>
          <w:rFonts w:ascii="Trebuchet MS" w:hAnsi="Trebuchet MS" w:cs="Arial"/>
        </w:rPr>
        <w:t>los cuales</w:t>
      </w:r>
      <w:r w:rsidR="00806F4A" w:rsidRPr="002946A9">
        <w:rPr>
          <w:rFonts w:ascii="Trebuchet MS" w:hAnsi="Trebuchet MS" w:cs="Arial"/>
        </w:rPr>
        <w:t xml:space="preserve">, fueron ejecutados </w:t>
      </w:r>
      <w:r w:rsidR="00675177" w:rsidRPr="002946A9">
        <w:rPr>
          <w:rFonts w:ascii="Trebuchet MS" w:hAnsi="Trebuchet MS" w:cs="Arial"/>
        </w:rPr>
        <w:t xml:space="preserve">en </w:t>
      </w:r>
      <w:r w:rsidR="009139A7" w:rsidRPr="002946A9">
        <w:rPr>
          <w:rFonts w:ascii="Trebuchet MS" w:hAnsi="Trebuchet MS" w:cs="Arial"/>
        </w:rPr>
        <w:t>202</w:t>
      </w:r>
      <w:r w:rsidR="009139A7">
        <w:rPr>
          <w:rFonts w:ascii="Trebuchet MS" w:hAnsi="Trebuchet MS" w:cs="Arial"/>
        </w:rPr>
        <w:t>1</w:t>
      </w:r>
      <w:r w:rsidR="003C3AA2" w:rsidRPr="002946A9">
        <w:rPr>
          <w:rFonts w:ascii="Trebuchet MS" w:hAnsi="Trebuchet MS" w:cs="Arial"/>
        </w:rPr>
        <w:t xml:space="preserve">, pero </w:t>
      </w:r>
      <w:r w:rsidR="00F84C8A" w:rsidRPr="002946A9">
        <w:rPr>
          <w:rFonts w:ascii="Trebuchet MS" w:hAnsi="Trebuchet MS" w:cs="Arial"/>
        </w:rPr>
        <w:t xml:space="preserve">de manera adicional al límite </w:t>
      </w:r>
      <w:r w:rsidR="00E655F5" w:rsidRPr="002946A9">
        <w:rPr>
          <w:rFonts w:ascii="Trebuchet MS" w:hAnsi="Trebuchet MS" w:cs="Arial"/>
        </w:rPr>
        <w:t xml:space="preserve">de </w:t>
      </w:r>
      <w:r w:rsidR="00457E87" w:rsidRPr="002946A9">
        <w:rPr>
          <w:rFonts w:ascii="Trebuchet MS" w:hAnsi="Trebuchet MS" w:cs="Arial"/>
        </w:rPr>
        <w:t xml:space="preserve">la </w:t>
      </w:r>
      <w:r w:rsidR="00E655F5" w:rsidRPr="002946A9">
        <w:rPr>
          <w:rFonts w:ascii="Trebuchet MS" w:hAnsi="Trebuchet MS" w:cs="Arial"/>
        </w:rPr>
        <w:t xml:space="preserve">variable </w:t>
      </w:r>
      <w:r w:rsidR="00E655F5" w:rsidRPr="002946A9">
        <w:rPr>
          <w:rFonts w:ascii="Trebuchet MS" w:hAnsi="Trebuchet MS"/>
          <w:i/>
          <w:iCs/>
          <w:szCs w:val="24"/>
        </w:rPr>
        <w:t>INVR</w:t>
      </w:r>
      <w:r w:rsidR="00E655F5" w:rsidRPr="002946A9">
        <w:rPr>
          <w:rFonts w:ascii="Trebuchet MS" w:hAnsi="Trebuchet MS"/>
          <w:i/>
          <w:iCs/>
          <w:szCs w:val="24"/>
          <w:vertAlign w:val="subscript"/>
        </w:rPr>
        <w:t>j,n,l,</w:t>
      </w:r>
      <w:r w:rsidR="00E52275">
        <w:rPr>
          <w:rFonts w:ascii="Trebuchet MS" w:hAnsi="Trebuchet MS"/>
          <w:i/>
          <w:iCs/>
          <w:szCs w:val="24"/>
          <w:vertAlign w:val="subscript"/>
        </w:rPr>
        <w:t>3</w:t>
      </w:r>
      <w:r w:rsidR="00746593" w:rsidRPr="002946A9">
        <w:rPr>
          <w:rFonts w:ascii="Trebuchet MS" w:hAnsi="Trebuchet MS" w:cs="Arial"/>
        </w:rPr>
        <w:t>.</w:t>
      </w:r>
      <w:r w:rsidR="007254B0" w:rsidRPr="002946A9">
        <w:rPr>
          <w:rFonts w:ascii="Trebuchet MS" w:hAnsi="Trebuchet MS" w:cs="Arial"/>
        </w:rPr>
        <w:t xml:space="preserve"> Por lo anterior, y considerando lo dicho en el </w:t>
      </w:r>
      <w:r w:rsidR="007254B0" w:rsidRPr="002946A9">
        <w:rPr>
          <w:rFonts w:ascii="Trebuchet MS" w:hAnsi="Trebuchet MS"/>
          <w:szCs w:val="24"/>
        </w:rPr>
        <w:t xml:space="preserve">numeral 3.1.1.2, de la resolución CREG 015 del 2018, estos valores pueden ser incluidos en la variable </w:t>
      </w:r>
      <w:r w:rsidR="007254B0" w:rsidRPr="002946A9">
        <w:rPr>
          <w:rFonts w:ascii="Trebuchet MS" w:hAnsi="Trebuchet MS"/>
          <w:i/>
          <w:iCs/>
          <w:szCs w:val="24"/>
        </w:rPr>
        <w:t>INVR</w:t>
      </w:r>
      <w:r w:rsidR="007254B0" w:rsidRPr="002946A9">
        <w:rPr>
          <w:rFonts w:ascii="Trebuchet MS" w:hAnsi="Trebuchet MS"/>
          <w:i/>
          <w:iCs/>
          <w:szCs w:val="24"/>
          <w:vertAlign w:val="subscript"/>
        </w:rPr>
        <w:t>j,n,l,</w:t>
      </w:r>
      <w:r w:rsidR="00E52275">
        <w:rPr>
          <w:rFonts w:ascii="Trebuchet MS" w:hAnsi="Trebuchet MS"/>
          <w:i/>
          <w:iCs/>
          <w:szCs w:val="24"/>
          <w:vertAlign w:val="subscript"/>
        </w:rPr>
        <w:t>4</w:t>
      </w:r>
      <w:r w:rsidR="00E52275" w:rsidRPr="002946A9">
        <w:rPr>
          <w:rFonts w:ascii="Trebuchet MS" w:hAnsi="Trebuchet MS" w:cs="Arial"/>
        </w:rPr>
        <w:t xml:space="preserve"> </w:t>
      </w:r>
      <w:r w:rsidR="007254B0" w:rsidRPr="002946A9">
        <w:rPr>
          <w:rFonts w:ascii="Trebuchet MS" w:hAnsi="Trebuchet MS" w:cs="Arial"/>
        </w:rPr>
        <w:t xml:space="preserve">del año </w:t>
      </w:r>
      <w:r w:rsidR="009139A7" w:rsidRPr="002946A9">
        <w:rPr>
          <w:rFonts w:ascii="Trebuchet MS" w:hAnsi="Trebuchet MS" w:cs="Arial"/>
        </w:rPr>
        <w:t>202</w:t>
      </w:r>
      <w:r w:rsidR="009139A7">
        <w:rPr>
          <w:rFonts w:ascii="Trebuchet MS" w:hAnsi="Trebuchet MS" w:cs="Arial"/>
        </w:rPr>
        <w:t>2</w:t>
      </w:r>
      <w:r w:rsidR="007254B0" w:rsidRPr="002946A9">
        <w:rPr>
          <w:rFonts w:ascii="Trebuchet MS" w:hAnsi="Trebuchet MS" w:cs="Arial"/>
        </w:rPr>
        <w:t>.</w:t>
      </w:r>
    </w:p>
    <w:p w14:paraId="2DB13D77" w14:textId="038FCC4F" w:rsidR="001519A9" w:rsidRDefault="001519A9" w:rsidP="00DF29CB">
      <w:pPr>
        <w:ind w:left="360"/>
        <w:jc w:val="both"/>
        <w:rPr>
          <w:rFonts w:ascii="Trebuchet MS" w:hAnsi="Trebuchet MS" w:cs="Arial"/>
        </w:rPr>
      </w:pPr>
    </w:p>
    <w:p w14:paraId="34DA791B" w14:textId="77777777" w:rsidR="00FB02B8" w:rsidRDefault="00FB02B8" w:rsidP="00DF29CB">
      <w:pPr>
        <w:ind w:left="360"/>
        <w:jc w:val="both"/>
        <w:rPr>
          <w:rFonts w:ascii="Trebuchet MS" w:hAnsi="Trebuchet MS" w:cs="Arial"/>
        </w:rPr>
      </w:pPr>
    </w:p>
    <w:p w14:paraId="008E70F3" w14:textId="77777777" w:rsidR="00FB02B8" w:rsidRDefault="00FB02B8" w:rsidP="00DF29CB">
      <w:pPr>
        <w:ind w:left="360"/>
        <w:jc w:val="both"/>
        <w:rPr>
          <w:rFonts w:ascii="Trebuchet MS" w:hAnsi="Trebuchet MS" w:cs="Arial"/>
        </w:rPr>
      </w:pPr>
    </w:p>
    <w:p w14:paraId="6845EEA1" w14:textId="77777777" w:rsidR="00FB02B8" w:rsidRDefault="00FB02B8" w:rsidP="00DF29CB">
      <w:pPr>
        <w:ind w:left="360"/>
        <w:jc w:val="both"/>
        <w:rPr>
          <w:rFonts w:ascii="Trebuchet MS" w:hAnsi="Trebuchet MS" w:cs="Arial"/>
        </w:rPr>
      </w:pPr>
    </w:p>
    <w:p w14:paraId="73FDBB6D" w14:textId="77777777" w:rsidR="00FB02B8" w:rsidRPr="002946A9" w:rsidRDefault="00FB02B8" w:rsidP="00DF29CB">
      <w:pPr>
        <w:ind w:left="360"/>
        <w:jc w:val="both"/>
        <w:rPr>
          <w:rFonts w:ascii="Trebuchet MS" w:hAnsi="Trebuchet MS" w:cs="Arial"/>
        </w:rPr>
      </w:pPr>
    </w:p>
    <w:p w14:paraId="3E9DB084" w14:textId="77777777" w:rsidR="001519A9" w:rsidRPr="002946A9" w:rsidRDefault="001519A9" w:rsidP="00DF29CB">
      <w:pPr>
        <w:ind w:left="360"/>
        <w:jc w:val="both"/>
        <w:rPr>
          <w:rFonts w:ascii="Trebuchet MS" w:hAnsi="Trebuchet MS" w:cs="Arial"/>
        </w:rPr>
      </w:pPr>
    </w:p>
    <w:p w14:paraId="09D2428B" w14:textId="0459393E" w:rsidR="006304DD" w:rsidRPr="002946A9" w:rsidRDefault="006304DD" w:rsidP="00DF29CB">
      <w:pPr>
        <w:ind w:left="1416" w:hanging="1056"/>
        <w:jc w:val="both"/>
        <w:rPr>
          <w:rFonts w:ascii="Trebuchet MS" w:hAnsi="Trebuchet MS"/>
        </w:rPr>
      </w:pPr>
      <w:bookmarkStart w:id="186" w:name="_Ref67393410"/>
      <w:bookmarkStart w:id="187" w:name="_Toc131032793"/>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3</w:t>
      </w:r>
      <w:r w:rsidRPr="002946A9">
        <w:rPr>
          <w:rFonts w:ascii="Trebuchet MS" w:hAnsi="Trebuchet MS"/>
        </w:rPr>
        <w:fldChar w:fldCharType="end"/>
      </w:r>
      <w:bookmarkEnd w:id="186"/>
      <w:r w:rsidRPr="002946A9">
        <w:rPr>
          <w:rFonts w:ascii="Trebuchet MS" w:hAnsi="Trebuchet MS"/>
        </w:rPr>
        <w:t xml:space="preserve">  </w:t>
      </w:r>
      <w:r w:rsidR="003516BE" w:rsidRPr="002946A9">
        <w:rPr>
          <w:rFonts w:ascii="Trebuchet MS" w:hAnsi="Trebuchet MS"/>
        </w:rPr>
        <w:t xml:space="preserve">Excedente de las inversiones </w:t>
      </w:r>
      <w:r w:rsidRPr="002946A9">
        <w:rPr>
          <w:rFonts w:ascii="Trebuchet MS" w:hAnsi="Trebuchet MS"/>
        </w:rPr>
        <w:t xml:space="preserve">en activos puestos en operación en el sistema de EPM en el año </w:t>
      </w:r>
      <w:r w:rsidR="009139A7" w:rsidRPr="002946A9">
        <w:rPr>
          <w:rFonts w:ascii="Trebuchet MS" w:hAnsi="Trebuchet MS"/>
        </w:rPr>
        <w:t>202</w:t>
      </w:r>
      <w:r w:rsidR="009139A7">
        <w:rPr>
          <w:rFonts w:ascii="Trebuchet MS" w:hAnsi="Trebuchet MS"/>
        </w:rPr>
        <w:t>1</w:t>
      </w:r>
      <w:r w:rsidR="00997EF8" w:rsidRPr="002946A9">
        <w:rPr>
          <w:rFonts w:ascii="Trebuchet MS" w:hAnsi="Trebuchet MS"/>
        </w:rPr>
        <w:t>.</w:t>
      </w:r>
      <w:bookmarkEnd w:id="187"/>
    </w:p>
    <w:tbl>
      <w:tblPr>
        <w:tblStyle w:val="Tablaconcuadrcula5oscura-nfasis1"/>
        <w:tblW w:w="10027" w:type="dxa"/>
        <w:jc w:val="center"/>
        <w:tblLayout w:type="fixed"/>
        <w:tblCellMar>
          <w:left w:w="57" w:type="dxa"/>
          <w:right w:w="57" w:type="dxa"/>
        </w:tblCellMar>
        <w:tblLook w:val="04A0" w:firstRow="1" w:lastRow="0" w:firstColumn="1" w:lastColumn="0" w:noHBand="0" w:noVBand="1"/>
      </w:tblPr>
      <w:tblGrid>
        <w:gridCol w:w="472"/>
        <w:gridCol w:w="1592"/>
        <w:gridCol w:w="1593"/>
        <w:gridCol w:w="1591"/>
        <w:gridCol w:w="1593"/>
        <w:gridCol w:w="1591"/>
        <w:gridCol w:w="1595"/>
      </w:tblGrid>
      <w:tr w:rsidR="00391740" w:rsidRPr="00B237FD" w14:paraId="08BEF5A0" w14:textId="77777777" w:rsidTr="005A01D8">
        <w:trPr>
          <w:cnfStyle w:val="100000000000" w:firstRow="1" w:lastRow="0" w:firstColumn="0" w:lastColumn="0" w:oddVBand="0" w:evenVBand="0" w:oddHBand="0" w:evenHBand="0" w:firstRowFirstColumn="0" w:firstRowLastColumn="0" w:lastRowFirstColumn="0" w:lastRowLastColumn="0"/>
          <w:trHeight w:val="261"/>
          <w:tblHeader/>
          <w:jc w:val="center"/>
        </w:trPr>
        <w:tc>
          <w:tcPr>
            <w:cnfStyle w:val="001000000000" w:firstRow="0" w:lastRow="0" w:firstColumn="1" w:lastColumn="0" w:oddVBand="0" w:evenVBand="0" w:oddHBand="0" w:evenHBand="0" w:firstRowFirstColumn="0" w:firstRowLastColumn="0" w:lastRowFirstColumn="0" w:lastRowLastColumn="0"/>
            <w:tcW w:w="472" w:type="dxa"/>
            <w:vMerge w:val="restart"/>
            <w:noWrap/>
            <w:hideMark/>
          </w:tcPr>
          <w:p w14:paraId="361EB810" w14:textId="77777777" w:rsidR="00391740" w:rsidRPr="00B237FD" w:rsidRDefault="00391740" w:rsidP="0078308B">
            <w:pPr>
              <w:rPr>
                <w:rFonts w:eastAsia="Times New Roman" w:cs="Times New Roman"/>
                <w:i/>
                <w:iCs/>
                <w:color w:val="auto"/>
                <w:sz w:val="16"/>
                <w:szCs w:val="16"/>
                <w:lang w:eastAsia="es-CO"/>
              </w:rPr>
            </w:pPr>
            <w:r w:rsidRPr="00B237FD">
              <w:rPr>
                <w:rFonts w:eastAsia="Times New Roman" w:cs="Times New Roman"/>
                <w:i/>
                <w:iCs/>
                <w:sz w:val="16"/>
                <w:szCs w:val="16"/>
                <w:lang w:eastAsia="es-CO"/>
              </w:rPr>
              <w:t>l</w:t>
            </w:r>
          </w:p>
        </w:tc>
        <w:tc>
          <w:tcPr>
            <w:tcW w:w="1591" w:type="dxa"/>
            <w:vMerge w:val="restart"/>
            <w:noWrap/>
            <w:hideMark/>
          </w:tcPr>
          <w:p w14:paraId="53881AA6" w14:textId="77777777" w:rsidR="00391740" w:rsidRPr="00B237FD" w:rsidRDefault="00391740" w:rsidP="0078308B">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es-CO"/>
              </w:rPr>
            </w:pPr>
            <w:r w:rsidRPr="00B237FD">
              <w:rPr>
                <w:rFonts w:eastAsia="Times New Roman" w:cs="Times New Roman"/>
                <w:sz w:val="16"/>
                <w:szCs w:val="16"/>
                <w:lang w:eastAsia="es-CO"/>
              </w:rPr>
              <w:t>Descripción</w:t>
            </w:r>
          </w:p>
        </w:tc>
        <w:tc>
          <w:tcPr>
            <w:tcW w:w="7962" w:type="dxa"/>
            <w:gridSpan w:val="5"/>
            <w:noWrap/>
            <w:hideMark/>
          </w:tcPr>
          <w:p w14:paraId="27732E2B" w14:textId="67EFED9F" w:rsidR="00391740" w:rsidRPr="00B237FD" w:rsidRDefault="00391740" w:rsidP="0078308B">
            <w:pPr>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auto"/>
                <w:sz w:val="16"/>
                <w:szCs w:val="16"/>
                <w:lang w:eastAsia="es-CO"/>
              </w:rPr>
            </w:pPr>
            <w:r w:rsidRPr="00B237FD">
              <w:rPr>
                <w:rFonts w:eastAsia="Times New Roman" w:cs="Times New Roman"/>
                <w:i/>
                <w:iCs/>
                <w:sz w:val="16"/>
                <w:szCs w:val="16"/>
                <w:lang w:eastAsia="es-CO"/>
              </w:rPr>
              <w:t>Excedentes INVR</w:t>
            </w:r>
            <w:r w:rsidRPr="00B237FD">
              <w:rPr>
                <w:rFonts w:eastAsia="Times New Roman" w:cs="Times New Roman"/>
                <w:i/>
                <w:iCs/>
                <w:sz w:val="16"/>
                <w:szCs w:val="16"/>
                <w:vertAlign w:val="subscript"/>
                <w:lang w:eastAsia="es-CO"/>
              </w:rPr>
              <w:t>j,n,l,</w:t>
            </w:r>
            <w:r w:rsidR="006611B6">
              <w:rPr>
                <w:rFonts w:eastAsia="Times New Roman" w:cs="Times New Roman"/>
                <w:i/>
                <w:iCs/>
                <w:sz w:val="16"/>
                <w:szCs w:val="16"/>
                <w:vertAlign w:val="subscript"/>
                <w:lang w:eastAsia="es-CO"/>
              </w:rPr>
              <w:t>3</w:t>
            </w:r>
            <w:r w:rsidRPr="00B237FD">
              <w:rPr>
                <w:rFonts w:eastAsia="Times New Roman" w:cs="Times New Roman"/>
                <w:i/>
                <w:iCs/>
                <w:sz w:val="16"/>
                <w:szCs w:val="16"/>
                <w:vertAlign w:val="superscript"/>
                <w:lang w:eastAsia="es-CO"/>
              </w:rPr>
              <w:t xml:space="preserve">* </w:t>
            </w:r>
            <w:r w:rsidRPr="00B237FD">
              <w:rPr>
                <w:rFonts w:eastAsia="Times New Roman" w:cs="Times New Roman"/>
                <w:i/>
                <w:iCs/>
                <w:sz w:val="16"/>
                <w:szCs w:val="16"/>
                <w:lang w:eastAsia="es-CO"/>
              </w:rPr>
              <w:t>- pendientes por remunerar en el 202</w:t>
            </w:r>
            <w:r w:rsidR="00206E93">
              <w:rPr>
                <w:rFonts w:eastAsia="Times New Roman" w:cs="Times New Roman"/>
                <w:i/>
                <w:iCs/>
                <w:sz w:val="16"/>
                <w:szCs w:val="16"/>
                <w:lang w:eastAsia="es-CO"/>
              </w:rPr>
              <w:t>1</w:t>
            </w:r>
          </w:p>
        </w:tc>
      </w:tr>
      <w:tr w:rsidR="00391740" w:rsidRPr="00B237FD" w14:paraId="5F8A2A38" w14:textId="77777777" w:rsidTr="005A01D8">
        <w:trPr>
          <w:cnfStyle w:val="100000000000" w:firstRow="1" w:lastRow="0" w:firstColumn="0" w:lastColumn="0" w:oddVBand="0" w:evenVBand="0" w:oddHBand="0" w:evenHBand="0" w:firstRowFirstColumn="0" w:firstRowLastColumn="0" w:lastRowFirstColumn="0" w:lastRowLastColumn="0"/>
          <w:trHeight w:val="252"/>
          <w:tblHeader/>
          <w:jc w:val="center"/>
        </w:trPr>
        <w:tc>
          <w:tcPr>
            <w:cnfStyle w:val="001000000000" w:firstRow="0" w:lastRow="0" w:firstColumn="1" w:lastColumn="0" w:oddVBand="0" w:evenVBand="0" w:oddHBand="0" w:evenHBand="0" w:firstRowFirstColumn="0" w:firstRowLastColumn="0" w:lastRowFirstColumn="0" w:lastRowLastColumn="0"/>
            <w:tcW w:w="472" w:type="dxa"/>
            <w:vMerge/>
            <w:hideMark/>
          </w:tcPr>
          <w:p w14:paraId="20E1B1FA" w14:textId="77777777" w:rsidR="00391740" w:rsidRPr="00B237FD" w:rsidRDefault="00391740" w:rsidP="0078308B">
            <w:pPr>
              <w:rPr>
                <w:rFonts w:eastAsia="Times New Roman" w:cs="Times New Roman"/>
                <w:i/>
                <w:iCs/>
                <w:color w:val="auto"/>
                <w:sz w:val="16"/>
                <w:szCs w:val="16"/>
                <w:lang w:eastAsia="es-CO"/>
              </w:rPr>
            </w:pPr>
          </w:p>
        </w:tc>
        <w:tc>
          <w:tcPr>
            <w:tcW w:w="1591" w:type="dxa"/>
            <w:vMerge/>
            <w:hideMark/>
          </w:tcPr>
          <w:p w14:paraId="0D7575CD" w14:textId="77777777" w:rsidR="00391740" w:rsidRPr="00B237FD" w:rsidRDefault="00391740" w:rsidP="0078308B">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6"/>
                <w:szCs w:val="16"/>
                <w:lang w:eastAsia="es-CO"/>
              </w:rPr>
            </w:pPr>
          </w:p>
        </w:tc>
        <w:tc>
          <w:tcPr>
            <w:tcW w:w="1593" w:type="dxa"/>
            <w:noWrap/>
            <w:hideMark/>
          </w:tcPr>
          <w:p w14:paraId="6E34F2DE" w14:textId="77777777" w:rsidR="00391740" w:rsidRPr="00B237FD" w:rsidRDefault="00391740" w:rsidP="0078308B">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B237FD">
              <w:rPr>
                <w:rFonts w:eastAsia="Times New Roman" w:cs="Times New Roman"/>
                <w:sz w:val="16"/>
                <w:szCs w:val="16"/>
                <w:lang w:eastAsia="es-CO"/>
              </w:rPr>
              <w:t>N1</w:t>
            </w:r>
          </w:p>
        </w:tc>
        <w:tc>
          <w:tcPr>
            <w:tcW w:w="1591" w:type="dxa"/>
            <w:noWrap/>
            <w:hideMark/>
          </w:tcPr>
          <w:p w14:paraId="00560DBD" w14:textId="77777777" w:rsidR="00391740" w:rsidRPr="00B237FD" w:rsidRDefault="00391740" w:rsidP="0078308B">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B237FD">
              <w:rPr>
                <w:rFonts w:eastAsia="Times New Roman" w:cs="Times New Roman"/>
                <w:sz w:val="16"/>
                <w:szCs w:val="16"/>
                <w:lang w:eastAsia="es-CO"/>
              </w:rPr>
              <w:t>N2</w:t>
            </w:r>
          </w:p>
        </w:tc>
        <w:tc>
          <w:tcPr>
            <w:tcW w:w="1593" w:type="dxa"/>
            <w:noWrap/>
            <w:hideMark/>
          </w:tcPr>
          <w:p w14:paraId="0059AC1C" w14:textId="77777777" w:rsidR="00391740" w:rsidRPr="00B237FD" w:rsidRDefault="00391740" w:rsidP="0078308B">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B237FD">
              <w:rPr>
                <w:rFonts w:eastAsia="Times New Roman" w:cs="Times New Roman"/>
                <w:sz w:val="16"/>
                <w:szCs w:val="16"/>
                <w:lang w:eastAsia="es-CO"/>
              </w:rPr>
              <w:t>N3</w:t>
            </w:r>
          </w:p>
        </w:tc>
        <w:tc>
          <w:tcPr>
            <w:tcW w:w="1591" w:type="dxa"/>
            <w:noWrap/>
            <w:hideMark/>
          </w:tcPr>
          <w:p w14:paraId="0B2C543E" w14:textId="77777777" w:rsidR="00391740" w:rsidRPr="00B237FD" w:rsidRDefault="00391740" w:rsidP="0078308B">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B237FD">
              <w:rPr>
                <w:rFonts w:eastAsia="Times New Roman" w:cs="Times New Roman"/>
                <w:sz w:val="16"/>
                <w:szCs w:val="16"/>
                <w:lang w:eastAsia="es-CO"/>
              </w:rPr>
              <w:t>N4</w:t>
            </w:r>
          </w:p>
        </w:tc>
        <w:tc>
          <w:tcPr>
            <w:tcW w:w="1593" w:type="dxa"/>
            <w:noWrap/>
            <w:hideMark/>
          </w:tcPr>
          <w:p w14:paraId="3EA87480" w14:textId="77777777" w:rsidR="00391740" w:rsidRPr="00B237FD" w:rsidRDefault="00391740" w:rsidP="0078308B">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B237FD">
              <w:rPr>
                <w:rFonts w:eastAsia="Times New Roman" w:cs="Times New Roman"/>
                <w:sz w:val="16"/>
                <w:szCs w:val="16"/>
                <w:lang w:eastAsia="es-CO"/>
              </w:rPr>
              <w:t>TOTAL</w:t>
            </w:r>
          </w:p>
        </w:tc>
      </w:tr>
      <w:tr w:rsidR="00BD7EC4" w:rsidRPr="00BD7EC4" w14:paraId="15BD75F4" w14:textId="77777777" w:rsidTr="005A01D8">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72" w:type="dxa"/>
            <w:noWrap/>
            <w:hideMark/>
          </w:tcPr>
          <w:p w14:paraId="5282A2F3" w14:textId="77777777" w:rsidR="00BD7EC4" w:rsidRPr="00B237FD" w:rsidRDefault="00BD7EC4" w:rsidP="00BD7EC4">
            <w:pPr>
              <w:jc w:val="center"/>
              <w:rPr>
                <w:rFonts w:eastAsia="Times New Roman" w:cs="Times New Roman"/>
                <w:color w:val="auto"/>
                <w:sz w:val="16"/>
                <w:szCs w:val="16"/>
                <w:lang w:eastAsia="es-CO"/>
              </w:rPr>
            </w:pPr>
            <w:r w:rsidRPr="00B237FD">
              <w:rPr>
                <w:rFonts w:eastAsia="Times New Roman" w:cs="Times New Roman"/>
                <w:sz w:val="16"/>
                <w:szCs w:val="16"/>
                <w:lang w:eastAsia="es-CO"/>
              </w:rPr>
              <w:t>1</w:t>
            </w:r>
          </w:p>
        </w:tc>
        <w:tc>
          <w:tcPr>
            <w:tcW w:w="1591" w:type="dxa"/>
            <w:noWrap/>
            <w:hideMark/>
          </w:tcPr>
          <w:p w14:paraId="78B220BC" w14:textId="77777777" w:rsidR="00BD7EC4" w:rsidRPr="00B237FD" w:rsidRDefault="00BD7EC4" w:rsidP="00BD7EC4">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B237FD">
              <w:rPr>
                <w:rFonts w:eastAsia="Times New Roman" w:cs="Times New Roman"/>
                <w:sz w:val="16"/>
                <w:szCs w:val="16"/>
                <w:lang w:eastAsia="es-CO"/>
              </w:rPr>
              <w:t>Transformadores de potencia</w:t>
            </w:r>
          </w:p>
        </w:tc>
        <w:tc>
          <w:tcPr>
            <w:tcW w:w="1593" w:type="dxa"/>
            <w:shd w:val="clear" w:color="auto" w:fill="BFBFBF" w:themeFill="background1" w:themeFillShade="BF"/>
            <w:noWrap/>
          </w:tcPr>
          <w:p w14:paraId="649ED20B" w14:textId="55677399"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91" w:type="dxa"/>
            <w:noWrap/>
          </w:tcPr>
          <w:p w14:paraId="3BECD2AD" w14:textId="111A030F"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1,238,070,550.00 </w:t>
            </w:r>
          </w:p>
        </w:tc>
        <w:tc>
          <w:tcPr>
            <w:tcW w:w="1593" w:type="dxa"/>
            <w:noWrap/>
          </w:tcPr>
          <w:p w14:paraId="075B1928" w14:textId="5415624E"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339,666,900.00 </w:t>
            </w:r>
          </w:p>
        </w:tc>
        <w:tc>
          <w:tcPr>
            <w:tcW w:w="1591" w:type="dxa"/>
            <w:noWrap/>
          </w:tcPr>
          <w:p w14:paraId="4CE0D2FF" w14:textId="7F9DBDCA"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93" w:type="dxa"/>
            <w:noWrap/>
          </w:tcPr>
          <w:p w14:paraId="680B54B4" w14:textId="16FF713D" w:rsidR="00BD7EC4" w:rsidRPr="002F1FFA"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2F1FFA">
              <w:rPr>
                <w:rFonts w:eastAsia="Times New Roman" w:cs="Times New Roman"/>
                <w:b/>
                <w:bCs/>
                <w:sz w:val="16"/>
                <w:szCs w:val="16"/>
                <w:lang w:eastAsia="es-CO"/>
              </w:rPr>
              <w:t xml:space="preserve"> $ 1,577,737,450 </w:t>
            </w:r>
          </w:p>
        </w:tc>
      </w:tr>
      <w:tr w:rsidR="00BD7EC4" w:rsidRPr="00BD7EC4" w14:paraId="590371A3" w14:textId="77777777" w:rsidTr="005A01D8">
        <w:trPr>
          <w:cnfStyle w:val="000000010000" w:firstRow="0" w:lastRow="0" w:firstColumn="0" w:lastColumn="0" w:oddVBand="0" w:evenVBand="0" w:oddHBand="0" w:evenHBand="1"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72" w:type="dxa"/>
            <w:noWrap/>
            <w:hideMark/>
          </w:tcPr>
          <w:p w14:paraId="2062CF16" w14:textId="77777777" w:rsidR="00BD7EC4" w:rsidRPr="00B237FD" w:rsidRDefault="00BD7EC4" w:rsidP="00BD7EC4">
            <w:pPr>
              <w:jc w:val="center"/>
              <w:rPr>
                <w:rFonts w:eastAsia="Times New Roman" w:cs="Times New Roman"/>
                <w:color w:val="auto"/>
                <w:sz w:val="16"/>
                <w:szCs w:val="16"/>
                <w:lang w:eastAsia="es-CO"/>
              </w:rPr>
            </w:pPr>
            <w:r w:rsidRPr="00B237FD">
              <w:rPr>
                <w:rFonts w:eastAsia="Times New Roman" w:cs="Times New Roman"/>
                <w:sz w:val="16"/>
                <w:szCs w:val="16"/>
                <w:lang w:eastAsia="es-CO"/>
              </w:rPr>
              <w:t>2</w:t>
            </w:r>
          </w:p>
        </w:tc>
        <w:tc>
          <w:tcPr>
            <w:tcW w:w="1591" w:type="dxa"/>
            <w:noWrap/>
            <w:hideMark/>
          </w:tcPr>
          <w:p w14:paraId="09AF3060" w14:textId="77777777" w:rsidR="00BD7EC4" w:rsidRPr="00B237FD" w:rsidRDefault="00BD7EC4" w:rsidP="00BD7EC4">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B237FD">
              <w:rPr>
                <w:rFonts w:eastAsia="Times New Roman" w:cs="Times New Roman"/>
                <w:sz w:val="16"/>
                <w:szCs w:val="16"/>
                <w:lang w:eastAsia="es-CO"/>
              </w:rPr>
              <w:t>Compensación reactiva</w:t>
            </w:r>
          </w:p>
        </w:tc>
        <w:tc>
          <w:tcPr>
            <w:tcW w:w="1593" w:type="dxa"/>
            <w:shd w:val="clear" w:color="auto" w:fill="BFBFBF" w:themeFill="background1" w:themeFillShade="BF"/>
            <w:noWrap/>
          </w:tcPr>
          <w:p w14:paraId="20DF7AE4" w14:textId="63FACCC9"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91" w:type="dxa"/>
            <w:noWrap/>
          </w:tcPr>
          <w:p w14:paraId="387A3028" w14:textId="2DF3FF23"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   </w:t>
            </w:r>
          </w:p>
        </w:tc>
        <w:tc>
          <w:tcPr>
            <w:tcW w:w="1593" w:type="dxa"/>
            <w:noWrap/>
          </w:tcPr>
          <w:p w14:paraId="42963244" w14:textId="0216B59D"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   </w:t>
            </w:r>
          </w:p>
        </w:tc>
        <w:tc>
          <w:tcPr>
            <w:tcW w:w="1591" w:type="dxa"/>
            <w:noWrap/>
          </w:tcPr>
          <w:p w14:paraId="17133C56" w14:textId="0444BA33"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93" w:type="dxa"/>
            <w:noWrap/>
          </w:tcPr>
          <w:p w14:paraId="57FE7CB8" w14:textId="60A7F5B8" w:rsidR="00BD7EC4" w:rsidRPr="002F1FFA"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2F1FFA">
              <w:rPr>
                <w:rFonts w:eastAsia="Times New Roman" w:cs="Times New Roman"/>
                <w:b/>
                <w:bCs/>
                <w:sz w:val="16"/>
                <w:szCs w:val="16"/>
                <w:lang w:eastAsia="es-CO"/>
              </w:rPr>
              <w:t xml:space="preserve"> $ -   </w:t>
            </w:r>
          </w:p>
        </w:tc>
      </w:tr>
      <w:tr w:rsidR="00BD7EC4" w:rsidRPr="00BD7EC4" w14:paraId="532E3465" w14:textId="77777777" w:rsidTr="005A01D8">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72" w:type="dxa"/>
            <w:noWrap/>
            <w:hideMark/>
          </w:tcPr>
          <w:p w14:paraId="742B6F66" w14:textId="77777777" w:rsidR="00BD7EC4" w:rsidRPr="00B237FD" w:rsidRDefault="00BD7EC4" w:rsidP="00BD7EC4">
            <w:pPr>
              <w:jc w:val="center"/>
              <w:rPr>
                <w:rFonts w:eastAsia="Times New Roman" w:cs="Times New Roman"/>
                <w:color w:val="auto"/>
                <w:sz w:val="16"/>
                <w:szCs w:val="16"/>
                <w:lang w:eastAsia="es-CO"/>
              </w:rPr>
            </w:pPr>
            <w:r w:rsidRPr="00B237FD">
              <w:rPr>
                <w:rFonts w:eastAsia="Times New Roman" w:cs="Times New Roman"/>
                <w:sz w:val="16"/>
                <w:szCs w:val="16"/>
                <w:lang w:eastAsia="es-CO"/>
              </w:rPr>
              <w:t>3</w:t>
            </w:r>
          </w:p>
        </w:tc>
        <w:tc>
          <w:tcPr>
            <w:tcW w:w="1591" w:type="dxa"/>
            <w:noWrap/>
            <w:hideMark/>
          </w:tcPr>
          <w:p w14:paraId="415D9F8E" w14:textId="77777777" w:rsidR="00BD7EC4" w:rsidRPr="00B237FD" w:rsidRDefault="00BD7EC4" w:rsidP="00BD7EC4">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B237FD">
              <w:rPr>
                <w:rFonts w:eastAsia="Times New Roman" w:cs="Times New Roman"/>
                <w:sz w:val="16"/>
                <w:szCs w:val="16"/>
                <w:lang w:eastAsia="es-CO"/>
              </w:rPr>
              <w:t>Bahías y celdas</w:t>
            </w:r>
          </w:p>
        </w:tc>
        <w:tc>
          <w:tcPr>
            <w:tcW w:w="1593" w:type="dxa"/>
            <w:shd w:val="clear" w:color="auto" w:fill="BFBFBF" w:themeFill="background1" w:themeFillShade="BF"/>
            <w:noWrap/>
          </w:tcPr>
          <w:p w14:paraId="3FBEDC09" w14:textId="75D550F3"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91" w:type="dxa"/>
            <w:noWrap/>
          </w:tcPr>
          <w:p w14:paraId="180C09C2" w14:textId="048FAD65"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   </w:t>
            </w:r>
          </w:p>
        </w:tc>
        <w:tc>
          <w:tcPr>
            <w:tcW w:w="1593" w:type="dxa"/>
            <w:noWrap/>
          </w:tcPr>
          <w:p w14:paraId="20DF0BB4" w14:textId="480A7CE8"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   </w:t>
            </w:r>
          </w:p>
        </w:tc>
        <w:tc>
          <w:tcPr>
            <w:tcW w:w="1591" w:type="dxa"/>
            <w:noWrap/>
          </w:tcPr>
          <w:p w14:paraId="27D0C305" w14:textId="396D5315"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93" w:type="dxa"/>
            <w:noWrap/>
          </w:tcPr>
          <w:p w14:paraId="0ED66D5D" w14:textId="268A7567" w:rsidR="00BD7EC4" w:rsidRPr="002F1FFA"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2F1FFA">
              <w:rPr>
                <w:rFonts w:eastAsia="Times New Roman" w:cs="Times New Roman"/>
                <w:b/>
                <w:bCs/>
                <w:sz w:val="16"/>
                <w:szCs w:val="16"/>
                <w:lang w:eastAsia="es-CO"/>
              </w:rPr>
              <w:t xml:space="preserve"> $ -   </w:t>
            </w:r>
          </w:p>
        </w:tc>
      </w:tr>
      <w:tr w:rsidR="00BD7EC4" w:rsidRPr="00BD7EC4" w14:paraId="5327F1CA" w14:textId="77777777" w:rsidTr="005A01D8">
        <w:trPr>
          <w:cnfStyle w:val="000000010000" w:firstRow="0" w:lastRow="0" w:firstColumn="0" w:lastColumn="0" w:oddVBand="0" w:evenVBand="0" w:oddHBand="0" w:evenHBand="1"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72" w:type="dxa"/>
            <w:noWrap/>
            <w:hideMark/>
          </w:tcPr>
          <w:p w14:paraId="2E9CD598" w14:textId="77777777" w:rsidR="00BD7EC4" w:rsidRPr="00B237FD" w:rsidRDefault="00BD7EC4" w:rsidP="00BD7EC4">
            <w:pPr>
              <w:jc w:val="center"/>
              <w:rPr>
                <w:rFonts w:eastAsia="Times New Roman" w:cs="Times New Roman"/>
                <w:color w:val="auto"/>
                <w:sz w:val="16"/>
                <w:szCs w:val="16"/>
                <w:lang w:eastAsia="es-CO"/>
              </w:rPr>
            </w:pPr>
            <w:r w:rsidRPr="00B237FD">
              <w:rPr>
                <w:rFonts w:eastAsia="Times New Roman" w:cs="Times New Roman"/>
                <w:sz w:val="16"/>
                <w:szCs w:val="16"/>
                <w:lang w:eastAsia="es-CO"/>
              </w:rPr>
              <w:t>4</w:t>
            </w:r>
          </w:p>
        </w:tc>
        <w:tc>
          <w:tcPr>
            <w:tcW w:w="1591" w:type="dxa"/>
            <w:noWrap/>
            <w:hideMark/>
          </w:tcPr>
          <w:p w14:paraId="51BAE5F5" w14:textId="77777777" w:rsidR="00BD7EC4" w:rsidRPr="00B237FD" w:rsidRDefault="00BD7EC4" w:rsidP="00BD7EC4">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B237FD">
              <w:rPr>
                <w:rFonts w:eastAsia="Times New Roman" w:cs="Times New Roman"/>
                <w:sz w:val="16"/>
                <w:szCs w:val="16"/>
                <w:lang w:eastAsia="es-CO"/>
              </w:rPr>
              <w:t>Equipos de control y comunicaciones</w:t>
            </w:r>
          </w:p>
        </w:tc>
        <w:tc>
          <w:tcPr>
            <w:tcW w:w="1593" w:type="dxa"/>
            <w:shd w:val="clear" w:color="auto" w:fill="BFBFBF" w:themeFill="background1" w:themeFillShade="BF"/>
            <w:noWrap/>
          </w:tcPr>
          <w:p w14:paraId="0A14DB9F" w14:textId="3426F181"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91" w:type="dxa"/>
            <w:noWrap/>
          </w:tcPr>
          <w:p w14:paraId="5D3A20A7" w14:textId="16FBC0B4"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1,896,816,815.93 </w:t>
            </w:r>
          </w:p>
        </w:tc>
        <w:tc>
          <w:tcPr>
            <w:tcW w:w="1593" w:type="dxa"/>
            <w:noWrap/>
          </w:tcPr>
          <w:p w14:paraId="1A0381DC" w14:textId="5CF86BAF"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   </w:t>
            </w:r>
          </w:p>
        </w:tc>
        <w:tc>
          <w:tcPr>
            <w:tcW w:w="1591" w:type="dxa"/>
            <w:noWrap/>
          </w:tcPr>
          <w:p w14:paraId="13998A93" w14:textId="7FA8B177"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93" w:type="dxa"/>
            <w:noWrap/>
          </w:tcPr>
          <w:p w14:paraId="0465DEFB" w14:textId="28C6B6ED" w:rsidR="00BD7EC4" w:rsidRPr="002F1FFA"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2F1FFA">
              <w:rPr>
                <w:rFonts w:eastAsia="Times New Roman" w:cs="Times New Roman"/>
                <w:b/>
                <w:bCs/>
                <w:sz w:val="16"/>
                <w:szCs w:val="16"/>
                <w:lang w:eastAsia="es-CO"/>
              </w:rPr>
              <w:t xml:space="preserve"> $ 1,896,816,816 </w:t>
            </w:r>
          </w:p>
        </w:tc>
      </w:tr>
      <w:tr w:rsidR="00BD7EC4" w:rsidRPr="00BD7EC4" w14:paraId="5DA3CF00" w14:textId="77777777" w:rsidTr="005A01D8">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72" w:type="dxa"/>
            <w:noWrap/>
            <w:hideMark/>
          </w:tcPr>
          <w:p w14:paraId="3E73AB79" w14:textId="77777777" w:rsidR="00BD7EC4" w:rsidRPr="00B237FD" w:rsidRDefault="00BD7EC4" w:rsidP="00BD7EC4">
            <w:pPr>
              <w:jc w:val="center"/>
              <w:rPr>
                <w:rFonts w:eastAsia="Times New Roman" w:cs="Times New Roman"/>
                <w:color w:val="auto"/>
                <w:sz w:val="16"/>
                <w:szCs w:val="16"/>
                <w:lang w:eastAsia="es-CO"/>
              </w:rPr>
            </w:pPr>
            <w:r w:rsidRPr="00B237FD">
              <w:rPr>
                <w:rFonts w:eastAsia="Times New Roman" w:cs="Times New Roman"/>
                <w:sz w:val="16"/>
                <w:szCs w:val="16"/>
                <w:lang w:eastAsia="es-CO"/>
              </w:rPr>
              <w:t>5</w:t>
            </w:r>
          </w:p>
        </w:tc>
        <w:tc>
          <w:tcPr>
            <w:tcW w:w="1591" w:type="dxa"/>
            <w:noWrap/>
            <w:hideMark/>
          </w:tcPr>
          <w:p w14:paraId="768619AB" w14:textId="77777777" w:rsidR="00BD7EC4" w:rsidRPr="00B237FD" w:rsidRDefault="00BD7EC4" w:rsidP="00BD7EC4">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B237FD">
              <w:rPr>
                <w:rFonts w:eastAsia="Times New Roman" w:cs="Times New Roman"/>
                <w:sz w:val="16"/>
                <w:szCs w:val="16"/>
                <w:lang w:eastAsia="es-CO"/>
              </w:rPr>
              <w:t>Equipos de subestación</w:t>
            </w:r>
          </w:p>
        </w:tc>
        <w:tc>
          <w:tcPr>
            <w:tcW w:w="1593" w:type="dxa"/>
            <w:shd w:val="clear" w:color="auto" w:fill="BFBFBF" w:themeFill="background1" w:themeFillShade="BF"/>
            <w:noWrap/>
          </w:tcPr>
          <w:p w14:paraId="1193B7B9" w14:textId="5EE5DEBE"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91" w:type="dxa"/>
            <w:noWrap/>
          </w:tcPr>
          <w:p w14:paraId="6AFBFEC2" w14:textId="531C7808"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   </w:t>
            </w:r>
          </w:p>
        </w:tc>
        <w:tc>
          <w:tcPr>
            <w:tcW w:w="1593" w:type="dxa"/>
            <w:noWrap/>
          </w:tcPr>
          <w:p w14:paraId="60694E69" w14:textId="036A58CF"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184,696,800.00 </w:t>
            </w:r>
          </w:p>
        </w:tc>
        <w:tc>
          <w:tcPr>
            <w:tcW w:w="1591" w:type="dxa"/>
            <w:noWrap/>
          </w:tcPr>
          <w:p w14:paraId="42F20EC0" w14:textId="39CBAC80"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93" w:type="dxa"/>
            <w:noWrap/>
          </w:tcPr>
          <w:p w14:paraId="5B2CB836" w14:textId="6A647903" w:rsidR="00BD7EC4" w:rsidRPr="002F1FFA"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2F1FFA">
              <w:rPr>
                <w:rFonts w:eastAsia="Times New Roman" w:cs="Times New Roman"/>
                <w:b/>
                <w:bCs/>
                <w:sz w:val="16"/>
                <w:szCs w:val="16"/>
                <w:lang w:eastAsia="es-CO"/>
              </w:rPr>
              <w:t xml:space="preserve"> $ 184,696,800 </w:t>
            </w:r>
          </w:p>
        </w:tc>
      </w:tr>
      <w:tr w:rsidR="00BD7EC4" w:rsidRPr="00BD7EC4" w14:paraId="0BF4DEF5" w14:textId="77777777" w:rsidTr="005A01D8">
        <w:trPr>
          <w:cnfStyle w:val="000000010000" w:firstRow="0" w:lastRow="0" w:firstColumn="0" w:lastColumn="0" w:oddVBand="0" w:evenVBand="0" w:oddHBand="0" w:evenHBand="1"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72" w:type="dxa"/>
            <w:noWrap/>
            <w:hideMark/>
          </w:tcPr>
          <w:p w14:paraId="7049159A" w14:textId="77777777" w:rsidR="00BD7EC4" w:rsidRPr="00B237FD" w:rsidRDefault="00BD7EC4" w:rsidP="00BD7EC4">
            <w:pPr>
              <w:jc w:val="center"/>
              <w:rPr>
                <w:rFonts w:eastAsia="Times New Roman" w:cs="Times New Roman"/>
                <w:color w:val="auto"/>
                <w:sz w:val="16"/>
                <w:szCs w:val="16"/>
                <w:lang w:eastAsia="es-CO"/>
              </w:rPr>
            </w:pPr>
            <w:r w:rsidRPr="00B237FD">
              <w:rPr>
                <w:rFonts w:eastAsia="Times New Roman" w:cs="Times New Roman"/>
                <w:sz w:val="16"/>
                <w:szCs w:val="16"/>
                <w:lang w:eastAsia="es-CO"/>
              </w:rPr>
              <w:t>6</w:t>
            </w:r>
          </w:p>
        </w:tc>
        <w:tc>
          <w:tcPr>
            <w:tcW w:w="1591" w:type="dxa"/>
            <w:noWrap/>
            <w:hideMark/>
          </w:tcPr>
          <w:p w14:paraId="3ECEB6A6" w14:textId="77777777" w:rsidR="00BD7EC4" w:rsidRPr="00B237FD" w:rsidRDefault="00BD7EC4" w:rsidP="00BD7EC4">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B237FD">
              <w:rPr>
                <w:rFonts w:eastAsia="Times New Roman" w:cs="Times New Roman"/>
                <w:sz w:val="16"/>
                <w:szCs w:val="16"/>
                <w:lang w:eastAsia="es-CO"/>
              </w:rPr>
              <w:t>Otros activos subestación</w:t>
            </w:r>
          </w:p>
        </w:tc>
        <w:tc>
          <w:tcPr>
            <w:tcW w:w="1593" w:type="dxa"/>
            <w:shd w:val="clear" w:color="auto" w:fill="BFBFBF" w:themeFill="background1" w:themeFillShade="BF"/>
            <w:noWrap/>
          </w:tcPr>
          <w:p w14:paraId="1B41C1F8" w14:textId="773419E5"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91" w:type="dxa"/>
            <w:noWrap/>
          </w:tcPr>
          <w:p w14:paraId="44BAFB65" w14:textId="06359F0E"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208,715,800.00 </w:t>
            </w:r>
          </w:p>
        </w:tc>
        <w:tc>
          <w:tcPr>
            <w:tcW w:w="1593" w:type="dxa"/>
            <w:noWrap/>
          </w:tcPr>
          <w:p w14:paraId="544B234A" w14:textId="507C5245"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214,567,955.01 </w:t>
            </w:r>
          </w:p>
        </w:tc>
        <w:tc>
          <w:tcPr>
            <w:tcW w:w="1591" w:type="dxa"/>
            <w:noWrap/>
          </w:tcPr>
          <w:p w14:paraId="6195A04D" w14:textId="7561E095"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93" w:type="dxa"/>
            <w:noWrap/>
          </w:tcPr>
          <w:p w14:paraId="4433A2AF" w14:textId="2B835CE8" w:rsidR="00BD7EC4" w:rsidRPr="002F1FFA"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2F1FFA">
              <w:rPr>
                <w:rFonts w:eastAsia="Times New Roman" w:cs="Times New Roman"/>
                <w:b/>
                <w:bCs/>
                <w:sz w:val="16"/>
                <w:szCs w:val="16"/>
                <w:lang w:eastAsia="es-CO"/>
              </w:rPr>
              <w:t xml:space="preserve"> $ 423,283,755 </w:t>
            </w:r>
          </w:p>
        </w:tc>
      </w:tr>
      <w:tr w:rsidR="00BD7EC4" w:rsidRPr="00BD7EC4" w14:paraId="1D36537F" w14:textId="77777777" w:rsidTr="005A01D8">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72" w:type="dxa"/>
            <w:noWrap/>
            <w:hideMark/>
          </w:tcPr>
          <w:p w14:paraId="4C1A0624" w14:textId="77777777" w:rsidR="00BD7EC4" w:rsidRPr="00B237FD" w:rsidRDefault="00BD7EC4" w:rsidP="00BD7EC4">
            <w:pPr>
              <w:jc w:val="center"/>
              <w:rPr>
                <w:rFonts w:eastAsia="Times New Roman" w:cs="Times New Roman"/>
                <w:color w:val="auto"/>
                <w:sz w:val="16"/>
                <w:szCs w:val="16"/>
                <w:lang w:eastAsia="es-CO"/>
              </w:rPr>
            </w:pPr>
            <w:r w:rsidRPr="00B237FD">
              <w:rPr>
                <w:rFonts w:eastAsia="Times New Roman" w:cs="Times New Roman"/>
                <w:sz w:val="16"/>
                <w:szCs w:val="16"/>
                <w:lang w:eastAsia="es-CO"/>
              </w:rPr>
              <w:t>7</w:t>
            </w:r>
          </w:p>
        </w:tc>
        <w:tc>
          <w:tcPr>
            <w:tcW w:w="1591" w:type="dxa"/>
            <w:noWrap/>
            <w:hideMark/>
          </w:tcPr>
          <w:p w14:paraId="1D6A6234" w14:textId="77777777" w:rsidR="00BD7EC4" w:rsidRPr="00B237FD" w:rsidRDefault="00BD7EC4" w:rsidP="00BD7EC4">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B237FD">
              <w:rPr>
                <w:rFonts w:eastAsia="Times New Roman" w:cs="Times New Roman"/>
                <w:sz w:val="16"/>
                <w:szCs w:val="16"/>
                <w:lang w:eastAsia="es-CO"/>
              </w:rPr>
              <w:t>Líneas aéreas</w:t>
            </w:r>
          </w:p>
        </w:tc>
        <w:tc>
          <w:tcPr>
            <w:tcW w:w="1593" w:type="dxa"/>
            <w:shd w:val="clear" w:color="auto" w:fill="BFBFBF" w:themeFill="background1" w:themeFillShade="BF"/>
            <w:noWrap/>
          </w:tcPr>
          <w:p w14:paraId="1546378A" w14:textId="48266832"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91" w:type="dxa"/>
            <w:noWrap/>
          </w:tcPr>
          <w:p w14:paraId="41CD6A05" w14:textId="52238EE3"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19,430,965,585.37 </w:t>
            </w:r>
          </w:p>
        </w:tc>
        <w:tc>
          <w:tcPr>
            <w:tcW w:w="1593" w:type="dxa"/>
            <w:noWrap/>
          </w:tcPr>
          <w:p w14:paraId="00692733" w14:textId="0C7AC11A"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   </w:t>
            </w:r>
          </w:p>
        </w:tc>
        <w:tc>
          <w:tcPr>
            <w:tcW w:w="1591" w:type="dxa"/>
            <w:noWrap/>
          </w:tcPr>
          <w:p w14:paraId="5D1179C9" w14:textId="35954F1D"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93" w:type="dxa"/>
            <w:noWrap/>
          </w:tcPr>
          <w:p w14:paraId="0279FEF3" w14:textId="698FEA93" w:rsidR="00BD7EC4" w:rsidRPr="002F1FFA"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2F1FFA">
              <w:rPr>
                <w:rFonts w:eastAsia="Times New Roman" w:cs="Times New Roman"/>
                <w:b/>
                <w:bCs/>
                <w:sz w:val="16"/>
                <w:szCs w:val="16"/>
                <w:lang w:eastAsia="es-CO"/>
              </w:rPr>
              <w:t xml:space="preserve"> $ 19,430,965,585 </w:t>
            </w:r>
          </w:p>
        </w:tc>
      </w:tr>
      <w:tr w:rsidR="00BD7EC4" w:rsidRPr="00BD7EC4" w14:paraId="31A6FE3E" w14:textId="77777777" w:rsidTr="005A01D8">
        <w:trPr>
          <w:cnfStyle w:val="000000010000" w:firstRow="0" w:lastRow="0" w:firstColumn="0" w:lastColumn="0" w:oddVBand="0" w:evenVBand="0" w:oddHBand="0" w:evenHBand="1"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72" w:type="dxa"/>
            <w:noWrap/>
            <w:hideMark/>
          </w:tcPr>
          <w:p w14:paraId="482DF0DA" w14:textId="77777777" w:rsidR="00BD7EC4" w:rsidRPr="00B237FD" w:rsidRDefault="00BD7EC4" w:rsidP="00BD7EC4">
            <w:pPr>
              <w:jc w:val="center"/>
              <w:rPr>
                <w:rFonts w:eastAsia="Times New Roman" w:cs="Times New Roman"/>
                <w:color w:val="auto"/>
                <w:sz w:val="16"/>
                <w:szCs w:val="16"/>
                <w:lang w:eastAsia="es-CO"/>
              </w:rPr>
            </w:pPr>
            <w:r w:rsidRPr="00B237FD">
              <w:rPr>
                <w:rFonts w:eastAsia="Times New Roman" w:cs="Times New Roman"/>
                <w:sz w:val="16"/>
                <w:szCs w:val="16"/>
                <w:lang w:eastAsia="es-CO"/>
              </w:rPr>
              <w:t>8</w:t>
            </w:r>
          </w:p>
        </w:tc>
        <w:tc>
          <w:tcPr>
            <w:tcW w:w="1591" w:type="dxa"/>
            <w:noWrap/>
            <w:hideMark/>
          </w:tcPr>
          <w:p w14:paraId="257DB124" w14:textId="77777777" w:rsidR="00BD7EC4" w:rsidRPr="00B237FD" w:rsidRDefault="00BD7EC4" w:rsidP="00BD7EC4">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B237FD">
              <w:rPr>
                <w:rFonts w:eastAsia="Times New Roman" w:cs="Times New Roman"/>
                <w:sz w:val="16"/>
                <w:szCs w:val="16"/>
                <w:lang w:eastAsia="es-CO"/>
              </w:rPr>
              <w:t>Líneas subterráneas</w:t>
            </w:r>
          </w:p>
        </w:tc>
        <w:tc>
          <w:tcPr>
            <w:tcW w:w="1593" w:type="dxa"/>
            <w:shd w:val="clear" w:color="auto" w:fill="BFBFBF" w:themeFill="background1" w:themeFillShade="BF"/>
            <w:noWrap/>
          </w:tcPr>
          <w:p w14:paraId="620172AA" w14:textId="22F5EB5A"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91" w:type="dxa"/>
            <w:noWrap/>
          </w:tcPr>
          <w:p w14:paraId="6C98D3A0" w14:textId="392D7A26"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   </w:t>
            </w:r>
          </w:p>
        </w:tc>
        <w:tc>
          <w:tcPr>
            <w:tcW w:w="1593" w:type="dxa"/>
            <w:noWrap/>
          </w:tcPr>
          <w:p w14:paraId="3DFB823C" w14:textId="5457FCE1"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240,029,730.40 </w:t>
            </w:r>
          </w:p>
        </w:tc>
        <w:tc>
          <w:tcPr>
            <w:tcW w:w="1591" w:type="dxa"/>
            <w:noWrap/>
          </w:tcPr>
          <w:p w14:paraId="74BFFADB" w14:textId="107ECBE2"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93" w:type="dxa"/>
            <w:noWrap/>
          </w:tcPr>
          <w:p w14:paraId="04079335" w14:textId="5126EF61" w:rsidR="00BD7EC4" w:rsidRPr="002F1FFA"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2F1FFA">
              <w:rPr>
                <w:rFonts w:eastAsia="Times New Roman" w:cs="Times New Roman"/>
                <w:b/>
                <w:bCs/>
                <w:sz w:val="16"/>
                <w:szCs w:val="16"/>
                <w:lang w:eastAsia="es-CO"/>
              </w:rPr>
              <w:t xml:space="preserve"> $ 240,029,730 </w:t>
            </w:r>
          </w:p>
        </w:tc>
      </w:tr>
      <w:tr w:rsidR="00BD7EC4" w:rsidRPr="00BD7EC4" w14:paraId="7A1C5C11" w14:textId="77777777" w:rsidTr="005A01D8">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72" w:type="dxa"/>
            <w:noWrap/>
            <w:hideMark/>
          </w:tcPr>
          <w:p w14:paraId="6E746DE2" w14:textId="77777777" w:rsidR="00BD7EC4" w:rsidRPr="00B237FD" w:rsidRDefault="00BD7EC4" w:rsidP="00BD7EC4">
            <w:pPr>
              <w:jc w:val="center"/>
              <w:rPr>
                <w:rFonts w:eastAsia="Times New Roman" w:cs="Times New Roman"/>
                <w:color w:val="auto"/>
                <w:sz w:val="16"/>
                <w:szCs w:val="16"/>
                <w:lang w:eastAsia="es-CO"/>
              </w:rPr>
            </w:pPr>
            <w:r w:rsidRPr="00B237FD">
              <w:rPr>
                <w:rFonts w:eastAsia="Times New Roman" w:cs="Times New Roman"/>
                <w:sz w:val="16"/>
                <w:szCs w:val="16"/>
                <w:lang w:eastAsia="es-CO"/>
              </w:rPr>
              <w:t>9</w:t>
            </w:r>
          </w:p>
        </w:tc>
        <w:tc>
          <w:tcPr>
            <w:tcW w:w="1591" w:type="dxa"/>
            <w:noWrap/>
            <w:hideMark/>
          </w:tcPr>
          <w:p w14:paraId="03A85D62" w14:textId="77777777" w:rsidR="00BD7EC4" w:rsidRPr="00B237FD" w:rsidRDefault="00BD7EC4" w:rsidP="00BD7EC4">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B237FD">
              <w:rPr>
                <w:rFonts w:eastAsia="Times New Roman" w:cs="Times New Roman"/>
                <w:sz w:val="16"/>
                <w:szCs w:val="16"/>
                <w:lang w:eastAsia="es-CO"/>
              </w:rPr>
              <w:t>Equipos de línea</w:t>
            </w:r>
          </w:p>
        </w:tc>
        <w:tc>
          <w:tcPr>
            <w:tcW w:w="1593" w:type="dxa"/>
            <w:shd w:val="clear" w:color="auto" w:fill="BFBFBF" w:themeFill="background1" w:themeFillShade="BF"/>
            <w:noWrap/>
          </w:tcPr>
          <w:p w14:paraId="6D1329D4" w14:textId="051327AB"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91" w:type="dxa"/>
            <w:noWrap/>
          </w:tcPr>
          <w:p w14:paraId="133890D2" w14:textId="20B3DBEC"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   </w:t>
            </w:r>
          </w:p>
        </w:tc>
        <w:tc>
          <w:tcPr>
            <w:tcW w:w="1593" w:type="dxa"/>
            <w:noWrap/>
          </w:tcPr>
          <w:p w14:paraId="7C1883DB" w14:textId="155E77D5"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   </w:t>
            </w:r>
          </w:p>
        </w:tc>
        <w:tc>
          <w:tcPr>
            <w:tcW w:w="1591" w:type="dxa"/>
            <w:noWrap/>
          </w:tcPr>
          <w:p w14:paraId="538751E8" w14:textId="303F5AA5" w:rsidR="00BD7EC4" w:rsidRPr="00E61424"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93" w:type="dxa"/>
            <w:noWrap/>
          </w:tcPr>
          <w:p w14:paraId="095E1A1C" w14:textId="5DBA3E3E" w:rsidR="00BD7EC4" w:rsidRPr="002F1FFA" w:rsidRDefault="00BD7EC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2F1FFA">
              <w:rPr>
                <w:rFonts w:eastAsia="Times New Roman" w:cs="Times New Roman"/>
                <w:b/>
                <w:bCs/>
                <w:sz w:val="16"/>
                <w:szCs w:val="16"/>
                <w:lang w:eastAsia="es-CO"/>
              </w:rPr>
              <w:t xml:space="preserve"> $ -   </w:t>
            </w:r>
          </w:p>
        </w:tc>
      </w:tr>
      <w:tr w:rsidR="00BD7EC4" w:rsidRPr="00BD7EC4" w14:paraId="4F05AA0C" w14:textId="77777777" w:rsidTr="005A01D8">
        <w:trPr>
          <w:cnfStyle w:val="000000010000" w:firstRow="0" w:lastRow="0" w:firstColumn="0" w:lastColumn="0" w:oddVBand="0" w:evenVBand="0" w:oddHBand="0" w:evenHBand="1"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72" w:type="dxa"/>
            <w:noWrap/>
            <w:hideMark/>
          </w:tcPr>
          <w:p w14:paraId="2D04E559" w14:textId="77777777" w:rsidR="00BD7EC4" w:rsidRPr="00B237FD" w:rsidRDefault="00BD7EC4" w:rsidP="00BD7EC4">
            <w:pPr>
              <w:jc w:val="center"/>
              <w:rPr>
                <w:rFonts w:eastAsia="Times New Roman" w:cs="Times New Roman"/>
                <w:color w:val="auto"/>
                <w:sz w:val="16"/>
                <w:szCs w:val="16"/>
                <w:lang w:eastAsia="es-CO"/>
              </w:rPr>
            </w:pPr>
            <w:r w:rsidRPr="00B237FD">
              <w:rPr>
                <w:rFonts w:eastAsia="Times New Roman" w:cs="Times New Roman"/>
                <w:sz w:val="16"/>
                <w:szCs w:val="16"/>
                <w:lang w:eastAsia="es-CO"/>
              </w:rPr>
              <w:t>10</w:t>
            </w:r>
          </w:p>
        </w:tc>
        <w:tc>
          <w:tcPr>
            <w:tcW w:w="1591" w:type="dxa"/>
            <w:noWrap/>
            <w:hideMark/>
          </w:tcPr>
          <w:p w14:paraId="2FDF53D6" w14:textId="77777777" w:rsidR="00BD7EC4" w:rsidRPr="00B237FD" w:rsidRDefault="00BD7EC4" w:rsidP="00BD7EC4">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B237FD">
              <w:rPr>
                <w:rFonts w:eastAsia="Times New Roman" w:cs="Times New Roman"/>
                <w:sz w:val="16"/>
                <w:szCs w:val="16"/>
                <w:lang w:eastAsia="es-CO"/>
              </w:rPr>
              <w:t>Centro de control</w:t>
            </w:r>
          </w:p>
        </w:tc>
        <w:tc>
          <w:tcPr>
            <w:tcW w:w="1593" w:type="dxa"/>
            <w:shd w:val="clear" w:color="auto" w:fill="BFBFBF" w:themeFill="background1" w:themeFillShade="BF"/>
            <w:noWrap/>
          </w:tcPr>
          <w:p w14:paraId="259FFDAE" w14:textId="19236E32"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91" w:type="dxa"/>
            <w:noWrap/>
          </w:tcPr>
          <w:p w14:paraId="05D3B3E3" w14:textId="2F08B797"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   </w:t>
            </w:r>
          </w:p>
        </w:tc>
        <w:tc>
          <w:tcPr>
            <w:tcW w:w="1593" w:type="dxa"/>
            <w:noWrap/>
          </w:tcPr>
          <w:p w14:paraId="25A8BD5E" w14:textId="668D275C"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 xml:space="preserve"> -   </w:t>
            </w:r>
          </w:p>
        </w:tc>
        <w:tc>
          <w:tcPr>
            <w:tcW w:w="1591" w:type="dxa"/>
            <w:noWrap/>
          </w:tcPr>
          <w:p w14:paraId="557597F0" w14:textId="63642C2A" w:rsidR="00BD7EC4" w:rsidRPr="00E61424"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93" w:type="dxa"/>
            <w:noWrap/>
          </w:tcPr>
          <w:p w14:paraId="1B52B565" w14:textId="4CF2C0D7" w:rsidR="00BD7EC4" w:rsidRPr="002F1FFA" w:rsidRDefault="00BD7EC4"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2F1FFA">
              <w:rPr>
                <w:rFonts w:eastAsia="Times New Roman" w:cs="Times New Roman"/>
                <w:b/>
                <w:bCs/>
                <w:sz w:val="16"/>
                <w:szCs w:val="16"/>
                <w:lang w:eastAsia="es-CO"/>
              </w:rPr>
              <w:t xml:space="preserve"> $ -   </w:t>
            </w:r>
          </w:p>
        </w:tc>
      </w:tr>
      <w:tr w:rsidR="0055292D" w:rsidRPr="00BD7EC4" w14:paraId="730D274C" w14:textId="77777777" w:rsidTr="005A01D8">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72" w:type="dxa"/>
            <w:noWrap/>
            <w:hideMark/>
          </w:tcPr>
          <w:p w14:paraId="27597DB4" w14:textId="77777777" w:rsidR="0055292D" w:rsidRPr="00B237FD" w:rsidRDefault="0055292D" w:rsidP="0055292D">
            <w:pPr>
              <w:jc w:val="center"/>
              <w:rPr>
                <w:rFonts w:eastAsia="Times New Roman" w:cs="Times New Roman"/>
                <w:color w:val="auto"/>
                <w:sz w:val="16"/>
                <w:szCs w:val="16"/>
                <w:lang w:eastAsia="es-CO"/>
              </w:rPr>
            </w:pPr>
            <w:r w:rsidRPr="00B237FD">
              <w:rPr>
                <w:rFonts w:eastAsia="Times New Roman" w:cs="Times New Roman"/>
                <w:sz w:val="16"/>
                <w:szCs w:val="16"/>
                <w:lang w:eastAsia="es-CO"/>
              </w:rPr>
              <w:t>11</w:t>
            </w:r>
          </w:p>
        </w:tc>
        <w:tc>
          <w:tcPr>
            <w:tcW w:w="1591" w:type="dxa"/>
            <w:noWrap/>
            <w:hideMark/>
          </w:tcPr>
          <w:p w14:paraId="2F383916" w14:textId="77777777" w:rsidR="0055292D" w:rsidRPr="00B237FD" w:rsidRDefault="0055292D" w:rsidP="0055292D">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B237FD">
              <w:rPr>
                <w:rFonts w:eastAsia="Times New Roman" w:cs="Times New Roman"/>
                <w:sz w:val="16"/>
                <w:szCs w:val="16"/>
                <w:lang w:eastAsia="es-CO"/>
              </w:rPr>
              <w:t xml:space="preserve">Transformadores de distribución </w:t>
            </w:r>
          </w:p>
        </w:tc>
        <w:tc>
          <w:tcPr>
            <w:tcW w:w="1593" w:type="dxa"/>
            <w:noWrap/>
          </w:tcPr>
          <w:p w14:paraId="1AF2BA8A" w14:textId="12825B82" w:rsidR="0055292D" w:rsidRPr="00E61424" w:rsidRDefault="0055292D"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91" w:type="dxa"/>
            <w:shd w:val="clear" w:color="auto" w:fill="BFBFBF" w:themeFill="background1" w:themeFillShade="BF"/>
            <w:noWrap/>
          </w:tcPr>
          <w:p w14:paraId="6CEB06CA" w14:textId="2BCA7F4C" w:rsidR="0055292D" w:rsidRPr="00E61424" w:rsidRDefault="0055292D"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93" w:type="dxa"/>
            <w:shd w:val="clear" w:color="auto" w:fill="BFBFBF" w:themeFill="background1" w:themeFillShade="BF"/>
            <w:noWrap/>
          </w:tcPr>
          <w:p w14:paraId="0F70583D" w14:textId="38817C9D" w:rsidR="0055292D" w:rsidRPr="00E61424" w:rsidRDefault="0055292D"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91" w:type="dxa"/>
            <w:shd w:val="clear" w:color="auto" w:fill="BFBFBF" w:themeFill="background1" w:themeFillShade="BF"/>
            <w:noWrap/>
          </w:tcPr>
          <w:p w14:paraId="63F5E284" w14:textId="6A4F5326" w:rsidR="0055292D" w:rsidRPr="00E61424" w:rsidRDefault="0055292D"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93" w:type="dxa"/>
            <w:noWrap/>
          </w:tcPr>
          <w:p w14:paraId="6AFFD14B" w14:textId="17DCDCA9" w:rsidR="0055292D" w:rsidRPr="002F1FFA" w:rsidRDefault="0055292D"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2F1FFA">
              <w:rPr>
                <w:rFonts w:eastAsia="Times New Roman" w:cs="Times New Roman"/>
                <w:b/>
                <w:bCs/>
                <w:sz w:val="16"/>
                <w:szCs w:val="16"/>
                <w:lang w:eastAsia="es-CO"/>
              </w:rPr>
              <w:t xml:space="preserve"> $ -   </w:t>
            </w:r>
          </w:p>
        </w:tc>
      </w:tr>
      <w:tr w:rsidR="0055292D" w:rsidRPr="00BD7EC4" w14:paraId="5B053851" w14:textId="77777777" w:rsidTr="005A01D8">
        <w:trPr>
          <w:cnfStyle w:val="000000010000" w:firstRow="0" w:lastRow="0" w:firstColumn="0" w:lastColumn="0" w:oddVBand="0" w:evenVBand="0" w:oddHBand="0" w:evenHBand="1"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472" w:type="dxa"/>
            <w:noWrap/>
            <w:hideMark/>
          </w:tcPr>
          <w:p w14:paraId="5AA994F4" w14:textId="77777777" w:rsidR="0055292D" w:rsidRPr="00B237FD" w:rsidRDefault="0055292D" w:rsidP="0055292D">
            <w:pPr>
              <w:jc w:val="center"/>
              <w:rPr>
                <w:rFonts w:eastAsia="Times New Roman" w:cs="Times New Roman"/>
                <w:color w:val="auto"/>
                <w:sz w:val="16"/>
                <w:szCs w:val="16"/>
                <w:lang w:eastAsia="es-CO"/>
              </w:rPr>
            </w:pPr>
            <w:r w:rsidRPr="00B237FD">
              <w:rPr>
                <w:rFonts w:eastAsia="Times New Roman" w:cs="Times New Roman"/>
                <w:sz w:val="16"/>
                <w:szCs w:val="16"/>
                <w:lang w:eastAsia="es-CO"/>
              </w:rPr>
              <w:t>12</w:t>
            </w:r>
          </w:p>
        </w:tc>
        <w:tc>
          <w:tcPr>
            <w:tcW w:w="1591" w:type="dxa"/>
            <w:noWrap/>
            <w:hideMark/>
          </w:tcPr>
          <w:p w14:paraId="36C448B5" w14:textId="77777777" w:rsidR="0055292D" w:rsidRPr="00B237FD" w:rsidRDefault="0055292D" w:rsidP="0055292D">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B237FD">
              <w:rPr>
                <w:rFonts w:eastAsia="Times New Roman" w:cs="Times New Roman"/>
                <w:sz w:val="16"/>
                <w:szCs w:val="16"/>
                <w:lang w:eastAsia="es-CO"/>
              </w:rPr>
              <w:t>Redes de distribución</w:t>
            </w:r>
          </w:p>
        </w:tc>
        <w:tc>
          <w:tcPr>
            <w:tcW w:w="1593" w:type="dxa"/>
            <w:noWrap/>
          </w:tcPr>
          <w:p w14:paraId="23260918" w14:textId="0BC41C67" w:rsidR="0055292D" w:rsidRPr="00E61424" w:rsidRDefault="0055292D"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61424">
              <w:rPr>
                <w:rFonts w:eastAsia="Times New Roman" w:cs="Times New Roman"/>
                <w:sz w:val="16"/>
                <w:szCs w:val="16"/>
                <w:lang w:eastAsia="es-CO"/>
              </w:rPr>
              <w:t>16,517,086,241</w:t>
            </w:r>
          </w:p>
        </w:tc>
        <w:tc>
          <w:tcPr>
            <w:tcW w:w="1591" w:type="dxa"/>
            <w:shd w:val="clear" w:color="auto" w:fill="BFBFBF" w:themeFill="background1" w:themeFillShade="BF"/>
            <w:noWrap/>
          </w:tcPr>
          <w:p w14:paraId="0537A02F" w14:textId="0537F22A" w:rsidR="0055292D" w:rsidRPr="00E61424" w:rsidRDefault="0055292D"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93" w:type="dxa"/>
            <w:shd w:val="clear" w:color="auto" w:fill="BFBFBF" w:themeFill="background1" w:themeFillShade="BF"/>
            <w:noWrap/>
          </w:tcPr>
          <w:p w14:paraId="4208E2F9" w14:textId="5A96641B" w:rsidR="0055292D" w:rsidRPr="00E61424" w:rsidRDefault="0055292D"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91" w:type="dxa"/>
            <w:shd w:val="clear" w:color="auto" w:fill="BFBFBF" w:themeFill="background1" w:themeFillShade="BF"/>
            <w:noWrap/>
          </w:tcPr>
          <w:p w14:paraId="69F83143" w14:textId="6834C88D" w:rsidR="0055292D" w:rsidRPr="00E61424" w:rsidRDefault="0055292D"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93" w:type="dxa"/>
            <w:noWrap/>
          </w:tcPr>
          <w:p w14:paraId="7186CA21" w14:textId="0F0A1018" w:rsidR="0055292D" w:rsidRPr="002F1FFA" w:rsidRDefault="0055292D" w:rsidP="005A01D8">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2F1FFA">
              <w:rPr>
                <w:rFonts w:eastAsia="Times New Roman" w:cs="Times New Roman"/>
                <w:b/>
                <w:bCs/>
                <w:sz w:val="16"/>
                <w:szCs w:val="16"/>
                <w:lang w:eastAsia="es-CO"/>
              </w:rPr>
              <w:t xml:space="preserve"> $ 16,517,086,241 </w:t>
            </w:r>
          </w:p>
        </w:tc>
      </w:tr>
      <w:tr w:rsidR="00391740" w:rsidRPr="00BD7EC4" w14:paraId="5D6A5BEC" w14:textId="77777777" w:rsidTr="005A01D8">
        <w:trPr>
          <w:cnfStyle w:val="000000100000" w:firstRow="0" w:lastRow="0" w:firstColumn="0" w:lastColumn="0" w:oddVBand="0" w:evenVBand="0" w:oddHBand="1" w:evenHBand="0"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2064" w:type="dxa"/>
            <w:gridSpan w:val="2"/>
            <w:noWrap/>
            <w:hideMark/>
          </w:tcPr>
          <w:p w14:paraId="724E5DA7" w14:textId="77777777" w:rsidR="00391740" w:rsidRPr="00B237FD" w:rsidRDefault="00391740" w:rsidP="0078308B">
            <w:pPr>
              <w:jc w:val="center"/>
              <w:rPr>
                <w:rFonts w:eastAsia="Times New Roman" w:cs="Times New Roman"/>
                <w:color w:val="auto"/>
                <w:sz w:val="16"/>
                <w:szCs w:val="16"/>
                <w:lang w:eastAsia="es-CO"/>
              </w:rPr>
            </w:pPr>
            <w:r w:rsidRPr="00B237FD">
              <w:rPr>
                <w:rFonts w:eastAsia="Times New Roman" w:cs="Times New Roman"/>
                <w:sz w:val="16"/>
                <w:szCs w:val="16"/>
                <w:lang w:eastAsia="es-CO"/>
              </w:rPr>
              <w:t>TOTAL</w:t>
            </w:r>
          </w:p>
        </w:tc>
        <w:tc>
          <w:tcPr>
            <w:tcW w:w="1593" w:type="dxa"/>
            <w:shd w:val="clear" w:color="auto" w:fill="BFE2A8" w:themeFill="accent2" w:themeFillTint="66"/>
            <w:noWrap/>
          </w:tcPr>
          <w:p w14:paraId="436BD4E4" w14:textId="59D2EB99" w:rsidR="00391740" w:rsidRPr="005A01D8" w:rsidRDefault="00E6142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5A01D8">
              <w:rPr>
                <w:rFonts w:eastAsia="Times New Roman" w:cs="Times New Roman"/>
                <w:b/>
                <w:bCs/>
                <w:sz w:val="16"/>
                <w:szCs w:val="16"/>
                <w:lang w:eastAsia="es-CO"/>
              </w:rPr>
              <w:t>16,517,086,240.84</w:t>
            </w:r>
          </w:p>
        </w:tc>
        <w:tc>
          <w:tcPr>
            <w:tcW w:w="1591" w:type="dxa"/>
            <w:shd w:val="clear" w:color="auto" w:fill="BFE2A8" w:themeFill="accent2" w:themeFillTint="66"/>
            <w:noWrap/>
          </w:tcPr>
          <w:p w14:paraId="1AD3072C" w14:textId="36EC04BA" w:rsidR="00391740" w:rsidRPr="005A01D8" w:rsidRDefault="00E6142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5A01D8">
              <w:rPr>
                <w:rFonts w:eastAsia="Times New Roman" w:cs="Times New Roman"/>
                <w:b/>
                <w:bCs/>
                <w:sz w:val="16"/>
                <w:szCs w:val="16"/>
                <w:lang w:eastAsia="es-CO"/>
              </w:rPr>
              <w:t>22,774,568,751.30</w:t>
            </w:r>
          </w:p>
        </w:tc>
        <w:tc>
          <w:tcPr>
            <w:tcW w:w="1593" w:type="dxa"/>
            <w:shd w:val="clear" w:color="auto" w:fill="BFE2A8" w:themeFill="accent2" w:themeFillTint="66"/>
            <w:noWrap/>
          </w:tcPr>
          <w:p w14:paraId="2CC6DC62" w14:textId="4277DADF" w:rsidR="00391740" w:rsidRPr="005A01D8" w:rsidRDefault="00E61424"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5A01D8">
              <w:rPr>
                <w:rFonts w:eastAsia="Times New Roman" w:cs="Times New Roman"/>
                <w:b/>
                <w:bCs/>
                <w:sz w:val="16"/>
                <w:szCs w:val="16"/>
                <w:lang w:eastAsia="es-CO"/>
              </w:rPr>
              <w:t>978,961,385.40</w:t>
            </w:r>
          </w:p>
        </w:tc>
        <w:tc>
          <w:tcPr>
            <w:tcW w:w="1591" w:type="dxa"/>
            <w:shd w:val="clear" w:color="auto" w:fill="BFE2A8" w:themeFill="accent2" w:themeFillTint="66"/>
            <w:noWrap/>
          </w:tcPr>
          <w:p w14:paraId="64015452" w14:textId="346B1C92" w:rsidR="00391740" w:rsidRPr="005A01D8" w:rsidRDefault="00391740"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p>
        </w:tc>
        <w:tc>
          <w:tcPr>
            <w:tcW w:w="1593" w:type="dxa"/>
            <w:shd w:val="clear" w:color="auto" w:fill="BFE2A8" w:themeFill="accent2" w:themeFillTint="66"/>
            <w:noWrap/>
          </w:tcPr>
          <w:p w14:paraId="220CBAE3" w14:textId="47564F2B" w:rsidR="00391740" w:rsidRPr="005A01D8" w:rsidRDefault="008315B5" w:rsidP="005A01D8">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5A01D8">
              <w:rPr>
                <w:rFonts w:eastAsia="Times New Roman" w:cs="Times New Roman"/>
                <w:b/>
                <w:bCs/>
                <w:sz w:val="16"/>
                <w:szCs w:val="16"/>
                <w:lang w:eastAsia="es-CO"/>
              </w:rPr>
              <w:t>$ 40,270,616,378</w:t>
            </w:r>
          </w:p>
        </w:tc>
      </w:tr>
      <w:tr w:rsidR="00391740" w:rsidRPr="002946A9" w14:paraId="68B1CDDA" w14:textId="77777777" w:rsidTr="005A01D8">
        <w:trPr>
          <w:cnfStyle w:val="000000010000" w:firstRow="0" w:lastRow="0" w:firstColumn="0" w:lastColumn="0" w:oddVBand="0" w:evenVBand="0" w:oddHBand="0" w:evenHBand="1" w:firstRowFirstColumn="0" w:firstRowLastColumn="0" w:lastRowFirstColumn="0" w:lastRowLastColumn="0"/>
          <w:trHeight w:val="252"/>
          <w:jc w:val="center"/>
        </w:trPr>
        <w:tc>
          <w:tcPr>
            <w:cnfStyle w:val="001000000000" w:firstRow="0" w:lastRow="0" w:firstColumn="1" w:lastColumn="0" w:oddVBand="0" w:evenVBand="0" w:oddHBand="0" w:evenHBand="0" w:firstRowFirstColumn="0" w:firstRowLastColumn="0" w:lastRowFirstColumn="0" w:lastRowLastColumn="0"/>
            <w:tcW w:w="10027" w:type="dxa"/>
            <w:gridSpan w:val="7"/>
            <w:shd w:val="clear" w:color="auto" w:fill="DFF0D3" w:themeFill="accent2" w:themeFillTint="33"/>
            <w:noWrap/>
          </w:tcPr>
          <w:p w14:paraId="5455552F" w14:textId="77777777" w:rsidR="00391740" w:rsidRPr="002946A9" w:rsidRDefault="00391740" w:rsidP="0078308B">
            <w:pPr>
              <w:jc w:val="both"/>
              <w:rPr>
                <w:rFonts w:eastAsia="Times New Roman" w:cs="Times New Roman"/>
                <w:b w:val="0"/>
                <w:bCs w:val="0"/>
                <w:sz w:val="16"/>
                <w:szCs w:val="16"/>
                <w:lang w:eastAsia="es-CO"/>
              </w:rPr>
            </w:pPr>
            <w:r w:rsidRPr="00B237FD">
              <w:rPr>
                <w:rFonts w:cs="Calibri"/>
                <w:i/>
                <w:color w:val="000000"/>
                <w:sz w:val="16"/>
                <w:szCs w:val="16"/>
              </w:rPr>
              <w:t>*Todos los valores están en pesos a diciembre del 2017.</w:t>
            </w:r>
          </w:p>
        </w:tc>
      </w:tr>
    </w:tbl>
    <w:p w14:paraId="10BB5D14" w14:textId="7EEE8507" w:rsidR="00391740" w:rsidRPr="002946A9" w:rsidRDefault="00391740" w:rsidP="00DF29CB">
      <w:pPr>
        <w:ind w:left="360"/>
        <w:jc w:val="both"/>
        <w:rPr>
          <w:rFonts w:ascii="Trebuchet MS" w:hAnsi="Trebuchet MS" w:cs="Arial"/>
        </w:rPr>
      </w:pPr>
    </w:p>
    <w:p w14:paraId="5A40FE02" w14:textId="3E4902A7" w:rsidR="00FB02B8" w:rsidRPr="002946A9" w:rsidRDefault="0024605F" w:rsidP="00731A4E">
      <w:pPr>
        <w:ind w:left="360"/>
        <w:jc w:val="both"/>
        <w:rPr>
          <w:rFonts w:ascii="Trebuchet MS" w:hAnsi="Trebuchet MS" w:cs="Arial"/>
        </w:rPr>
      </w:pPr>
      <w:r w:rsidRPr="002946A9">
        <w:rPr>
          <w:rFonts w:ascii="Trebuchet MS" w:hAnsi="Trebuchet MS" w:cs="Arial"/>
        </w:rPr>
        <w:t xml:space="preserve">A continuación, para el reconocimiento de los excedentes que quedaron pendiente de remunerar en </w:t>
      </w:r>
      <w:r w:rsidR="00391740" w:rsidRPr="002946A9">
        <w:rPr>
          <w:rFonts w:ascii="Trebuchet MS" w:hAnsi="Trebuchet MS" w:cs="Arial"/>
        </w:rPr>
        <w:t xml:space="preserve">el </w:t>
      </w:r>
      <w:r w:rsidR="009139A7" w:rsidRPr="002946A9">
        <w:rPr>
          <w:rFonts w:ascii="Trebuchet MS" w:hAnsi="Trebuchet MS" w:cs="Arial"/>
        </w:rPr>
        <w:t>202</w:t>
      </w:r>
      <w:r w:rsidR="009139A7">
        <w:rPr>
          <w:rFonts w:ascii="Trebuchet MS" w:hAnsi="Trebuchet MS" w:cs="Arial"/>
        </w:rPr>
        <w:t>1</w:t>
      </w:r>
      <w:r w:rsidRPr="002946A9">
        <w:rPr>
          <w:rFonts w:ascii="Trebuchet MS" w:hAnsi="Trebuchet MS" w:cs="Arial"/>
        </w:rPr>
        <w:t xml:space="preserve">, al resultado por categoría y nivel de tensión, dado en la </w:t>
      </w:r>
      <w:r w:rsidRPr="002946A9">
        <w:rPr>
          <w:rFonts w:ascii="Trebuchet MS" w:hAnsi="Trebuchet MS" w:cs="Arial"/>
        </w:rPr>
        <w:fldChar w:fldCharType="begin"/>
      </w:r>
      <w:r w:rsidRPr="002946A9">
        <w:rPr>
          <w:rFonts w:ascii="Trebuchet MS" w:hAnsi="Trebuchet MS" w:cs="Arial"/>
        </w:rPr>
        <w:instrText xml:space="preserve"> REF _Ref67392343 \h </w:instrText>
      </w:r>
      <w:r w:rsidR="00262FC0" w:rsidRPr="002946A9">
        <w:rPr>
          <w:rFonts w:ascii="Trebuchet MS" w:hAnsi="Trebuchet MS" w:cs="Arial"/>
        </w:rPr>
        <w:instrText xml:space="preserve"> \* MERGEFORMAT </w:instrText>
      </w:r>
      <w:r w:rsidRPr="002946A9">
        <w:rPr>
          <w:rFonts w:ascii="Trebuchet MS" w:hAnsi="Trebuchet MS" w:cs="Arial"/>
        </w:rPr>
      </w:r>
      <w:r w:rsidRPr="002946A9">
        <w:rPr>
          <w:rFonts w:ascii="Trebuchet MS" w:hAnsi="Trebuchet MS" w:cs="Arial"/>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2</w:t>
      </w:r>
      <w:r w:rsidRPr="002946A9">
        <w:rPr>
          <w:rFonts w:ascii="Trebuchet MS" w:hAnsi="Trebuchet MS" w:cs="Arial"/>
        </w:rPr>
        <w:fldChar w:fldCharType="end"/>
      </w:r>
      <w:r w:rsidRPr="002946A9">
        <w:rPr>
          <w:rFonts w:ascii="Trebuchet MS" w:hAnsi="Trebuchet MS" w:cs="Arial"/>
        </w:rPr>
        <w:t xml:space="preserve">,  </w:t>
      </w:r>
      <w:r w:rsidRPr="002946A9">
        <w:rPr>
          <w:rFonts w:ascii="Trebuchet MS" w:hAnsi="Trebuchet MS"/>
          <w:szCs w:val="24"/>
        </w:rPr>
        <w:t xml:space="preserve">se le adiciona la ejecución excedente del </w:t>
      </w:r>
      <w:r w:rsidRPr="002946A9">
        <w:rPr>
          <w:rFonts w:ascii="Trebuchet MS" w:hAnsi="Trebuchet MS"/>
          <w:i/>
          <w:iCs/>
          <w:szCs w:val="24"/>
        </w:rPr>
        <w:t>INVR</w:t>
      </w:r>
      <w:r w:rsidRPr="002946A9">
        <w:rPr>
          <w:rFonts w:ascii="Trebuchet MS" w:hAnsi="Trebuchet MS"/>
          <w:i/>
          <w:iCs/>
          <w:szCs w:val="24"/>
          <w:vertAlign w:val="subscript"/>
        </w:rPr>
        <w:t>j,n,l,</w:t>
      </w:r>
      <w:r w:rsidR="00110AAF">
        <w:rPr>
          <w:rFonts w:ascii="Trebuchet MS" w:hAnsi="Trebuchet MS"/>
          <w:i/>
          <w:iCs/>
          <w:szCs w:val="24"/>
          <w:vertAlign w:val="subscript"/>
        </w:rPr>
        <w:t>3</w:t>
      </w:r>
      <w:r w:rsidRPr="002946A9">
        <w:rPr>
          <w:rFonts w:ascii="Trebuchet MS" w:hAnsi="Trebuchet MS"/>
          <w:szCs w:val="24"/>
        </w:rPr>
        <w:t xml:space="preserve"> año </w:t>
      </w:r>
      <w:r w:rsidR="009139A7" w:rsidRPr="002946A9">
        <w:rPr>
          <w:rFonts w:ascii="Trebuchet MS" w:hAnsi="Trebuchet MS"/>
          <w:szCs w:val="24"/>
        </w:rPr>
        <w:t>202</w:t>
      </w:r>
      <w:r w:rsidR="009139A7">
        <w:rPr>
          <w:rFonts w:ascii="Trebuchet MS" w:hAnsi="Trebuchet MS"/>
          <w:szCs w:val="24"/>
        </w:rPr>
        <w:t>1</w:t>
      </w:r>
      <w:r w:rsidRPr="002946A9">
        <w:rPr>
          <w:rFonts w:ascii="Trebuchet MS" w:hAnsi="Trebuchet MS"/>
          <w:szCs w:val="24"/>
        </w:rPr>
        <w:t xml:space="preserve">, presentada en la </w:t>
      </w:r>
      <w:r w:rsidRPr="002946A9">
        <w:rPr>
          <w:rFonts w:ascii="Trebuchet MS" w:hAnsi="Trebuchet MS"/>
          <w:szCs w:val="24"/>
        </w:rPr>
        <w:fldChar w:fldCharType="begin"/>
      </w:r>
      <w:r w:rsidRPr="002946A9">
        <w:rPr>
          <w:rFonts w:ascii="Trebuchet MS" w:hAnsi="Trebuchet MS"/>
          <w:szCs w:val="24"/>
        </w:rPr>
        <w:instrText xml:space="preserve"> REF _Ref67393410 \h  \* MERGEFORMAT </w:instrText>
      </w:r>
      <w:r w:rsidRPr="002946A9">
        <w:rPr>
          <w:rFonts w:ascii="Trebuchet MS" w:hAnsi="Trebuchet MS"/>
          <w:szCs w:val="24"/>
        </w:rPr>
      </w:r>
      <w:r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3</w:t>
      </w:r>
      <w:r w:rsidRPr="002946A9">
        <w:rPr>
          <w:rFonts w:ascii="Trebuchet MS" w:hAnsi="Trebuchet MS"/>
          <w:szCs w:val="24"/>
        </w:rPr>
        <w:fldChar w:fldCharType="end"/>
      </w:r>
      <w:r w:rsidRPr="002946A9">
        <w:rPr>
          <w:rFonts w:ascii="Trebuchet MS" w:hAnsi="Trebuchet MS"/>
          <w:szCs w:val="24"/>
        </w:rPr>
        <w:t xml:space="preserve">, con lo cual, se logra el valor del </w:t>
      </w:r>
      <w:r w:rsidRPr="002946A9">
        <w:rPr>
          <w:rFonts w:ascii="Trebuchet MS" w:hAnsi="Trebuchet MS"/>
          <w:i/>
          <w:iCs/>
          <w:szCs w:val="24"/>
        </w:rPr>
        <w:t>INVR</w:t>
      </w:r>
      <w:r w:rsidRPr="002946A9">
        <w:rPr>
          <w:rFonts w:ascii="Trebuchet MS" w:hAnsi="Trebuchet MS"/>
          <w:i/>
          <w:iCs/>
          <w:szCs w:val="24"/>
          <w:vertAlign w:val="subscript"/>
        </w:rPr>
        <w:t>j,n,l,</w:t>
      </w:r>
      <w:r w:rsidR="009139A7">
        <w:rPr>
          <w:rFonts w:ascii="Trebuchet MS" w:hAnsi="Trebuchet MS"/>
          <w:i/>
          <w:iCs/>
          <w:szCs w:val="24"/>
          <w:vertAlign w:val="subscript"/>
        </w:rPr>
        <w:t>4</w:t>
      </w:r>
      <w:r w:rsidR="009139A7" w:rsidRPr="002946A9">
        <w:rPr>
          <w:rFonts w:ascii="Trebuchet MS" w:hAnsi="Trebuchet MS"/>
          <w:szCs w:val="24"/>
        </w:rPr>
        <w:t xml:space="preserve"> </w:t>
      </w:r>
      <w:r w:rsidRPr="002946A9">
        <w:rPr>
          <w:rFonts w:ascii="Trebuchet MS" w:hAnsi="Trebuchet MS"/>
          <w:szCs w:val="24"/>
        </w:rPr>
        <w:t>a ser considerado para el cálculo de la base de activos nuevos del año siguiente (</w:t>
      </w:r>
      <w:r w:rsidR="009139A7" w:rsidRPr="002946A9">
        <w:rPr>
          <w:rFonts w:ascii="Trebuchet MS" w:hAnsi="Trebuchet MS"/>
          <w:szCs w:val="24"/>
        </w:rPr>
        <w:t>202</w:t>
      </w:r>
      <w:r w:rsidR="009139A7">
        <w:rPr>
          <w:rFonts w:ascii="Trebuchet MS" w:hAnsi="Trebuchet MS"/>
          <w:szCs w:val="24"/>
        </w:rPr>
        <w:t>3</w:t>
      </w:r>
      <w:r w:rsidRPr="002946A9">
        <w:rPr>
          <w:rFonts w:ascii="Trebuchet MS" w:hAnsi="Trebuchet MS"/>
          <w:szCs w:val="24"/>
        </w:rPr>
        <w:t xml:space="preserve">). El resultado de esta suma se presenta en la </w:t>
      </w:r>
      <w:r w:rsidRPr="002946A9">
        <w:rPr>
          <w:rFonts w:ascii="Trebuchet MS" w:hAnsi="Trebuchet MS"/>
          <w:szCs w:val="24"/>
        </w:rPr>
        <w:fldChar w:fldCharType="begin"/>
      </w:r>
      <w:r w:rsidRPr="002946A9">
        <w:rPr>
          <w:rFonts w:ascii="Trebuchet MS" w:hAnsi="Trebuchet MS"/>
          <w:szCs w:val="24"/>
        </w:rPr>
        <w:instrText xml:space="preserve"> REF _Ref67730474 \h </w:instrText>
      </w:r>
      <w:r w:rsidR="00262FC0" w:rsidRPr="002946A9">
        <w:rPr>
          <w:rFonts w:ascii="Trebuchet MS" w:hAnsi="Trebuchet MS"/>
          <w:szCs w:val="24"/>
        </w:rPr>
        <w:instrText xml:space="preserve"> \* MERGEFORMAT </w:instrText>
      </w:r>
      <w:r w:rsidRPr="002946A9">
        <w:rPr>
          <w:rFonts w:ascii="Trebuchet MS" w:hAnsi="Trebuchet MS"/>
          <w:szCs w:val="24"/>
        </w:rPr>
      </w:r>
      <w:r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4</w:t>
      </w:r>
      <w:r w:rsidRPr="002946A9">
        <w:rPr>
          <w:rFonts w:ascii="Trebuchet MS" w:hAnsi="Trebuchet MS"/>
          <w:szCs w:val="24"/>
        </w:rPr>
        <w:fldChar w:fldCharType="end"/>
      </w:r>
      <w:r w:rsidRPr="002946A9">
        <w:rPr>
          <w:rFonts w:ascii="Trebuchet MS" w:hAnsi="Trebuchet MS"/>
          <w:szCs w:val="24"/>
        </w:rPr>
        <w:t>.</w:t>
      </w:r>
    </w:p>
    <w:p w14:paraId="39C3B18B" w14:textId="6C804CC6" w:rsidR="00D126F8" w:rsidRPr="002946A9" w:rsidRDefault="00D126F8" w:rsidP="00D126F8">
      <w:pPr>
        <w:ind w:left="1416" w:hanging="1056"/>
        <w:jc w:val="both"/>
        <w:rPr>
          <w:rFonts w:ascii="Trebuchet MS" w:hAnsi="Trebuchet MS"/>
        </w:rPr>
      </w:pPr>
      <w:bookmarkStart w:id="188" w:name="_Ref67730474"/>
      <w:bookmarkStart w:id="189" w:name="_Toc131032794"/>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4</w:t>
      </w:r>
      <w:r w:rsidRPr="002946A9">
        <w:rPr>
          <w:rFonts w:ascii="Trebuchet MS" w:hAnsi="Trebuchet MS"/>
        </w:rPr>
        <w:fldChar w:fldCharType="end"/>
      </w:r>
      <w:bookmarkEnd w:id="188"/>
      <w:r w:rsidRPr="002946A9">
        <w:rPr>
          <w:rFonts w:ascii="Trebuchet MS" w:hAnsi="Trebuchet MS"/>
        </w:rPr>
        <w:t xml:space="preserve">  </w:t>
      </w:r>
      <w:r w:rsidR="00FC30D2" w:rsidRPr="002946A9">
        <w:rPr>
          <w:rFonts w:ascii="Trebuchet MS" w:hAnsi="Trebuchet MS"/>
        </w:rPr>
        <w:t xml:space="preserve">Inversiones en activos puestos en operación en el sistema de EPM en el año </w:t>
      </w:r>
      <w:r w:rsidR="009139A7" w:rsidRPr="002946A9">
        <w:rPr>
          <w:rFonts w:ascii="Trebuchet MS" w:hAnsi="Trebuchet MS"/>
        </w:rPr>
        <w:t>202</w:t>
      </w:r>
      <w:r w:rsidR="009139A7">
        <w:rPr>
          <w:rFonts w:ascii="Trebuchet MS" w:hAnsi="Trebuchet MS"/>
        </w:rPr>
        <w:t>2</w:t>
      </w:r>
      <w:r w:rsidR="00FC30D2" w:rsidRPr="002946A9">
        <w:rPr>
          <w:rFonts w:ascii="Trebuchet MS" w:hAnsi="Trebuchet MS"/>
        </w:rPr>
        <w:t>. Incluye el acote del</w:t>
      </w:r>
      <w:r w:rsidR="006B1422" w:rsidRPr="002946A9">
        <w:rPr>
          <w:rFonts w:ascii="Trebuchet MS" w:hAnsi="Trebuchet MS"/>
        </w:rPr>
        <w:t xml:space="preserve"> 1.1*</w:t>
      </w:r>
      <w:r w:rsidR="006B1422" w:rsidRPr="002946A9">
        <w:rPr>
          <w:rFonts w:ascii="Trebuchet MS" w:hAnsi="Trebuchet MS" w:cstheme="minorHAnsi"/>
          <w:i/>
          <w:iCs/>
        </w:rPr>
        <w:t>INVA</w:t>
      </w:r>
      <w:r w:rsidR="006B1422" w:rsidRPr="002946A9">
        <w:rPr>
          <w:rFonts w:ascii="Trebuchet MS" w:hAnsi="Trebuchet MS" w:cstheme="minorHAnsi"/>
          <w:i/>
          <w:iCs/>
          <w:vertAlign w:val="subscript"/>
        </w:rPr>
        <w:t>j,n,l,</w:t>
      </w:r>
      <w:r w:rsidR="00FB02B8">
        <w:rPr>
          <w:rFonts w:ascii="Trebuchet MS" w:hAnsi="Trebuchet MS" w:cstheme="minorHAnsi"/>
          <w:i/>
          <w:iCs/>
          <w:vertAlign w:val="subscript"/>
        </w:rPr>
        <w:t>4</w:t>
      </w:r>
      <w:r w:rsidR="006B1422" w:rsidRPr="002946A9">
        <w:rPr>
          <w:rFonts w:ascii="Trebuchet MS" w:hAnsi="Trebuchet MS"/>
        </w:rPr>
        <w:t xml:space="preserve"> </w:t>
      </w:r>
      <w:r w:rsidR="00FC30D2" w:rsidRPr="002946A9">
        <w:rPr>
          <w:rFonts w:ascii="Trebuchet MS" w:hAnsi="Trebuchet MS"/>
        </w:rPr>
        <w:t xml:space="preserve">más el excedente del año </w:t>
      </w:r>
      <w:r w:rsidR="009139A7" w:rsidRPr="002946A9">
        <w:rPr>
          <w:rFonts w:ascii="Trebuchet MS" w:hAnsi="Trebuchet MS"/>
        </w:rPr>
        <w:t>202</w:t>
      </w:r>
      <w:r w:rsidR="009139A7">
        <w:rPr>
          <w:rFonts w:ascii="Trebuchet MS" w:hAnsi="Trebuchet MS"/>
        </w:rPr>
        <w:t>1</w:t>
      </w:r>
      <w:r w:rsidR="001B1E3F" w:rsidRPr="002946A9">
        <w:rPr>
          <w:rFonts w:ascii="Trebuchet MS" w:hAnsi="Trebuchet MS"/>
        </w:rPr>
        <w:t>.</w:t>
      </w:r>
      <w:bookmarkEnd w:id="189"/>
    </w:p>
    <w:tbl>
      <w:tblPr>
        <w:tblStyle w:val="Tablaconcuadrcula5oscura-nfasis1"/>
        <w:tblW w:w="10744" w:type="dxa"/>
        <w:jc w:val="center"/>
        <w:tblLayout w:type="fixed"/>
        <w:tblCellMar>
          <w:left w:w="57" w:type="dxa"/>
          <w:right w:w="57" w:type="dxa"/>
        </w:tblCellMar>
        <w:tblLook w:val="04A0" w:firstRow="1" w:lastRow="0" w:firstColumn="1" w:lastColumn="0" w:noHBand="0" w:noVBand="1"/>
      </w:tblPr>
      <w:tblGrid>
        <w:gridCol w:w="505"/>
        <w:gridCol w:w="1706"/>
        <w:gridCol w:w="1705"/>
        <w:gridCol w:w="1704"/>
        <w:gridCol w:w="1705"/>
        <w:gridCol w:w="1704"/>
        <w:gridCol w:w="1715"/>
      </w:tblGrid>
      <w:tr w:rsidR="00D126F8" w:rsidRPr="00206E93" w14:paraId="0C403E67" w14:textId="77777777" w:rsidTr="008A2A33">
        <w:trPr>
          <w:cnfStyle w:val="100000000000" w:firstRow="1" w:lastRow="0" w:firstColumn="0" w:lastColumn="0" w:oddVBand="0" w:evenVBand="0" w:oddHBand="0" w:evenHBand="0" w:firstRowFirstColumn="0" w:firstRowLastColumn="0" w:lastRowFirstColumn="0" w:lastRowLastColumn="0"/>
          <w:trHeight w:val="362"/>
          <w:tblHeader/>
          <w:jc w:val="center"/>
        </w:trPr>
        <w:tc>
          <w:tcPr>
            <w:cnfStyle w:val="001000000000" w:firstRow="0" w:lastRow="0" w:firstColumn="1" w:lastColumn="0" w:oddVBand="0" w:evenVBand="0" w:oddHBand="0" w:evenHBand="0" w:firstRowFirstColumn="0" w:firstRowLastColumn="0" w:lastRowFirstColumn="0" w:lastRowLastColumn="0"/>
            <w:tcW w:w="505" w:type="dxa"/>
            <w:vMerge w:val="restart"/>
            <w:noWrap/>
            <w:hideMark/>
          </w:tcPr>
          <w:p w14:paraId="237EF92A" w14:textId="77777777" w:rsidR="00D126F8" w:rsidRPr="00206E93" w:rsidRDefault="00D126F8" w:rsidP="005B4EA3">
            <w:pPr>
              <w:rPr>
                <w:rFonts w:eastAsia="Times New Roman" w:cs="Times New Roman"/>
                <w:i/>
                <w:iCs/>
                <w:color w:val="auto"/>
                <w:sz w:val="16"/>
                <w:szCs w:val="16"/>
                <w:lang w:eastAsia="es-CO"/>
              </w:rPr>
            </w:pPr>
            <w:r w:rsidRPr="00206E93">
              <w:rPr>
                <w:rFonts w:eastAsia="Times New Roman" w:cs="Times New Roman"/>
                <w:i/>
                <w:iCs/>
                <w:sz w:val="16"/>
                <w:szCs w:val="16"/>
                <w:lang w:eastAsia="es-CO"/>
              </w:rPr>
              <w:t>l</w:t>
            </w:r>
          </w:p>
        </w:tc>
        <w:tc>
          <w:tcPr>
            <w:tcW w:w="1705" w:type="dxa"/>
            <w:vMerge w:val="restart"/>
            <w:noWrap/>
            <w:hideMark/>
          </w:tcPr>
          <w:p w14:paraId="592987AA" w14:textId="77777777" w:rsidR="00D126F8" w:rsidRPr="00206E93" w:rsidRDefault="00D126F8" w:rsidP="005B4EA3">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es-CO"/>
              </w:rPr>
            </w:pPr>
            <w:r w:rsidRPr="00206E93">
              <w:rPr>
                <w:rFonts w:eastAsia="Times New Roman" w:cs="Times New Roman"/>
                <w:sz w:val="16"/>
                <w:szCs w:val="16"/>
                <w:lang w:eastAsia="es-CO"/>
              </w:rPr>
              <w:t>Descripción</w:t>
            </w:r>
          </w:p>
        </w:tc>
        <w:tc>
          <w:tcPr>
            <w:tcW w:w="8532" w:type="dxa"/>
            <w:gridSpan w:val="5"/>
            <w:noWrap/>
            <w:hideMark/>
          </w:tcPr>
          <w:p w14:paraId="29466292" w14:textId="670871CF" w:rsidR="00D126F8" w:rsidRPr="00206E93" w:rsidRDefault="00691EBF" w:rsidP="005B4EA3">
            <w:pPr>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auto"/>
                <w:sz w:val="16"/>
                <w:szCs w:val="16"/>
                <w:lang w:eastAsia="es-CO"/>
              </w:rPr>
            </w:pPr>
            <w:r w:rsidRPr="00206E93">
              <w:rPr>
                <w:rFonts w:eastAsia="Times New Roman" w:cs="Times New Roman"/>
                <w:i/>
                <w:iCs/>
                <w:sz w:val="16"/>
                <w:szCs w:val="16"/>
                <w:lang w:eastAsia="es-CO"/>
              </w:rPr>
              <w:t>INVR</w:t>
            </w:r>
            <w:r w:rsidRPr="00206E93">
              <w:rPr>
                <w:rFonts w:eastAsia="Times New Roman" w:cs="Times New Roman"/>
                <w:i/>
                <w:iCs/>
                <w:sz w:val="16"/>
                <w:szCs w:val="16"/>
                <w:vertAlign w:val="subscript"/>
                <w:lang w:eastAsia="es-CO"/>
              </w:rPr>
              <w:t>j,n,l,</w:t>
            </w:r>
            <w:r w:rsidR="00BA5A1E" w:rsidRPr="00206E93">
              <w:rPr>
                <w:rFonts w:eastAsia="Times New Roman" w:cs="Times New Roman"/>
                <w:i/>
                <w:iCs/>
                <w:sz w:val="16"/>
                <w:szCs w:val="16"/>
                <w:vertAlign w:val="subscript"/>
                <w:lang w:eastAsia="es-CO"/>
              </w:rPr>
              <w:t>3</w:t>
            </w:r>
            <w:r w:rsidRPr="00206E93">
              <w:rPr>
                <w:rFonts w:eastAsia="Times New Roman" w:cs="Times New Roman"/>
                <w:i/>
                <w:iCs/>
                <w:sz w:val="16"/>
                <w:szCs w:val="16"/>
                <w:vertAlign w:val="superscript"/>
                <w:lang w:eastAsia="es-CO"/>
              </w:rPr>
              <w:t xml:space="preserve">* </w:t>
            </w:r>
            <w:r w:rsidRPr="00206E93">
              <w:rPr>
                <w:rFonts w:eastAsia="Times New Roman" w:cs="Times New Roman"/>
                <w:i/>
                <w:iCs/>
                <w:sz w:val="16"/>
                <w:szCs w:val="16"/>
                <w:lang w:eastAsia="es-CO"/>
              </w:rPr>
              <w:t>- valores acotados en N1, N2 y N3,  más el excedente</w:t>
            </w:r>
            <w:r w:rsidR="00BA5A1E" w:rsidRPr="00206E93">
              <w:rPr>
                <w:rFonts w:eastAsia="Times New Roman" w:cs="Times New Roman"/>
                <w:i/>
                <w:iCs/>
                <w:sz w:val="16"/>
                <w:szCs w:val="16"/>
                <w:lang w:eastAsia="es-CO"/>
              </w:rPr>
              <w:t xml:space="preserve"> de</w:t>
            </w:r>
            <w:r w:rsidRPr="00206E93">
              <w:rPr>
                <w:rFonts w:eastAsia="Times New Roman" w:cs="Times New Roman"/>
                <w:i/>
                <w:iCs/>
                <w:sz w:val="16"/>
                <w:szCs w:val="16"/>
                <w:lang w:eastAsia="es-CO"/>
              </w:rPr>
              <w:t xml:space="preserve"> 20</w:t>
            </w:r>
            <w:r w:rsidR="00BA5A1E" w:rsidRPr="00206E93">
              <w:rPr>
                <w:rFonts w:eastAsia="Times New Roman" w:cs="Times New Roman"/>
                <w:i/>
                <w:iCs/>
                <w:sz w:val="16"/>
                <w:szCs w:val="16"/>
                <w:lang w:eastAsia="es-CO"/>
              </w:rPr>
              <w:t>2</w:t>
            </w:r>
            <w:r w:rsidR="00206E93">
              <w:rPr>
                <w:rFonts w:eastAsia="Times New Roman" w:cs="Times New Roman"/>
                <w:i/>
                <w:iCs/>
                <w:sz w:val="16"/>
                <w:szCs w:val="16"/>
                <w:lang w:eastAsia="es-CO"/>
              </w:rPr>
              <w:t>1</w:t>
            </w:r>
          </w:p>
        </w:tc>
      </w:tr>
      <w:tr w:rsidR="00D126F8" w:rsidRPr="00206E93" w14:paraId="21CBC287" w14:textId="77777777" w:rsidTr="008A2A33">
        <w:trPr>
          <w:cnfStyle w:val="100000000000" w:firstRow="1" w:lastRow="0" w:firstColumn="0" w:lastColumn="0" w:oddVBand="0" w:evenVBand="0" w:oddHBand="0" w:evenHBand="0" w:firstRowFirstColumn="0" w:firstRowLastColumn="0" w:lastRowFirstColumn="0" w:lastRowLastColumn="0"/>
          <w:trHeight w:val="350"/>
          <w:tblHeader/>
          <w:jc w:val="center"/>
        </w:trPr>
        <w:tc>
          <w:tcPr>
            <w:cnfStyle w:val="001000000000" w:firstRow="0" w:lastRow="0" w:firstColumn="1" w:lastColumn="0" w:oddVBand="0" w:evenVBand="0" w:oddHBand="0" w:evenHBand="0" w:firstRowFirstColumn="0" w:firstRowLastColumn="0" w:lastRowFirstColumn="0" w:lastRowLastColumn="0"/>
            <w:tcW w:w="505" w:type="dxa"/>
            <w:vMerge/>
            <w:hideMark/>
          </w:tcPr>
          <w:p w14:paraId="17A6B436" w14:textId="77777777" w:rsidR="00D126F8" w:rsidRPr="00206E93" w:rsidRDefault="00D126F8" w:rsidP="005B4EA3">
            <w:pPr>
              <w:rPr>
                <w:rFonts w:eastAsia="Times New Roman" w:cs="Times New Roman"/>
                <w:i/>
                <w:iCs/>
                <w:color w:val="auto"/>
                <w:sz w:val="16"/>
                <w:szCs w:val="16"/>
                <w:lang w:eastAsia="es-CO"/>
              </w:rPr>
            </w:pPr>
          </w:p>
        </w:tc>
        <w:tc>
          <w:tcPr>
            <w:tcW w:w="1705" w:type="dxa"/>
            <w:vMerge/>
            <w:hideMark/>
          </w:tcPr>
          <w:p w14:paraId="715C3755" w14:textId="77777777" w:rsidR="00D126F8" w:rsidRPr="00206E93" w:rsidRDefault="00D126F8" w:rsidP="005B4EA3">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6"/>
                <w:szCs w:val="16"/>
                <w:lang w:eastAsia="es-CO"/>
              </w:rPr>
            </w:pPr>
          </w:p>
        </w:tc>
        <w:tc>
          <w:tcPr>
            <w:tcW w:w="1705" w:type="dxa"/>
            <w:noWrap/>
            <w:hideMark/>
          </w:tcPr>
          <w:p w14:paraId="79C3AF29" w14:textId="77777777" w:rsidR="00D126F8" w:rsidRPr="00206E93" w:rsidRDefault="00D126F8" w:rsidP="005B4EA3">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206E93">
              <w:rPr>
                <w:rFonts w:eastAsia="Times New Roman" w:cs="Times New Roman"/>
                <w:sz w:val="16"/>
                <w:szCs w:val="16"/>
                <w:lang w:eastAsia="es-CO"/>
              </w:rPr>
              <w:t>N1</w:t>
            </w:r>
          </w:p>
        </w:tc>
        <w:tc>
          <w:tcPr>
            <w:tcW w:w="1704" w:type="dxa"/>
            <w:noWrap/>
            <w:hideMark/>
          </w:tcPr>
          <w:p w14:paraId="6323BEB0" w14:textId="77777777" w:rsidR="00D126F8" w:rsidRPr="00206E93" w:rsidRDefault="00D126F8" w:rsidP="005B4EA3">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206E93">
              <w:rPr>
                <w:rFonts w:eastAsia="Times New Roman" w:cs="Times New Roman"/>
                <w:sz w:val="16"/>
                <w:szCs w:val="16"/>
                <w:lang w:eastAsia="es-CO"/>
              </w:rPr>
              <w:t>N2</w:t>
            </w:r>
          </w:p>
        </w:tc>
        <w:tc>
          <w:tcPr>
            <w:tcW w:w="1705" w:type="dxa"/>
            <w:noWrap/>
            <w:hideMark/>
          </w:tcPr>
          <w:p w14:paraId="6D575D72" w14:textId="77777777" w:rsidR="00D126F8" w:rsidRPr="00206E93" w:rsidRDefault="00D126F8" w:rsidP="005B4EA3">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206E93">
              <w:rPr>
                <w:rFonts w:eastAsia="Times New Roman" w:cs="Times New Roman"/>
                <w:sz w:val="16"/>
                <w:szCs w:val="16"/>
                <w:lang w:eastAsia="es-CO"/>
              </w:rPr>
              <w:t>N3</w:t>
            </w:r>
          </w:p>
        </w:tc>
        <w:tc>
          <w:tcPr>
            <w:tcW w:w="1704" w:type="dxa"/>
            <w:noWrap/>
            <w:hideMark/>
          </w:tcPr>
          <w:p w14:paraId="4BA8D3C0" w14:textId="77777777" w:rsidR="00D126F8" w:rsidRPr="00206E93" w:rsidRDefault="00D126F8" w:rsidP="005B4EA3">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206E93">
              <w:rPr>
                <w:rFonts w:eastAsia="Times New Roman" w:cs="Times New Roman"/>
                <w:sz w:val="16"/>
                <w:szCs w:val="16"/>
                <w:lang w:eastAsia="es-CO"/>
              </w:rPr>
              <w:t>N4</w:t>
            </w:r>
          </w:p>
        </w:tc>
        <w:tc>
          <w:tcPr>
            <w:tcW w:w="1711" w:type="dxa"/>
            <w:noWrap/>
            <w:hideMark/>
          </w:tcPr>
          <w:p w14:paraId="26D057F9" w14:textId="77777777" w:rsidR="00D126F8" w:rsidRPr="00206E93" w:rsidRDefault="00D126F8" w:rsidP="005B4EA3">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206E93">
              <w:rPr>
                <w:rFonts w:eastAsia="Times New Roman" w:cs="Times New Roman"/>
                <w:sz w:val="16"/>
                <w:szCs w:val="16"/>
                <w:lang w:eastAsia="es-CO"/>
              </w:rPr>
              <w:t>TOTAL</w:t>
            </w:r>
          </w:p>
        </w:tc>
      </w:tr>
      <w:tr w:rsidR="008A2A33" w:rsidRPr="008A2A33" w14:paraId="63A8C2B3" w14:textId="77777777" w:rsidTr="008A2A33">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505" w:type="dxa"/>
            <w:noWrap/>
            <w:hideMark/>
          </w:tcPr>
          <w:p w14:paraId="20F26B12" w14:textId="77777777" w:rsidR="00BC3D52" w:rsidRPr="00206E93" w:rsidRDefault="00BC3D52" w:rsidP="00BC3D52">
            <w:pPr>
              <w:jc w:val="center"/>
              <w:rPr>
                <w:rFonts w:eastAsia="Times New Roman" w:cs="Times New Roman"/>
                <w:color w:val="auto"/>
                <w:sz w:val="16"/>
                <w:szCs w:val="16"/>
                <w:lang w:eastAsia="es-CO"/>
              </w:rPr>
            </w:pPr>
            <w:r w:rsidRPr="00206E93">
              <w:rPr>
                <w:rFonts w:eastAsia="Times New Roman" w:cs="Times New Roman"/>
                <w:sz w:val="16"/>
                <w:szCs w:val="16"/>
                <w:lang w:eastAsia="es-CO"/>
              </w:rPr>
              <w:t>1</w:t>
            </w:r>
          </w:p>
        </w:tc>
        <w:tc>
          <w:tcPr>
            <w:tcW w:w="1705" w:type="dxa"/>
            <w:noWrap/>
            <w:hideMark/>
          </w:tcPr>
          <w:p w14:paraId="0F024398" w14:textId="77777777" w:rsidR="00BC3D52" w:rsidRPr="00206E93" w:rsidRDefault="00BC3D52" w:rsidP="00BC3D5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Transformadores de potencia</w:t>
            </w:r>
          </w:p>
        </w:tc>
        <w:tc>
          <w:tcPr>
            <w:tcW w:w="1705" w:type="dxa"/>
            <w:shd w:val="clear" w:color="auto" w:fill="BFBFBF" w:themeFill="background1" w:themeFillShade="BF"/>
            <w:noWrap/>
            <w:hideMark/>
          </w:tcPr>
          <w:p w14:paraId="64E7DE95" w14:textId="77777777" w:rsidR="00BC3D52" w:rsidRPr="00206E93"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w:t>
            </w:r>
          </w:p>
        </w:tc>
        <w:tc>
          <w:tcPr>
            <w:tcW w:w="1704" w:type="dxa"/>
            <w:noWrap/>
          </w:tcPr>
          <w:p w14:paraId="2E52D518" w14:textId="199C7360" w:rsidR="00BC3D52" w:rsidRPr="00EF3F98"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8,823,290,050.00</w:t>
            </w:r>
          </w:p>
        </w:tc>
        <w:tc>
          <w:tcPr>
            <w:tcW w:w="1705" w:type="dxa"/>
            <w:noWrap/>
          </w:tcPr>
          <w:p w14:paraId="3AC5C0D4" w14:textId="62ECD7A0" w:rsidR="00BC3D52" w:rsidRPr="00EF3F98"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5,308,074,900.00</w:t>
            </w:r>
          </w:p>
        </w:tc>
        <w:tc>
          <w:tcPr>
            <w:tcW w:w="1704" w:type="dxa"/>
            <w:noWrap/>
          </w:tcPr>
          <w:p w14:paraId="4F8346F4" w14:textId="5FBF3DF3" w:rsidR="00BC3D52" w:rsidRPr="00EF3F98"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w:t>
            </w:r>
          </w:p>
        </w:tc>
        <w:tc>
          <w:tcPr>
            <w:tcW w:w="1711" w:type="dxa"/>
            <w:noWrap/>
          </w:tcPr>
          <w:p w14:paraId="7A45D27B" w14:textId="30F07383" w:rsidR="00BC3D52" w:rsidRPr="00206E93"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8A2A33">
              <w:rPr>
                <w:rFonts w:eastAsia="Times New Roman" w:cs="Times New Roman"/>
                <w:b/>
                <w:bCs/>
                <w:sz w:val="16"/>
                <w:szCs w:val="16"/>
                <w:lang w:eastAsia="es-CO"/>
              </w:rPr>
              <w:t>14,131,364,950.00</w:t>
            </w:r>
          </w:p>
        </w:tc>
      </w:tr>
      <w:tr w:rsidR="008A2A33" w:rsidRPr="008A2A33" w14:paraId="4F5E3BC9" w14:textId="77777777" w:rsidTr="008A2A33">
        <w:trPr>
          <w:cnfStyle w:val="000000010000" w:firstRow="0" w:lastRow="0" w:firstColumn="0" w:lastColumn="0" w:oddVBand="0" w:evenVBand="0" w:oddHBand="0" w:evenHBand="1"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505" w:type="dxa"/>
            <w:noWrap/>
            <w:hideMark/>
          </w:tcPr>
          <w:p w14:paraId="5C423D58" w14:textId="77777777" w:rsidR="00BC3D52" w:rsidRPr="00206E93" w:rsidRDefault="00BC3D52" w:rsidP="00BC3D52">
            <w:pPr>
              <w:jc w:val="center"/>
              <w:rPr>
                <w:rFonts w:eastAsia="Times New Roman" w:cs="Times New Roman"/>
                <w:color w:val="auto"/>
                <w:sz w:val="16"/>
                <w:szCs w:val="16"/>
                <w:lang w:eastAsia="es-CO"/>
              </w:rPr>
            </w:pPr>
            <w:r w:rsidRPr="00206E93">
              <w:rPr>
                <w:rFonts w:eastAsia="Times New Roman" w:cs="Times New Roman"/>
                <w:sz w:val="16"/>
                <w:szCs w:val="16"/>
                <w:lang w:eastAsia="es-CO"/>
              </w:rPr>
              <w:t>2</w:t>
            </w:r>
          </w:p>
        </w:tc>
        <w:tc>
          <w:tcPr>
            <w:tcW w:w="1705" w:type="dxa"/>
            <w:noWrap/>
            <w:hideMark/>
          </w:tcPr>
          <w:p w14:paraId="74383D85" w14:textId="77777777" w:rsidR="00BC3D52" w:rsidRPr="00206E93" w:rsidRDefault="00BC3D52" w:rsidP="00BC3D52">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Compensación reactiva</w:t>
            </w:r>
          </w:p>
        </w:tc>
        <w:tc>
          <w:tcPr>
            <w:tcW w:w="1705" w:type="dxa"/>
            <w:shd w:val="clear" w:color="auto" w:fill="BFBFBF" w:themeFill="background1" w:themeFillShade="BF"/>
            <w:noWrap/>
            <w:hideMark/>
          </w:tcPr>
          <w:p w14:paraId="2C9D0E61" w14:textId="77777777" w:rsidR="00BC3D52" w:rsidRPr="00206E93"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w:t>
            </w:r>
          </w:p>
        </w:tc>
        <w:tc>
          <w:tcPr>
            <w:tcW w:w="1704" w:type="dxa"/>
            <w:noWrap/>
          </w:tcPr>
          <w:p w14:paraId="203D6AD8" w14:textId="075BC1F2" w:rsidR="00BC3D52" w:rsidRPr="00EF3F98"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w:t>
            </w:r>
          </w:p>
        </w:tc>
        <w:tc>
          <w:tcPr>
            <w:tcW w:w="1705" w:type="dxa"/>
            <w:noWrap/>
          </w:tcPr>
          <w:p w14:paraId="6F389E82" w14:textId="459840AC" w:rsidR="00BC3D52" w:rsidRPr="00EF3F98"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w:t>
            </w:r>
          </w:p>
        </w:tc>
        <w:tc>
          <w:tcPr>
            <w:tcW w:w="1704" w:type="dxa"/>
            <w:noWrap/>
          </w:tcPr>
          <w:p w14:paraId="6A25CA59" w14:textId="7D55BCB8" w:rsidR="00BC3D52" w:rsidRPr="00EF3F98"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w:t>
            </w:r>
          </w:p>
        </w:tc>
        <w:tc>
          <w:tcPr>
            <w:tcW w:w="1711" w:type="dxa"/>
            <w:noWrap/>
          </w:tcPr>
          <w:p w14:paraId="46D0B28A" w14:textId="78A90ADC" w:rsidR="00BC3D52" w:rsidRPr="00206E93"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8A2A33">
              <w:rPr>
                <w:rFonts w:eastAsia="Times New Roman" w:cs="Times New Roman"/>
                <w:b/>
                <w:bCs/>
                <w:sz w:val="16"/>
                <w:szCs w:val="16"/>
                <w:lang w:eastAsia="es-CO"/>
              </w:rPr>
              <w:t>-</w:t>
            </w:r>
          </w:p>
        </w:tc>
      </w:tr>
      <w:tr w:rsidR="008A2A33" w:rsidRPr="008A2A33" w14:paraId="508CE189" w14:textId="77777777" w:rsidTr="008A2A33">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505" w:type="dxa"/>
            <w:noWrap/>
            <w:hideMark/>
          </w:tcPr>
          <w:p w14:paraId="6D287E2F" w14:textId="77777777" w:rsidR="00BC3D52" w:rsidRPr="00206E93" w:rsidRDefault="00BC3D52" w:rsidP="00BC3D52">
            <w:pPr>
              <w:jc w:val="center"/>
              <w:rPr>
                <w:rFonts w:eastAsia="Times New Roman" w:cs="Times New Roman"/>
                <w:color w:val="auto"/>
                <w:sz w:val="16"/>
                <w:szCs w:val="16"/>
                <w:lang w:eastAsia="es-CO"/>
              </w:rPr>
            </w:pPr>
            <w:r w:rsidRPr="00206E93">
              <w:rPr>
                <w:rFonts w:eastAsia="Times New Roman" w:cs="Times New Roman"/>
                <w:sz w:val="16"/>
                <w:szCs w:val="16"/>
                <w:lang w:eastAsia="es-CO"/>
              </w:rPr>
              <w:t>3</w:t>
            </w:r>
          </w:p>
        </w:tc>
        <w:tc>
          <w:tcPr>
            <w:tcW w:w="1705" w:type="dxa"/>
            <w:noWrap/>
            <w:hideMark/>
          </w:tcPr>
          <w:p w14:paraId="457DCE0E" w14:textId="77777777" w:rsidR="00BC3D52" w:rsidRPr="00206E93" w:rsidRDefault="00BC3D52" w:rsidP="00BC3D5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Bahías y celdas</w:t>
            </w:r>
          </w:p>
        </w:tc>
        <w:tc>
          <w:tcPr>
            <w:tcW w:w="1705" w:type="dxa"/>
            <w:shd w:val="clear" w:color="auto" w:fill="BFBFBF" w:themeFill="background1" w:themeFillShade="BF"/>
            <w:noWrap/>
            <w:hideMark/>
          </w:tcPr>
          <w:p w14:paraId="0656C808" w14:textId="77777777" w:rsidR="00BC3D52" w:rsidRPr="00206E93"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w:t>
            </w:r>
          </w:p>
        </w:tc>
        <w:tc>
          <w:tcPr>
            <w:tcW w:w="1704" w:type="dxa"/>
            <w:noWrap/>
          </w:tcPr>
          <w:p w14:paraId="4A447F52" w14:textId="4AEC43C0" w:rsidR="00BC3D52" w:rsidRPr="00EF3F98"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6,763,681,567.75</w:t>
            </w:r>
          </w:p>
        </w:tc>
        <w:tc>
          <w:tcPr>
            <w:tcW w:w="1705" w:type="dxa"/>
            <w:noWrap/>
          </w:tcPr>
          <w:p w14:paraId="40D55145" w14:textId="6612E22C" w:rsidR="00BC3D52" w:rsidRPr="00EF3F98"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5,443,684,624.91</w:t>
            </w:r>
          </w:p>
        </w:tc>
        <w:tc>
          <w:tcPr>
            <w:tcW w:w="1704" w:type="dxa"/>
            <w:noWrap/>
          </w:tcPr>
          <w:p w14:paraId="529B8DCC" w14:textId="080ECB0F" w:rsidR="00BC3D52" w:rsidRPr="00EF3F98"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8,868,643,830.83</w:t>
            </w:r>
          </w:p>
        </w:tc>
        <w:tc>
          <w:tcPr>
            <w:tcW w:w="1711" w:type="dxa"/>
            <w:noWrap/>
          </w:tcPr>
          <w:p w14:paraId="349B9AC2" w14:textId="5E960548" w:rsidR="00BC3D52" w:rsidRPr="00206E93"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8A2A33">
              <w:rPr>
                <w:rFonts w:eastAsia="Times New Roman" w:cs="Times New Roman"/>
                <w:b/>
                <w:bCs/>
                <w:sz w:val="16"/>
                <w:szCs w:val="16"/>
                <w:lang w:eastAsia="es-CO"/>
              </w:rPr>
              <w:t>21,076,010,023.49</w:t>
            </w:r>
          </w:p>
        </w:tc>
      </w:tr>
      <w:tr w:rsidR="008A2A33" w:rsidRPr="008A2A33" w14:paraId="22FA86AD" w14:textId="77777777" w:rsidTr="008A2A33">
        <w:trPr>
          <w:cnfStyle w:val="000000010000" w:firstRow="0" w:lastRow="0" w:firstColumn="0" w:lastColumn="0" w:oddVBand="0" w:evenVBand="0" w:oddHBand="0" w:evenHBand="1"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505" w:type="dxa"/>
            <w:noWrap/>
            <w:hideMark/>
          </w:tcPr>
          <w:p w14:paraId="47B53589" w14:textId="77777777" w:rsidR="00BC3D52" w:rsidRPr="00206E93" w:rsidRDefault="00BC3D52" w:rsidP="00BC3D52">
            <w:pPr>
              <w:jc w:val="center"/>
              <w:rPr>
                <w:rFonts w:eastAsia="Times New Roman" w:cs="Times New Roman"/>
                <w:color w:val="auto"/>
                <w:sz w:val="16"/>
                <w:szCs w:val="16"/>
                <w:lang w:eastAsia="es-CO"/>
              </w:rPr>
            </w:pPr>
            <w:r w:rsidRPr="00206E93">
              <w:rPr>
                <w:rFonts w:eastAsia="Times New Roman" w:cs="Times New Roman"/>
                <w:sz w:val="16"/>
                <w:szCs w:val="16"/>
                <w:lang w:eastAsia="es-CO"/>
              </w:rPr>
              <w:t>4</w:t>
            </w:r>
          </w:p>
        </w:tc>
        <w:tc>
          <w:tcPr>
            <w:tcW w:w="1705" w:type="dxa"/>
            <w:noWrap/>
            <w:hideMark/>
          </w:tcPr>
          <w:p w14:paraId="0DD3B0C6" w14:textId="77777777" w:rsidR="00BC3D52" w:rsidRPr="00206E93" w:rsidRDefault="00BC3D52" w:rsidP="00BC3D52">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Equipos de control y comunicaciones</w:t>
            </w:r>
          </w:p>
        </w:tc>
        <w:tc>
          <w:tcPr>
            <w:tcW w:w="1705" w:type="dxa"/>
            <w:shd w:val="clear" w:color="auto" w:fill="BFBFBF" w:themeFill="background1" w:themeFillShade="BF"/>
            <w:noWrap/>
            <w:hideMark/>
          </w:tcPr>
          <w:p w14:paraId="0D3153E8" w14:textId="77777777" w:rsidR="00BC3D52" w:rsidRPr="00206E93"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w:t>
            </w:r>
          </w:p>
        </w:tc>
        <w:tc>
          <w:tcPr>
            <w:tcW w:w="1704" w:type="dxa"/>
            <w:noWrap/>
          </w:tcPr>
          <w:p w14:paraId="386C92B2" w14:textId="38504B76" w:rsidR="00BC3D52" w:rsidRPr="00EF3F98"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16,402,155,355.93</w:t>
            </w:r>
          </w:p>
        </w:tc>
        <w:tc>
          <w:tcPr>
            <w:tcW w:w="1705" w:type="dxa"/>
            <w:noWrap/>
          </w:tcPr>
          <w:p w14:paraId="38447EF8" w14:textId="6F245015" w:rsidR="00BC3D52" w:rsidRPr="00EF3F98"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1,404,564,288.00</w:t>
            </w:r>
          </w:p>
        </w:tc>
        <w:tc>
          <w:tcPr>
            <w:tcW w:w="1704" w:type="dxa"/>
            <w:noWrap/>
          </w:tcPr>
          <w:p w14:paraId="36C7D4CC" w14:textId="1432AB22" w:rsidR="00BC3D52" w:rsidRPr="00EF3F98"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2,459,578,804.00</w:t>
            </w:r>
          </w:p>
        </w:tc>
        <w:tc>
          <w:tcPr>
            <w:tcW w:w="1711" w:type="dxa"/>
            <w:noWrap/>
          </w:tcPr>
          <w:p w14:paraId="2B3B74BF" w14:textId="70FA1416" w:rsidR="00BC3D52" w:rsidRPr="00206E93"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8A2A33">
              <w:rPr>
                <w:rFonts w:eastAsia="Times New Roman" w:cs="Times New Roman"/>
                <w:b/>
                <w:bCs/>
                <w:sz w:val="16"/>
                <w:szCs w:val="16"/>
                <w:lang w:eastAsia="es-CO"/>
              </w:rPr>
              <w:t>20,266,298,447.93</w:t>
            </w:r>
          </w:p>
        </w:tc>
      </w:tr>
      <w:tr w:rsidR="008A2A33" w:rsidRPr="008A2A33" w14:paraId="1FFB777D" w14:textId="77777777" w:rsidTr="008A2A33">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505" w:type="dxa"/>
            <w:noWrap/>
            <w:hideMark/>
          </w:tcPr>
          <w:p w14:paraId="000D52AC" w14:textId="77777777" w:rsidR="00BC3D52" w:rsidRPr="00206E93" w:rsidRDefault="00BC3D52" w:rsidP="00BC3D52">
            <w:pPr>
              <w:jc w:val="center"/>
              <w:rPr>
                <w:rFonts w:eastAsia="Times New Roman" w:cs="Times New Roman"/>
                <w:color w:val="auto"/>
                <w:sz w:val="16"/>
                <w:szCs w:val="16"/>
                <w:lang w:eastAsia="es-CO"/>
              </w:rPr>
            </w:pPr>
            <w:r w:rsidRPr="00206E93">
              <w:rPr>
                <w:rFonts w:eastAsia="Times New Roman" w:cs="Times New Roman"/>
                <w:sz w:val="16"/>
                <w:szCs w:val="16"/>
                <w:lang w:eastAsia="es-CO"/>
              </w:rPr>
              <w:t>5</w:t>
            </w:r>
          </w:p>
        </w:tc>
        <w:tc>
          <w:tcPr>
            <w:tcW w:w="1705" w:type="dxa"/>
            <w:noWrap/>
            <w:hideMark/>
          </w:tcPr>
          <w:p w14:paraId="1A295053" w14:textId="77777777" w:rsidR="00BC3D52" w:rsidRPr="00206E93" w:rsidRDefault="00BC3D52" w:rsidP="00BC3D5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Equipos de subestación</w:t>
            </w:r>
          </w:p>
        </w:tc>
        <w:tc>
          <w:tcPr>
            <w:tcW w:w="1705" w:type="dxa"/>
            <w:shd w:val="clear" w:color="auto" w:fill="BFBFBF" w:themeFill="background1" w:themeFillShade="BF"/>
            <w:noWrap/>
            <w:hideMark/>
          </w:tcPr>
          <w:p w14:paraId="3DFB50B4" w14:textId="77777777" w:rsidR="00BC3D52" w:rsidRPr="00206E93"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w:t>
            </w:r>
          </w:p>
        </w:tc>
        <w:tc>
          <w:tcPr>
            <w:tcW w:w="1704" w:type="dxa"/>
            <w:noWrap/>
          </w:tcPr>
          <w:p w14:paraId="6D53D4A3" w14:textId="1A09FB12" w:rsidR="00BC3D52" w:rsidRPr="00EF3F98"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56,873,000.00</w:t>
            </w:r>
          </w:p>
        </w:tc>
        <w:tc>
          <w:tcPr>
            <w:tcW w:w="1705" w:type="dxa"/>
            <w:noWrap/>
          </w:tcPr>
          <w:p w14:paraId="44115146" w14:textId="521EBBE3" w:rsidR="00BC3D52" w:rsidRPr="00EF3F98"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438,150,000.00</w:t>
            </w:r>
          </w:p>
        </w:tc>
        <w:tc>
          <w:tcPr>
            <w:tcW w:w="1704" w:type="dxa"/>
            <w:noWrap/>
          </w:tcPr>
          <w:p w14:paraId="6767BF2C" w14:textId="1ECD2050" w:rsidR="00BC3D52" w:rsidRPr="00EF3F98"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914,814,000.00</w:t>
            </w:r>
          </w:p>
        </w:tc>
        <w:tc>
          <w:tcPr>
            <w:tcW w:w="1711" w:type="dxa"/>
            <w:noWrap/>
          </w:tcPr>
          <w:p w14:paraId="121DE589" w14:textId="1F296433" w:rsidR="00BC3D52" w:rsidRPr="00206E93"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8A2A33">
              <w:rPr>
                <w:rFonts w:eastAsia="Times New Roman" w:cs="Times New Roman"/>
                <w:b/>
                <w:bCs/>
                <w:sz w:val="16"/>
                <w:szCs w:val="16"/>
                <w:lang w:eastAsia="es-CO"/>
              </w:rPr>
              <w:t>1,409,837,000.00</w:t>
            </w:r>
          </w:p>
        </w:tc>
      </w:tr>
      <w:tr w:rsidR="008A2A33" w:rsidRPr="008A2A33" w14:paraId="3B20F5EC" w14:textId="77777777" w:rsidTr="008A2A33">
        <w:trPr>
          <w:cnfStyle w:val="000000010000" w:firstRow="0" w:lastRow="0" w:firstColumn="0" w:lastColumn="0" w:oddVBand="0" w:evenVBand="0" w:oddHBand="0" w:evenHBand="1"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505" w:type="dxa"/>
            <w:noWrap/>
            <w:hideMark/>
          </w:tcPr>
          <w:p w14:paraId="0D23AB2A" w14:textId="77777777" w:rsidR="00BC3D52" w:rsidRPr="00206E93" w:rsidRDefault="00BC3D52" w:rsidP="00BC3D52">
            <w:pPr>
              <w:jc w:val="center"/>
              <w:rPr>
                <w:rFonts w:eastAsia="Times New Roman" w:cs="Times New Roman"/>
                <w:color w:val="auto"/>
                <w:sz w:val="16"/>
                <w:szCs w:val="16"/>
                <w:lang w:eastAsia="es-CO"/>
              </w:rPr>
            </w:pPr>
            <w:r w:rsidRPr="00206E93">
              <w:rPr>
                <w:rFonts w:eastAsia="Times New Roman" w:cs="Times New Roman"/>
                <w:sz w:val="16"/>
                <w:szCs w:val="16"/>
                <w:lang w:eastAsia="es-CO"/>
              </w:rPr>
              <w:t>6</w:t>
            </w:r>
          </w:p>
        </w:tc>
        <w:tc>
          <w:tcPr>
            <w:tcW w:w="1705" w:type="dxa"/>
            <w:noWrap/>
            <w:hideMark/>
          </w:tcPr>
          <w:p w14:paraId="2C6A18F1" w14:textId="77777777" w:rsidR="00BC3D52" w:rsidRPr="00206E93" w:rsidRDefault="00BC3D52" w:rsidP="00BC3D52">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Otros activos subestación</w:t>
            </w:r>
          </w:p>
        </w:tc>
        <w:tc>
          <w:tcPr>
            <w:tcW w:w="1705" w:type="dxa"/>
            <w:shd w:val="clear" w:color="auto" w:fill="BFBFBF" w:themeFill="background1" w:themeFillShade="BF"/>
            <w:noWrap/>
            <w:hideMark/>
          </w:tcPr>
          <w:p w14:paraId="7D4B8F3E" w14:textId="77777777" w:rsidR="00BC3D52" w:rsidRPr="00206E93"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w:t>
            </w:r>
          </w:p>
        </w:tc>
        <w:tc>
          <w:tcPr>
            <w:tcW w:w="1704" w:type="dxa"/>
            <w:noWrap/>
          </w:tcPr>
          <w:p w14:paraId="56C3387B" w14:textId="1A640210" w:rsidR="00BC3D52" w:rsidRPr="00EF3F98"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1,755,861,400.00</w:t>
            </w:r>
          </w:p>
        </w:tc>
        <w:tc>
          <w:tcPr>
            <w:tcW w:w="1705" w:type="dxa"/>
            <w:noWrap/>
          </w:tcPr>
          <w:p w14:paraId="1A5AA35F" w14:textId="399CEBCE" w:rsidR="00BC3D52" w:rsidRPr="00EF3F98"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2,048,920,460.71</w:t>
            </w:r>
          </w:p>
        </w:tc>
        <w:tc>
          <w:tcPr>
            <w:tcW w:w="1704" w:type="dxa"/>
            <w:noWrap/>
          </w:tcPr>
          <w:p w14:paraId="223A4170" w14:textId="615141ED" w:rsidR="00BC3D52" w:rsidRPr="00EF3F98"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10,099,175,822.99</w:t>
            </w:r>
          </w:p>
        </w:tc>
        <w:tc>
          <w:tcPr>
            <w:tcW w:w="1711" w:type="dxa"/>
            <w:noWrap/>
          </w:tcPr>
          <w:p w14:paraId="2FED3BEE" w14:textId="0E2E7CCD" w:rsidR="00BC3D52" w:rsidRPr="00206E93"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8A2A33">
              <w:rPr>
                <w:rFonts w:eastAsia="Times New Roman" w:cs="Times New Roman"/>
                <w:b/>
                <w:bCs/>
                <w:sz w:val="16"/>
                <w:szCs w:val="16"/>
                <w:lang w:eastAsia="es-CO"/>
              </w:rPr>
              <w:t>13,903,957,683.70</w:t>
            </w:r>
          </w:p>
        </w:tc>
      </w:tr>
      <w:tr w:rsidR="008A2A33" w:rsidRPr="008A2A33" w14:paraId="28852AC7" w14:textId="77777777" w:rsidTr="008A2A33">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505" w:type="dxa"/>
            <w:noWrap/>
            <w:hideMark/>
          </w:tcPr>
          <w:p w14:paraId="7A873E1D" w14:textId="77777777" w:rsidR="00BC3D52" w:rsidRPr="00206E93" w:rsidRDefault="00BC3D52" w:rsidP="00BC3D52">
            <w:pPr>
              <w:jc w:val="center"/>
              <w:rPr>
                <w:rFonts w:eastAsia="Times New Roman" w:cs="Times New Roman"/>
                <w:color w:val="auto"/>
                <w:sz w:val="16"/>
                <w:szCs w:val="16"/>
                <w:lang w:eastAsia="es-CO"/>
              </w:rPr>
            </w:pPr>
            <w:r w:rsidRPr="00206E93">
              <w:rPr>
                <w:rFonts w:eastAsia="Times New Roman" w:cs="Times New Roman"/>
                <w:sz w:val="16"/>
                <w:szCs w:val="16"/>
                <w:lang w:eastAsia="es-CO"/>
              </w:rPr>
              <w:t>7</w:t>
            </w:r>
          </w:p>
        </w:tc>
        <w:tc>
          <w:tcPr>
            <w:tcW w:w="1705" w:type="dxa"/>
            <w:noWrap/>
            <w:hideMark/>
          </w:tcPr>
          <w:p w14:paraId="3166E781" w14:textId="77777777" w:rsidR="00BC3D52" w:rsidRPr="00206E93" w:rsidRDefault="00BC3D52" w:rsidP="00BC3D5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Líneas aéreas</w:t>
            </w:r>
          </w:p>
        </w:tc>
        <w:tc>
          <w:tcPr>
            <w:tcW w:w="1705" w:type="dxa"/>
            <w:shd w:val="clear" w:color="auto" w:fill="BFBFBF" w:themeFill="background1" w:themeFillShade="BF"/>
            <w:noWrap/>
            <w:hideMark/>
          </w:tcPr>
          <w:p w14:paraId="53CC1B33" w14:textId="77777777" w:rsidR="00BC3D52" w:rsidRPr="00206E93"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w:t>
            </w:r>
          </w:p>
        </w:tc>
        <w:tc>
          <w:tcPr>
            <w:tcW w:w="1704" w:type="dxa"/>
            <w:noWrap/>
          </w:tcPr>
          <w:p w14:paraId="583C5D7A" w14:textId="6756EF3E" w:rsidR="00BC3D52" w:rsidRPr="00EF3F98"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118,154,197,611.15</w:t>
            </w:r>
          </w:p>
        </w:tc>
        <w:tc>
          <w:tcPr>
            <w:tcW w:w="1705" w:type="dxa"/>
            <w:noWrap/>
          </w:tcPr>
          <w:p w14:paraId="1EDAE504" w14:textId="64009998" w:rsidR="00BC3D52" w:rsidRPr="00EF3F98"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14,323,934,764.11</w:t>
            </w:r>
          </w:p>
        </w:tc>
        <w:tc>
          <w:tcPr>
            <w:tcW w:w="1704" w:type="dxa"/>
            <w:noWrap/>
          </w:tcPr>
          <w:p w14:paraId="4E90A02C" w14:textId="5FEBB13F" w:rsidR="00BC3D52" w:rsidRPr="00EF3F98"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473,961,830.80</w:t>
            </w:r>
          </w:p>
        </w:tc>
        <w:tc>
          <w:tcPr>
            <w:tcW w:w="1711" w:type="dxa"/>
            <w:noWrap/>
          </w:tcPr>
          <w:p w14:paraId="1D5D8A09" w14:textId="22F860BC" w:rsidR="00BC3D52" w:rsidRPr="00206E93"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8A2A33">
              <w:rPr>
                <w:rFonts w:eastAsia="Times New Roman" w:cs="Times New Roman"/>
                <w:b/>
                <w:bCs/>
                <w:sz w:val="16"/>
                <w:szCs w:val="16"/>
                <w:lang w:eastAsia="es-CO"/>
              </w:rPr>
              <w:t>132,952,094,206.06</w:t>
            </w:r>
          </w:p>
        </w:tc>
      </w:tr>
      <w:tr w:rsidR="008A2A33" w:rsidRPr="008A2A33" w14:paraId="26081F69" w14:textId="77777777" w:rsidTr="008A2A33">
        <w:trPr>
          <w:cnfStyle w:val="000000010000" w:firstRow="0" w:lastRow="0" w:firstColumn="0" w:lastColumn="0" w:oddVBand="0" w:evenVBand="0" w:oddHBand="0" w:evenHBand="1"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505" w:type="dxa"/>
            <w:noWrap/>
            <w:hideMark/>
          </w:tcPr>
          <w:p w14:paraId="17C6CDEA" w14:textId="77777777" w:rsidR="00BC3D52" w:rsidRPr="00206E93" w:rsidRDefault="00BC3D52" w:rsidP="00BC3D52">
            <w:pPr>
              <w:jc w:val="center"/>
              <w:rPr>
                <w:rFonts w:eastAsia="Times New Roman" w:cs="Times New Roman"/>
                <w:color w:val="auto"/>
                <w:sz w:val="16"/>
                <w:szCs w:val="16"/>
                <w:lang w:eastAsia="es-CO"/>
              </w:rPr>
            </w:pPr>
            <w:r w:rsidRPr="00206E93">
              <w:rPr>
                <w:rFonts w:eastAsia="Times New Roman" w:cs="Times New Roman"/>
                <w:sz w:val="16"/>
                <w:szCs w:val="16"/>
                <w:lang w:eastAsia="es-CO"/>
              </w:rPr>
              <w:t>8</w:t>
            </w:r>
          </w:p>
        </w:tc>
        <w:tc>
          <w:tcPr>
            <w:tcW w:w="1705" w:type="dxa"/>
            <w:noWrap/>
            <w:hideMark/>
          </w:tcPr>
          <w:p w14:paraId="40D657A2" w14:textId="77777777" w:rsidR="00BC3D52" w:rsidRPr="00206E93" w:rsidRDefault="00BC3D52" w:rsidP="00BC3D52">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Líneas subterráneas</w:t>
            </w:r>
          </w:p>
        </w:tc>
        <w:tc>
          <w:tcPr>
            <w:tcW w:w="1705" w:type="dxa"/>
            <w:shd w:val="clear" w:color="auto" w:fill="BFBFBF" w:themeFill="background1" w:themeFillShade="BF"/>
            <w:noWrap/>
            <w:hideMark/>
          </w:tcPr>
          <w:p w14:paraId="79ECC295" w14:textId="77777777" w:rsidR="00BC3D52" w:rsidRPr="00206E93"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w:t>
            </w:r>
          </w:p>
        </w:tc>
        <w:tc>
          <w:tcPr>
            <w:tcW w:w="1704" w:type="dxa"/>
            <w:noWrap/>
          </w:tcPr>
          <w:p w14:paraId="0AF1BB14" w14:textId="00794427" w:rsidR="00BC3D52" w:rsidRPr="00EF3F98"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10,174,213,027.93</w:t>
            </w:r>
          </w:p>
        </w:tc>
        <w:tc>
          <w:tcPr>
            <w:tcW w:w="1705" w:type="dxa"/>
            <w:noWrap/>
          </w:tcPr>
          <w:p w14:paraId="76A2A5EF" w14:textId="55F99713" w:rsidR="00BC3D52" w:rsidRPr="00EF3F98"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466,504,539.04</w:t>
            </w:r>
          </w:p>
        </w:tc>
        <w:tc>
          <w:tcPr>
            <w:tcW w:w="1704" w:type="dxa"/>
            <w:noWrap/>
          </w:tcPr>
          <w:p w14:paraId="58C4C074" w14:textId="36F732F1" w:rsidR="00BC3D52" w:rsidRPr="00EF3F98"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w:t>
            </w:r>
          </w:p>
        </w:tc>
        <w:tc>
          <w:tcPr>
            <w:tcW w:w="1711" w:type="dxa"/>
            <w:noWrap/>
          </w:tcPr>
          <w:p w14:paraId="0F17FB15" w14:textId="33A18CC1" w:rsidR="00BC3D52" w:rsidRPr="00206E93"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8A2A33">
              <w:rPr>
                <w:rFonts w:eastAsia="Times New Roman" w:cs="Times New Roman"/>
                <w:b/>
                <w:bCs/>
                <w:sz w:val="16"/>
                <w:szCs w:val="16"/>
                <w:lang w:eastAsia="es-CO"/>
              </w:rPr>
              <w:t>10,640,717,566.96</w:t>
            </w:r>
          </w:p>
        </w:tc>
      </w:tr>
      <w:tr w:rsidR="008A2A33" w:rsidRPr="008A2A33" w14:paraId="4F2CD087" w14:textId="77777777" w:rsidTr="008A2A33">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505" w:type="dxa"/>
            <w:noWrap/>
            <w:hideMark/>
          </w:tcPr>
          <w:p w14:paraId="20A9BD43" w14:textId="77777777" w:rsidR="00BC3D52" w:rsidRPr="00206E93" w:rsidRDefault="00BC3D52" w:rsidP="00BC3D52">
            <w:pPr>
              <w:jc w:val="center"/>
              <w:rPr>
                <w:rFonts w:eastAsia="Times New Roman" w:cs="Times New Roman"/>
                <w:color w:val="auto"/>
                <w:sz w:val="16"/>
                <w:szCs w:val="16"/>
                <w:lang w:eastAsia="es-CO"/>
              </w:rPr>
            </w:pPr>
            <w:r w:rsidRPr="00206E93">
              <w:rPr>
                <w:rFonts w:eastAsia="Times New Roman" w:cs="Times New Roman"/>
                <w:sz w:val="16"/>
                <w:szCs w:val="16"/>
                <w:lang w:eastAsia="es-CO"/>
              </w:rPr>
              <w:t>9</w:t>
            </w:r>
          </w:p>
        </w:tc>
        <w:tc>
          <w:tcPr>
            <w:tcW w:w="1705" w:type="dxa"/>
            <w:noWrap/>
            <w:hideMark/>
          </w:tcPr>
          <w:p w14:paraId="2ACE7D12" w14:textId="77777777" w:rsidR="00BC3D52" w:rsidRPr="00206E93" w:rsidRDefault="00BC3D52" w:rsidP="00BC3D5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Equipos de línea</w:t>
            </w:r>
          </w:p>
        </w:tc>
        <w:tc>
          <w:tcPr>
            <w:tcW w:w="1705" w:type="dxa"/>
            <w:shd w:val="clear" w:color="auto" w:fill="BFBFBF" w:themeFill="background1" w:themeFillShade="BF"/>
            <w:noWrap/>
            <w:hideMark/>
          </w:tcPr>
          <w:p w14:paraId="4EA0EB30" w14:textId="77777777" w:rsidR="00BC3D52" w:rsidRPr="00206E93"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w:t>
            </w:r>
          </w:p>
        </w:tc>
        <w:tc>
          <w:tcPr>
            <w:tcW w:w="1704" w:type="dxa"/>
            <w:noWrap/>
          </w:tcPr>
          <w:p w14:paraId="0E6B6D80" w14:textId="6EF43DA1" w:rsidR="00BC3D52" w:rsidRPr="00EF3F98"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12,206,295,200.00</w:t>
            </w:r>
          </w:p>
        </w:tc>
        <w:tc>
          <w:tcPr>
            <w:tcW w:w="1705" w:type="dxa"/>
            <w:noWrap/>
          </w:tcPr>
          <w:p w14:paraId="4A5491E7" w14:textId="69D81826" w:rsidR="00BC3D52" w:rsidRPr="00EF3F98"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1,193,516,000.00</w:t>
            </w:r>
          </w:p>
        </w:tc>
        <w:tc>
          <w:tcPr>
            <w:tcW w:w="1704" w:type="dxa"/>
            <w:noWrap/>
          </w:tcPr>
          <w:p w14:paraId="296E32EC" w14:textId="42844D76" w:rsidR="00BC3D52" w:rsidRPr="00EF3F98"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EF3F98">
              <w:rPr>
                <w:rFonts w:eastAsia="Times New Roman" w:cs="Times New Roman"/>
                <w:sz w:val="16"/>
                <w:szCs w:val="16"/>
                <w:lang w:eastAsia="es-CO"/>
              </w:rPr>
              <w:t>-</w:t>
            </w:r>
          </w:p>
        </w:tc>
        <w:tc>
          <w:tcPr>
            <w:tcW w:w="1711" w:type="dxa"/>
            <w:noWrap/>
          </w:tcPr>
          <w:p w14:paraId="03A43FB6" w14:textId="563A3929" w:rsidR="00BC3D52" w:rsidRPr="00206E93"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8A2A33">
              <w:rPr>
                <w:rFonts w:eastAsia="Times New Roman" w:cs="Times New Roman"/>
                <w:b/>
                <w:bCs/>
                <w:sz w:val="16"/>
                <w:szCs w:val="16"/>
                <w:lang w:eastAsia="es-CO"/>
              </w:rPr>
              <w:t>13,399,811,200.00</w:t>
            </w:r>
          </w:p>
        </w:tc>
      </w:tr>
      <w:tr w:rsidR="008A2A33" w:rsidRPr="008A2A33" w14:paraId="59CD3A91" w14:textId="77777777" w:rsidTr="008A2A33">
        <w:trPr>
          <w:cnfStyle w:val="000000010000" w:firstRow="0" w:lastRow="0" w:firstColumn="0" w:lastColumn="0" w:oddVBand="0" w:evenVBand="0" w:oddHBand="0" w:evenHBand="1"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505" w:type="dxa"/>
            <w:noWrap/>
            <w:hideMark/>
          </w:tcPr>
          <w:p w14:paraId="0548B9B7" w14:textId="77777777" w:rsidR="00BC3D52" w:rsidRPr="00206E93" w:rsidRDefault="00BC3D52" w:rsidP="00BC3D52">
            <w:pPr>
              <w:jc w:val="center"/>
              <w:rPr>
                <w:rFonts w:eastAsia="Times New Roman" w:cs="Times New Roman"/>
                <w:color w:val="auto"/>
                <w:sz w:val="16"/>
                <w:szCs w:val="16"/>
                <w:lang w:eastAsia="es-CO"/>
              </w:rPr>
            </w:pPr>
            <w:r w:rsidRPr="00206E93">
              <w:rPr>
                <w:rFonts w:eastAsia="Times New Roman" w:cs="Times New Roman"/>
                <w:sz w:val="16"/>
                <w:szCs w:val="16"/>
                <w:lang w:eastAsia="es-CO"/>
              </w:rPr>
              <w:t>10</w:t>
            </w:r>
          </w:p>
        </w:tc>
        <w:tc>
          <w:tcPr>
            <w:tcW w:w="1705" w:type="dxa"/>
            <w:noWrap/>
            <w:hideMark/>
          </w:tcPr>
          <w:p w14:paraId="52095FD2" w14:textId="77777777" w:rsidR="00BC3D52" w:rsidRPr="00206E93" w:rsidRDefault="00BC3D52" w:rsidP="00BC3D52">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Centro de control</w:t>
            </w:r>
          </w:p>
        </w:tc>
        <w:tc>
          <w:tcPr>
            <w:tcW w:w="1705" w:type="dxa"/>
            <w:shd w:val="clear" w:color="auto" w:fill="BFBFBF" w:themeFill="background1" w:themeFillShade="BF"/>
            <w:noWrap/>
            <w:hideMark/>
          </w:tcPr>
          <w:p w14:paraId="4CADD9EC" w14:textId="77777777" w:rsidR="00BC3D52" w:rsidRPr="006611B6"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6611B6">
              <w:rPr>
                <w:rFonts w:eastAsia="Times New Roman" w:cs="Times New Roman"/>
                <w:sz w:val="16"/>
                <w:szCs w:val="16"/>
                <w:lang w:eastAsia="es-CO"/>
              </w:rPr>
              <w:t>-</w:t>
            </w:r>
          </w:p>
        </w:tc>
        <w:tc>
          <w:tcPr>
            <w:tcW w:w="1704" w:type="dxa"/>
            <w:noWrap/>
          </w:tcPr>
          <w:p w14:paraId="448E1C62" w14:textId="79022B4D" w:rsidR="00BC3D52" w:rsidRPr="006611B6"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6611B6">
              <w:rPr>
                <w:rFonts w:eastAsia="Times New Roman" w:cs="Times New Roman"/>
                <w:sz w:val="16"/>
                <w:szCs w:val="16"/>
                <w:lang w:eastAsia="es-CO"/>
              </w:rPr>
              <w:t>3,634,142,544.84</w:t>
            </w:r>
          </w:p>
        </w:tc>
        <w:tc>
          <w:tcPr>
            <w:tcW w:w="1705" w:type="dxa"/>
            <w:noWrap/>
          </w:tcPr>
          <w:p w14:paraId="1AE3B9CA" w14:textId="4A5F4456" w:rsidR="00BC3D52" w:rsidRPr="006611B6"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6611B6">
              <w:rPr>
                <w:rFonts w:eastAsia="Times New Roman" w:cs="Times New Roman"/>
                <w:sz w:val="16"/>
                <w:szCs w:val="16"/>
                <w:lang w:eastAsia="es-CO"/>
              </w:rPr>
              <w:t>3,634,142,544.84</w:t>
            </w:r>
          </w:p>
        </w:tc>
        <w:tc>
          <w:tcPr>
            <w:tcW w:w="1704" w:type="dxa"/>
            <w:noWrap/>
          </w:tcPr>
          <w:p w14:paraId="2D5B3A39" w14:textId="3C389BA3" w:rsidR="00BC3D52" w:rsidRPr="006611B6"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6611B6">
              <w:rPr>
                <w:rFonts w:eastAsia="Times New Roman" w:cs="Times New Roman"/>
                <w:sz w:val="16"/>
                <w:szCs w:val="16"/>
                <w:lang w:eastAsia="es-CO"/>
              </w:rPr>
              <w:t>3,634,142,544.84</w:t>
            </w:r>
          </w:p>
        </w:tc>
        <w:tc>
          <w:tcPr>
            <w:tcW w:w="1711" w:type="dxa"/>
            <w:noWrap/>
          </w:tcPr>
          <w:p w14:paraId="1FD56D42" w14:textId="36D0D699" w:rsidR="00BC3D52" w:rsidRPr="00206E93"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8A2A33">
              <w:rPr>
                <w:rFonts w:eastAsia="Times New Roman" w:cs="Times New Roman"/>
                <w:b/>
                <w:bCs/>
                <w:sz w:val="16"/>
                <w:szCs w:val="16"/>
                <w:lang w:eastAsia="es-CO"/>
              </w:rPr>
              <w:t>10,902,427,634.52</w:t>
            </w:r>
          </w:p>
        </w:tc>
      </w:tr>
      <w:tr w:rsidR="008A2A33" w:rsidRPr="008A2A33" w14:paraId="04BA4886" w14:textId="77777777" w:rsidTr="008A2A33">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505" w:type="dxa"/>
            <w:noWrap/>
            <w:hideMark/>
          </w:tcPr>
          <w:p w14:paraId="314CB25B" w14:textId="77777777" w:rsidR="00BC3D52" w:rsidRPr="00206E93" w:rsidRDefault="00BC3D52" w:rsidP="00BC3D52">
            <w:pPr>
              <w:jc w:val="center"/>
              <w:rPr>
                <w:rFonts w:eastAsia="Times New Roman" w:cs="Times New Roman"/>
                <w:color w:val="auto"/>
                <w:sz w:val="16"/>
                <w:szCs w:val="16"/>
                <w:lang w:eastAsia="es-CO"/>
              </w:rPr>
            </w:pPr>
            <w:r w:rsidRPr="00206E93">
              <w:rPr>
                <w:rFonts w:eastAsia="Times New Roman" w:cs="Times New Roman"/>
                <w:sz w:val="16"/>
                <w:szCs w:val="16"/>
                <w:lang w:eastAsia="es-CO"/>
              </w:rPr>
              <w:t>11</w:t>
            </w:r>
          </w:p>
        </w:tc>
        <w:tc>
          <w:tcPr>
            <w:tcW w:w="1705" w:type="dxa"/>
            <w:noWrap/>
            <w:hideMark/>
          </w:tcPr>
          <w:p w14:paraId="66631331" w14:textId="77777777" w:rsidR="00BC3D52" w:rsidRPr="00206E93" w:rsidRDefault="00BC3D52" w:rsidP="00BC3D52">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 xml:space="preserve">Transformadores de distribución </w:t>
            </w:r>
          </w:p>
        </w:tc>
        <w:tc>
          <w:tcPr>
            <w:tcW w:w="1705" w:type="dxa"/>
            <w:noWrap/>
          </w:tcPr>
          <w:p w14:paraId="01E4193E" w14:textId="25A2942E" w:rsidR="00BC3D52" w:rsidRPr="006611B6"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6611B6">
              <w:rPr>
                <w:rFonts w:eastAsia="Times New Roman" w:cs="Times New Roman"/>
                <w:sz w:val="16"/>
                <w:szCs w:val="16"/>
                <w:lang w:eastAsia="es-CO"/>
              </w:rPr>
              <w:t>36,276,656,273.00</w:t>
            </w:r>
          </w:p>
        </w:tc>
        <w:tc>
          <w:tcPr>
            <w:tcW w:w="1704" w:type="dxa"/>
            <w:shd w:val="clear" w:color="auto" w:fill="BFBFBF" w:themeFill="background1" w:themeFillShade="BF"/>
            <w:noWrap/>
          </w:tcPr>
          <w:p w14:paraId="26A91C38" w14:textId="7FBAD5DF" w:rsidR="00BC3D52" w:rsidRPr="006611B6"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705" w:type="dxa"/>
            <w:shd w:val="clear" w:color="auto" w:fill="BFBFBF" w:themeFill="background1" w:themeFillShade="BF"/>
            <w:noWrap/>
          </w:tcPr>
          <w:p w14:paraId="40AC48C4" w14:textId="7A8C9EF3" w:rsidR="00BC3D52" w:rsidRPr="006611B6"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704" w:type="dxa"/>
            <w:shd w:val="clear" w:color="auto" w:fill="BFBFBF" w:themeFill="background1" w:themeFillShade="BF"/>
            <w:noWrap/>
          </w:tcPr>
          <w:p w14:paraId="2C706F6E" w14:textId="349606B8" w:rsidR="00BC3D52" w:rsidRPr="006611B6"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711" w:type="dxa"/>
            <w:noWrap/>
          </w:tcPr>
          <w:p w14:paraId="706F9BD6" w14:textId="5C4A30FA" w:rsidR="00BC3D52" w:rsidRPr="00206E93"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8A2A33">
              <w:rPr>
                <w:rFonts w:eastAsia="Times New Roman" w:cs="Times New Roman"/>
                <w:b/>
                <w:bCs/>
                <w:sz w:val="16"/>
                <w:szCs w:val="16"/>
                <w:lang w:eastAsia="es-CO"/>
              </w:rPr>
              <w:t>36,276,656,273.00</w:t>
            </w:r>
          </w:p>
        </w:tc>
      </w:tr>
      <w:tr w:rsidR="008A2A33" w:rsidRPr="008A2A33" w14:paraId="6FF2F773" w14:textId="77777777" w:rsidTr="008A2A33">
        <w:trPr>
          <w:cnfStyle w:val="000000010000" w:firstRow="0" w:lastRow="0" w:firstColumn="0" w:lastColumn="0" w:oddVBand="0" w:evenVBand="0" w:oddHBand="0" w:evenHBand="1"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505" w:type="dxa"/>
            <w:noWrap/>
            <w:hideMark/>
          </w:tcPr>
          <w:p w14:paraId="797CDFD1" w14:textId="77777777" w:rsidR="00BC3D52" w:rsidRPr="00206E93" w:rsidRDefault="00BC3D52" w:rsidP="00BC3D52">
            <w:pPr>
              <w:jc w:val="center"/>
              <w:rPr>
                <w:rFonts w:eastAsia="Times New Roman" w:cs="Times New Roman"/>
                <w:color w:val="auto"/>
                <w:sz w:val="16"/>
                <w:szCs w:val="16"/>
                <w:lang w:eastAsia="es-CO"/>
              </w:rPr>
            </w:pPr>
            <w:r w:rsidRPr="00206E93">
              <w:rPr>
                <w:rFonts w:eastAsia="Times New Roman" w:cs="Times New Roman"/>
                <w:sz w:val="16"/>
                <w:szCs w:val="16"/>
                <w:lang w:eastAsia="es-CO"/>
              </w:rPr>
              <w:t>12</w:t>
            </w:r>
          </w:p>
        </w:tc>
        <w:tc>
          <w:tcPr>
            <w:tcW w:w="1705" w:type="dxa"/>
            <w:noWrap/>
            <w:hideMark/>
          </w:tcPr>
          <w:p w14:paraId="46A35C65" w14:textId="77777777" w:rsidR="00BC3D52" w:rsidRPr="00206E93" w:rsidRDefault="00BC3D52" w:rsidP="00BC3D52">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206E93">
              <w:rPr>
                <w:rFonts w:eastAsia="Times New Roman" w:cs="Times New Roman"/>
                <w:sz w:val="16"/>
                <w:szCs w:val="16"/>
                <w:lang w:eastAsia="es-CO"/>
              </w:rPr>
              <w:t>Redes de distribución</w:t>
            </w:r>
          </w:p>
        </w:tc>
        <w:tc>
          <w:tcPr>
            <w:tcW w:w="1705" w:type="dxa"/>
            <w:noWrap/>
          </w:tcPr>
          <w:p w14:paraId="041C781F" w14:textId="7FC087C7" w:rsidR="00BC3D52" w:rsidRPr="006611B6"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6611B6">
              <w:rPr>
                <w:rFonts w:eastAsia="Times New Roman" w:cs="Times New Roman"/>
                <w:sz w:val="16"/>
                <w:szCs w:val="16"/>
                <w:lang w:eastAsia="es-CO"/>
              </w:rPr>
              <w:t>54,787,441,443.90</w:t>
            </w:r>
          </w:p>
        </w:tc>
        <w:tc>
          <w:tcPr>
            <w:tcW w:w="1704" w:type="dxa"/>
            <w:shd w:val="clear" w:color="auto" w:fill="BFBFBF" w:themeFill="background1" w:themeFillShade="BF"/>
            <w:noWrap/>
          </w:tcPr>
          <w:p w14:paraId="5338E02D" w14:textId="35694CC8" w:rsidR="00BC3D52" w:rsidRPr="006611B6"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705" w:type="dxa"/>
            <w:shd w:val="clear" w:color="auto" w:fill="BFBFBF" w:themeFill="background1" w:themeFillShade="BF"/>
            <w:noWrap/>
          </w:tcPr>
          <w:p w14:paraId="47FD10EA" w14:textId="3CD43E5D" w:rsidR="00BC3D52" w:rsidRPr="006611B6"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704" w:type="dxa"/>
            <w:shd w:val="clear" w:color="auto" w:fill="BFBFBF" w:themeFill="background1" w:themeFillShade="BF"/>
            <w:noWrap/>
          </w:tcPr>
          <w:p w14:paraId="527EB06E" w14:textId="0202B487" w:rsidR="00BC3D52" w:rsidRPr="006611B6"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711" w:type="dxa"/>
            <w:noWrap/>
          </w:tcPr>
          <w:p w14:paraId="61435A7A" w14:textId="011672A6" w:rsidR="00BC3D52" w:rsidRPr="00206E93" w:rsidRDefault="00BC3D52" w:rsidP="008A2A33">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8A2A33">
              <w:rPr>
                <w:rFonts w:eastAsia="Times New Roman" w:cs="Times New Roman"/>
                <w:b/>
                <w:bCs/>
                <w:sz w:val="16"/>
                <w:szCs w:val="16"/>
                <w:lang w:eastAsia="es-CO"/>
              </w:rPr>
              <w:t>54,787,441,443.90</w:t>
            </w:r>
          </w:p>
        </w:tc>
      </w:tr>
      <w:tr w:rsidR="008A2A33" w:rsidRPr="008A2A33" w14:paraId="0011A576" w14:textId="77777777" w:rsidTr="008A2A33">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211" w:type="dxa"/>
            <w:gridSpan w:val="2"/>
            <w:noWrap/>
            <w:hideMark/>
          </w:tcPr>
          <w:p w14:paraId="570BDDA7" w14:textId="77777777" w:rsidR="00A81BB9" w:rsidRPr="00206E93" w:rsidRDefault="00A81BB9" w:rsidP="00A81BB9">
            <w:pPr>
              <w:jc w:val="center"/>
              <w:rPr>
                <w:rFonts w:eastAsia="Times New Roman" w:cs="Times New Roman"/>
                <w:color w:val="auto"/>
                <w:sz w:val="16"/>
                <w:szCs w:val="16"/>
                <w:lang w:eastAsia="es-CO"/>
              </w:rPr>
            </w:pPr>
            <w:r w:rsidRPr="00206E93">
              <w:rPr>
                <w:rFonts w:eastAsia="Times New Roman" w:cs="Times New Roman"/>
                <w:sz w:val="16"/>
                <w:szCs w:val="16"/>
                <w:lang w:eastAsia="es-CO"/>
              </w:rPr>
              <w:t>TOTAL</w:t>
            </w:r>
          </w:p>
        </w:tc>
        <w:tc>
          <w:tcPr>
            <w:tcW w:w="1705" w:type="dxa"/>
            <w:shd w:val="clear" w:color="auto" w:fill="BFE2A8" w:themeFill="accent2" w:themeFillTint="66"/>
            <w:noWrap/>
          </w:tcPr>
          <w:p w14:paraId="7D4338A4" w14:textId="52755E45" w:rsidR="00A81BB9" w:rsidRPr="00206E93" w:rsidRDefault="00B30E09"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B30E09">
              <w:rPr>
                <w:rFonts w:eastAsia="Times New Roman" w:cs="Times New Roman"/>
                <w:b/>
                <w:bCs/>
                <w:sz w:val="16"/>
                <w:szCs w:val="16"/>
                <w:lang w:eastAsia="es-CO"/>
              </w:rPr>
              <w:t>91,064,097,716.90</w:t>
            </w:r>
          </w:p>
        </w:tc>
        <w:tc>
          <w:tcPr>
            <w:tcW w:w="1704" w:type="dxa"/>
            <w:shd w:val="clear" w:color="auto" w:fill="BFE2A8" w:themeFill="accent2" w:themeFillTint="66"/>
            <w:noWrap/>
          </w:tcPr>
          <w:p w14:paraId="16E0D7C7" w14:textId="2E67250C" w:rsidR="00A81BB9" w:rsidRPr="00206E93"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BC3D52">
              <w:rPr>
                <w:rFonts w:eastAsia="Times New Roman" w:cs="Times New Roman"/>
                <w:b/>
                <w:bCs/>
                <w:sz w:val="16"/>
                <w:szCs w:val="16"/>
                <w:lang w:eastAsia="es-CO"/>
              </w:rPr>
              <w:t>177,970,709,757.60</w:t>
            </w:r>
          </w:p>
        </w:tc>
        <w:tc>
          <w:tcPr>
            <w:tcW w:w="1705" w:type="dxa"/>
            <w:shd w:val="clear" w:color="auto" w:fill="BFE2A8" w:themeFill="accent2" w:themeFillTint="66"/>
            <w:noWrap/>
          </w:tcPr>
          <w:p w14:paraId="4AC2ABDC" w14:textId="6C31EEBE" w:rsidR="00A81BB9" w:rsidRPr="00206E93" w:rsidRDefault="008A2A33"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8A2A33">
              <w:rPr>
                <w:rFonts w:eastAsia="Times New Roman" w:cs="Times New Roman"/>
                <w:b/>
                <w:bCs/>
                <w:sz w:val="16"/>
                <w:szCs w:val="16"/>
                <w:lang w:eastAsia="es-CO"/>
              </w:rPr>
              <w:t>34,261,492,121.60</w:t>
            </w:r>
          </w:p>
        </w:tc>
        <w:tc>
          <w:tcPr>
            <w:tcW w:w="1704" w:type="dxa"/>
            <w:shd w:val="clear" w:color="auto" w:fill="BFE2A8" w:themeFill="accent2" w:themeFillTint="66"/>
            <w:noWrap/>
          </w:tcPr>
          <w:p w14:paraId="2947E41A" w14:textId="72F778D8" w:rsidR="00A81BB9" w:rsidRPr="00206E93" w:rsidRDefault="008A2A33"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8A2A33">
              <w:rPr>
                <w:rFonts w:eastAsia="Times New Roman" w:cs="Times New Roman"/>
                <w:b/>
                <w:bCs/>
                <w:sz w:val="16"/>
                <w:szCs w:val="16"/>
                <w:lang w:eastAsia="es-CO"/>
              </w:rPr>
              <w:t>26,450,316,833.46</w:t>
            </w:r>
          </w:p>
        </w:tc>
        <w:tc>
          <w:tcPr>
            <w:tcW w:w="1711" w:type="dxa"/>
            <w:shd w:val="clear" w:color="auto" w:fill="BFE2A8" w:themeFill="accent2" w:themeFillTint="66"/>
            <w:noWrap/>
          </w:tcPr>
          <w:p w14:paraId="4606705E" w14:textId="3C1D4523" w:rsidR="00A81BB9" w:rsidRPr="00206E93" w:rsidRDefault="00BC3D52" w:rsidP="008A2A33">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BC3D52">
              <w:rPr>
                <w:rFonts w:eastAsia="Times New Roman" w:cs="Times New Roman"/>
                <w:b/>
                <w:bCs/>
                <w:sz w:val="16"/>
                <w:szCs w:val="16"/>
                <w:lang w:eastAsia="es-CO"/>
              </w:rPr>
              <w:t>329,746,616,429.56</w:t>
            </w:r>
          </w:p>
        </w:tc>
      </w:tr>
      <w:tr w:rsidR="00D126F8" w:rsidRPr="002946A9" w14:paraId="27A0258A" w14:textId="77777777" w:rsidTr="008A2A33">
        <w:trPr>
          <w:cnfStyle w:val="000000010000" w:firstRow="0" w:lastRow="0" w:firstColumn="0" w:lastColumn="0" w:oddVBand="0" w:evenVBand="0" w:oddHBand="0" w:evenHBand="1"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10744" w:type="dxa"/>
            <w:gridSpan w:val="7"/>
            <w:shd w:val="clear" w:color="auto" w:fill="DFF0D3" w:themeFill="accent2" w:themeFillTint="33"/>
            <w:noWrap/>
          </w:tcPr>
          <w:p w14:paraId="40055524" w14:textId="77777777" w:rsidR="00D126F8" w:rsidRPr="002946A9" w:rsidRDefault="00D126F8" w:rsidP="00EE4DDE">
            <w:pPr>
              <w:jc w:val="both"/>
              <w:rPr>
                <w:rFonts w:eastAsia="Times New Roman" w:cs="Times New Roman"/>
                <w:b w:val="0"/>
                <w:bCs w:val="0"/>
                <w:sz w:val="16"/>
                <w:szCs w:val="16"/>
                <w:lang w:eastAsia="es-CO"/>
              </w:rPr>
            </w:pPr>
            <w:r w:rsidRPr="00206E93">
              <w:rPr>
                <w:rFonts w:cs="Calibri"/>
                <w:i/>
                <w:color w:val="000000"/>
                <w:sz w:val="16"/>
                <w:szCs w:val="16"/>
              </w:rPr>
              <w:t>*Todos los valores están en pesos a diciembre del 2017.</w:t>
            </w:r>
          </w:p>
        </w:tc>
      </w:tr>
    </w:tbl>
    <w:p w14:paraId="7B6BA58E" w14:textId="59339904" w:rsidR="00A93762" w:rsidRPr="002946A9" w:rsidRDefault="00A93762" w:rsidP="00DF29CB">
      <w:pPr>
        <w:ind w:left="360"/>
        <w:jc w:val="both"/>
        <w:rPr>
          <w:rFonts w:ascii="Trebuchet MS" w:hAnsi="Trebuchet MS" w:cs="Arial"/>
        </w:rPr>
      </w:pPr>
    </w:p>
    <w:p w14:paraId="44733AA5" w14:textId="2C9E86BB" w:rsidR="00917008" w:rsidRPr="002946A9" w:rsidRDefault="008A59A5" w:rsidP="00DF29CB">
      <w:pPr>
        <w:ind w:left="360"/>
        <w:jc w:val="both"/>
        <w:rPr>
          <w:rFonts w:ascii="Trebuchet MS" w:hAnsi="Trebuchet MS" w:cs="Arial"/>
        </w:rPr>
      </w:pPr>
      <w:r w:rsidRPr="002946A9">
        <w:rPr>
          <w:rFonts w:ascii="Trebuchet MS" w:hAnsi="Trebuchet MS" w:cs="Arial"/>
        </w:rPr>
        <w:t>Ahora, p</w:t>
      </w:r>
      <w:r w:rsidR="006A6A1F" w:rsidRPr="002946A9">
        <w:rPr>
          <w:rFonts w:ascii="Trebuchet MS" w:hAnsi="Trebuchet MS" w:cs="Arial"/>
        </w:rPr>
        <w:t xml:space="preserve">ara calcular el </w:t>
      </w:r>
      <w:r w:rsidR="00EC0E54" w:rsidRPr="002946A9">
        <w:rPr>
          <w:rFonts w:ascii="Trebuchet MS" w:hAnsi="Trebuchet MS" w:cs="Arial"/>
        </w:rPr>
        <w:t>excedente</w:t>
      </w:r>
      <w:r w:rsidR="006A6A1F" w:rsidRPr="002946A9">
        <w:rPr>
          <w:rFonts w:ascii="Trebuchet MS" w:hAnsi="Trebuchet MS" w:cs="Arial"/>
        </w:rPr>
        <w:t xml:space="preserve"> de inversiones ejecutadas en el</w:t>
      </w:r>
      <w:r w:rsidR="00D209F8" w:rsidRPr="002946A9">
        <w:rPr>
          <w:rFonts w:ascii="Trebuchet MS" w:hAnsi="Trebuchet MS" w:cs="Arial"/>
        </w:rPr>
        <w:t xml:space="preserve"> año </w:t>
      </w:r>
      <w:r w:rsidR="009139A7" w:rsidRPr="002946A9">
        <w:rPr>
          <w:rFonts w:ascii="Trebuchet MS" w:hAnsi="Trebuchet MS" w:cs="Arial"/>
        </w:rPr>
        <w:t>202</w:t>
      </w:r>
      <w:r w:rsidR="009139A7">
        <w:rPr>
          <w:rFonts w:ascii="Trebuchet MS" w:hAnsi="Trebuchet MS" w:cs="Arial"/>
        </w:rPr>
        <w:t>2</w:t>
      </w:r>
      <w:r w:rsidR="009139A7" w:rsidRPr="002946A9">
        <w:rPr>
          <w:rFonts w:ascii="Trebuchet MS" w:hAnsi="Trebuchet MS" w:cs="Arial"/>
        </w:rPr>
        <w:t xml:space="preserve"> </w:t>
      </w:r>
      <w:r w:rsidR="006A6A1F" w:rsidRPr="002946A9">
        <w:rPr>
          <w:rFonts w:ascii="Trebuchet MS" w:hAnsi="Trebuchet MS" w:cs="Arial"/>
        </w:rPr>
        <w:t xml:space="preserve">y que serán incluidas </w:t>
      </w:r>
      <w:r w:rsidR="008232E8" w:rsidRPr="002946A9">
        <w:rPr>
          <w:rFonts w:ascii="Trebuchet MS" w:hAnsi="Trebuchet MS" w:cs="Arial"/>
        </w:rPr>
        <w:t xml:space="preserve">y reconocidas en la ejecución del año </w:t>
      </w:r>
      <w:r w:rsidR="009139A7" w:rsidRPr="002946A9">
        <w:rPr>
          <w:rFonts w:ascii="Trebuchet MS" w:hAnsi="Trebuchet MS" w:cs="Arial"/>
        </w:rPr>
        <w:t>202</w:t>
      </w:r>
      <w:r w:rsidR="009139A7">
        <w:rPr>
          <w:rFonts w:ascii="Trebuchet MS" w:hAnsi="Trebuchet MS" w:cs="Arial"/>
        </w:rPr>
        <w:t>3</w:t>
      </w:r>
      <w:r w:rsidR="008232E8" w:rsidRPr="002946A9">
        <w:rPr>
          <w:rFonts w:ascii="Trebuchet MS" w:hAnsi="Trebuchet MS" w:cs="Arial"/>
        </w:rPr>
        <w:t xml:space="preserve">, </w:t>
      </w:r>
      <w:r w:rsidR="009817FF" w:rsidRPr="002946A9">
        <w:rPr>
          <w:rFonts w:ascii="Trebuchet MS" w:hAnsi="Trebuchet MS" w:cs="Arial"/>
        </w:rPr>
        <w:t xml:space="preserve">a los valores sin acotar, dados en </w:t>
      </w:r>
      <w:r w:rsidR="00D51548" w:rsidRPr="002946A9">
        <w:rPr>
          <w:rFonts w:ascii="Trebuchet MS" w:hAnsi="Trebuchet MS" w:cs="Arial"/>
        </w:rPr>
        <w:t xml:space="preserve">la </w:t>
      </w:r>
      <w:r w:rsidR="00D51548" w:rsidRPr="002946A9">
        <w:rPr>
          <w:rFonts w:ascii="Trebuchet MS" w:hAnsi="Trebuchet MS" w:cs="Arial"/>
        </w:rPr>
        <w:fldChar w:fldCharType="begin"/>
      </w:r>
      <w:r w:rsidR="00D51548" w:rsidRPr="002946A9">
        <w:rPr>
          <w:rFonts w:ascii="Trebuchet MS" w:hAnsi="Trebuchet MS" w:cs="Arial"/>
        </w:rPr>
        <w:instrText xml:space="preserve"> REF _Ref67390194 \h </w:instrText>
      </w:r>
      <w:r w:rsidR="002946A9" w:rsidRPr="002946A9">
        <w:rPr>
          <w:rFonts w:ascii="Trebuchet MS" w:hAnsi="Trebuchet MS" w:cs="Arial"/>
        </w:rPr>
        <w:instrText xml:space="preserve"> \* MERGEFORMAT </w:instrText>
      </w:r>
      <w:r w:rsidR="00D51548" w:rsidRPr="002946A9">
        <w:rPr>
          <w:rFonts w:ascii="Trebuchet MS" w:hAnsi="Trebuchet MS" w:cs="Arial"/>
        </w:rPr>
      </w:r>
      <w:r w:rsidR="00D51548" w:rsidRPr="002946A9">
        <w:rPr>
          <w:rFonts w:ascii="Trebuchet MS" w:hAnsi="Trebuchet MS" w:cs="Arial"/>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1</w:t>
      </w:r>
      <w:r w:rsidR="00D51548" w:rsidRPr="002946A9">
        <w:rPr>
          <w:rFonts w:ascii="Trebuchet MS" w:hAnsi="Trebuchet MS" w:cs="Arial"/>
        </w:rPr>
        <w:fldChar w:fldCharType="end"/>
      </w:r>
      <w:r w:rsidR="00D51548" w:rsidRPr="002946A9">
        <w:rPr>
          <w:rFonts w:ascii="Trebuchet MS" w:hAnsi="Trebuchet MS" w:cs="Arial"/>
        </w:rPr>
        <w:t xml:space="preserve">, </w:t>
      </w:r>
      <w:r w:rsidR="00EC0E54" w:rsidRPr="002946A9">
        <w:rPr>
          <w:rFonts w:ascii="Trebuchet MS" w:hAnsi="Trebuchet MS" w:cs="Arial"/>
        </w:rPr>
        <w:t>se</w:t>
      </w:r>
      <w:r w:rsidR="00D51548" w:rsidRPr="002946A9">
        <w:rPr>
          <w:rFonts w:ascii="Trebuchet MS" w:hAnsi="Trebuchet MS" w:cs="Arial"/>
        </w:rPr>
        <w:t xml:space="preserve"> le</w:t>
      </w:r>
      <w:r w:rsidR="002E3318" w:rsidRPr="002946A9">
        <w:rPr>
          <w:rFonts w:ascii="Trebuchet MS" w:hAnsi="Trebuchet MS" w:cs="Arial"/>
        </w:rPr>
        <w:t xml:space="preserve"> restan los valores acotados</w:t>
      </w:r>
      <w:r w:rsidR="003E4097" w:rsidRPr="002946A9">
        <w:rPr>
          <w:rFonts w:ascii="Trebuchet MS" w:hAnsi="Trebuchet MS" w:cs="Arial"/>
        </w:rPr>
        <w:t xml:space="preserve"> dados en la </w:t>
      </w:r>
      <w:r w:rsidR="003E4097" w:rsidRPr="002946A9">
        <w:rPr>
          <w:rFonts w:ascii="Trebuchet MS" w:hAnsi="Trebuchet MS" w:cs="Arial"/>
        </w:rPr>
        <w:fldChar w:fldCharType="begin"/>
      </w:r>
      <w:r w:rsidR="003E4097" w:rsidRPr="002946A9">
        <w:rPr>
          <w:rFonts w:ascii="Trebuchet MS" w:hAnsi="Trebuchet MS" w:cs="Arial"/>
        </w:rPr>
        <w:instrText xml:space="preserve"> REF _Ref67392343 \h </w:instrText>
      </w:r>
      <w:r w:rsidR="002946A9" w:rsidRPr="002946A9">
        <w:rPr>
          <w:rFonts w:ascii="Trebuchet MS" w:hAnsi="Trebuchet MS" w:cs="Arial"/>
        </w:rPr>
        <w:instrText xml:space="preserve"> \* MERGEFORMAT </w:instrText>
      </w:r>
      <w:r w:rsidR="003E4097" w:rsidRPr="002946A9">
        <w:rPr>
          <w:rFonts w:ascii="Trebuchet MS" w:hAnsi="Trebuchet MS" w:cs="Arial"/>
        </w:rPr>
      </w:r>
      <w:r w:rsidR="003E4097" w:rsidRPr="002946A9">
        <w:rPr>
          <w:rFonts w:ascii="Trebuchet MS" w:hAnsi="Trebuchet MS" w:cs="Arial"/>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2</w:t>
      </w:r>
      <w:r w:rsidR="003E4097" w:rsidRPr="002946A9">
        <w:rPr>
          <w:rFonts w:ascii="Trebuchet MS" w:hAnsi="Trebuchet MS" w:cs="Arial"/>
        </w:rPr>
        <w:fldChar w:fldCharType="end"/>
      </w:r>
      <w:r w:rsidR="003E4097" w:rsidRPr="002946A9">
        <w:rPr>
          <w:rFonts w:ascii="Trebuchet MS" w:hAnsi="Trebuchet MS" w:cs="Arial"/>
        </w:rPr>
        <w:t>,</w:t>
      </w:r>
      <w:r w:rsidR="00D51548" w:rsidRPr="002946A9">
        <w:rPr>
          <w:rFonts w:ascii="Trebuchet MS" w:hAnsi="Trebuchet MS" w:cs="Arial"/>
        </w:rPr>
        <w:t xml:space="preserve"> con lo cual, </w:t>
      </w:r>
      <w:r w:rsidR="00FB4638" w:rsidRPr="002946A9">
        <w:rPr>
          <w:rFonts w:ascii="Trebuchet MS" w:hAnsi="Trebuchet MS" w:cs="Arial"/>
        </w:rPr>
        <w:t xml:space="preserve">se obtienen los excedentes presentados en </w:t>
      </w:r>
      <w:r w:rsidR="00BE10B5" w:rsidRPr="002946A9">
        <w:rPr>
          <w:rFonts w:ascii="Trebuchet MS" w:hAnsi="Trebuchet MS" w:cs="Arial"/>
        </w:rPr>
        <w:t xml:space="preserve">la </w:t>
      </w:r>
      <w:r w:rsidR="00BE10B5" w:rsidRPr="002946A9">
        <w:rPr>
          <w:rFonts w:ascii="Trebuchet MS" w:hAnsi="Trebuchet MS" w:cs="Arial"/>
        </w:rPr>
        <w:fldChar w:fldCharType="begin"/>
      </w:r>
      <w:r w:rsidR="00BE10B5" w:rsidRPr="002946A9">
        <w:rPr>
          <w:rFonts w:ascii="Trebuchet MS" w:hAnsi="Trebuchet MS" w:cs="Arial"/>
        </w:rPr>
        <w:instrText xml:space="preserve"> REF _Ref67466986 \h </w:instrText>
      </w:r>
      <w:r w:rsidR="002946A9" w:rsidRPr="002946A9">
        <w:rPr>
          <w:rFonts w:ascii="Trebuchet MS" w:hAnsi="Trebuchet MS" w:cs="Arial"/>
        </w:rPr>
        <w:instrText xml:space="preserve"> \* MERGEFORMAT </w:instrText>
      </w:r>
      <w:r w:rsidR="00BE10B5" w:rsidRPr="002946A9">
        <w:rPr>
          <w:rFonts w:ascii="Trebuchet MS" w:hAnsi="Trebuchet MS" w:cs="Arial"/>
        </w:rPr>
      </w:r>
      <w:r w:rsidR="00BE10B5" w:rsidRPr="002946A9">
        <w:rPr>
          <w:rFonts w:ascii="Trebuchet MS" w:hAnsi="Trebuchet MS" w:cs="Arial"/>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5</w:t>
      </w:r>
      <w:r w:rsidR="00BE10B5" w:rsidRPr="002946A9">
        <w:rPr>
          <w:rFonts w:ascii="Trebuchet MS" w:hAnsi="Trebuchet MS" w:cs="Arial"/>
        </w:rPr>
        <w:fldChar w:fldCharType="end"/>
      </w:r>
      <w:r w:rsidR="00BE10B5" w:rsidRPr="002946A9">
        <w:rPr>
          <w:rFonts w:ascii="Trebuchet MS" w:hAnsi="Trebuchet MS" w:cs="Arial"/>
        </w:rPr>
        <w:t>.</w:t>
      </w:r>
    </w:p>
    <w:p w14:paraId="3C2CEEB3" w14:textId="77777777" w:rsidR="00FB02B8" w:rsidRPr="002946A9" w:rsidRDefault="00FB02B8" w:rsidP="00A93762">
      <w:pPr>
        <w:spacing w:after="0"/>
        <w:ind w:left="360"/>
        <w:jc w:val="both"/>
      </w:pPr>
    </w:p>
    <w:p w14:paraId="0F5727ED" w14:textId="52E782A1" w:rsidR="002A168D" w:rsidRPr="002946A9" w:rsidRDefault="002A168D" w:rsidP="00DF29CB">
      <w:pPr>
        <w:ind w:left="1416" w:hanging="1056"/>
        <w:jc w:val="both"/>
        <w:rPr>
          <w:rFonts w:ascii="Trebuchet MS" w:hAnsi="Trebuchet MS"/>
        </w:rPr>
      </w:pPr>
      <w:bookmarkStart w:id="190" w:name="_Ref67466986"/>
      <w:bookmarkStart w:id="191" w:name="_Toc131032795"/>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5</w:t>
      </w:r>
      <w:r w:rsidRPr="002946A9">
        <w:rPr>
          <w:rFonts w:ascii="Trebuchet MS" w:hAnsi="Trebuchet MS"/>
        </w:rPr>
        <w:fldChar w:fldCharType="end"/>
      </w:r>
      <w:bookmarkEnd w:id="190"/>
      <w:r w:rsidRPr="002946A9">
        <w:rPr>
          <w:rFonts w:ascii="Trebuchet MS" w:hAnsi="Trebuchet MS"/>
        </w:rPr>
        <w:t xml:space="preserve">  Excedente de las inversiones en activos puestos en operación en el sistema de EPM en el año </w:t>
      </w:r>
      <w:r w:rsidR="00FC1F7C" w:rsidRPr="002946A9">
        <w:rPr>
          <w:rFonts w:ascii="Trebuchet MS" w:hAnsi="Trebuchet MS"/>
        </w:rPr>
        <w:t>202</w:t>
      </w:r>
      <w:r w:rsidR="00FC1F7C">
        <w:rPr>
          <w:rFonts w:ascii="Trebuchet MS" w:hAnsi="Trebuchet MS"/>
        </w:rPr>
        <w:t>2</w:t>
      </w:r>
      <w:r w:rsidRPr="002946A9">
        <w:rPr>
          <w:rFonts w:ascii="Trebuchet MS" w:hAnsi="Trebuchet MS"/>
        </w:rPr>
        <w:t>.</w:t>
      </w:r>
      <w:bookmarkEnd w:id="191"/>
    </w:p>
    <w:tbl>
      <w:tblPr>
        <w:tblStyle w:val="Tablaconcuadrcula5oscura-nfasis1"/>
        <w:tblW w:w="9884" w:type="dxa"/>
        <w:jc w:val="center"/>
        <w:tblLayout w:type="fixed"/>
        <w:tblCellMar>
          <w:left w:w="57" w:type="dxa"/>
          <w:right w:w="57" w:type="dxa"/>
        </w:tblCellMar>
        <w:tblLook w:val="04A0" w:firstRow="1" w:lastRow="0" w:firstColumn="1" w:lastColumn="0" w:noHBand="0" w:noVBand="1"/>
      </w:tblPr>
      <w:tblGrid>
        <w:gridCol w:w="465"/>
        <w:gridCol w:w="1569"/>
        <w:gridCol w:w="1569"/>
        <w:gridCol w:w="1568"/>
        <w:gridCol w:w="1569"/>
        <w:gridCol w:w="1568"/>
        <w:gridCol w:w="1576"/>
      </w:tblGrid>
      <w:tr w:rsidR="002A168D" w:rsidRPr="00256054" w14:paraId="5038D24C" w14:textId="77777777" w:rsidTr="00974199">
        <w:trPr>
          <w:cnfStyle w:val="100000000000" w:firstRow="1" w:lastRow="0" w:firstColumn="0" w:lastColumn="0" w:oddVBand="0" w:evenVBand="0" w:oddHBand="0" w:evenHBand="0" w:firstRowFirstColumn="0" w:firstRowLastColumn="0" w:lastRowFirstColumn="0" w:lastRowLastColumn="0"/>
          <w:trHeight w:val="325"/>
          <w:tblHeader/>
          <w:jc w:val="center"/>
        </w:trPr>
        <w:tc>
          <w:tcPr>
            <w:cnfStyle w:val="001000000000" w:firstRow="0" w:lastRow="0" w:firstColumn="1" w:lastColumn="0" w:oddVBand="0" w:evenVBand="0" w:oddHBand="0" w:evenHBand="0" w:firstRowFirstColumn="0" w:firstRowLastColumn="0" w:lastRowFirstColumn="0" w:lastRowLastColumn="0"/>
            <w:tcW w:w="465" w:type="dxa"/>
            <w:vMerge w:val="restart"/>
            <w:noWrap/>
            <w:hideMark/>
          </w:tcPr>
          <w:p w14:paraId="1DA36340" w14:textId="77777777" w:rsidR="002A168D" w:rsidRPr="00256054" w:rsidRDefault="002A168D" w:rsidP="00003779">
            <w:pPr>
              <w:rPr>
                <w:rFonts w:eastAsia="Times New Roman" w:cs="Times New Roman"/>
                <w:i/>
                <w:iCs/>
                <w:color w:val="auto"/>
                <w:sz w:val="16"/>
                <w:szCs w:val="16"/>
                <w:lang w:eastAsia="es-CO"/>
              </w:rPr>
            </w:pPr>
            <w:r w:rsidRPr="00256054">
              <w:rPr>
                <w:rFonts w:eastAsia="Times New Roman" w:cs="Times New Roman"/>
                <w:i/>
                <w:iCs/>
                <w:sz w:val="16"/>
                <w:szCs w:val="16"/>
                <w:lang w:eastAsia="es-CO"/>
              </w:rPr>
              <w:t>l</w:t>
            </w:r>
          </w:p>
        </w:tc>
        <w:tc>
          <w:tcPr>
            <w:tcW w:w="1568" w:type="dxa"/>
            <w:vMerge w:val="restart"/>
            <w:noWrap/>
            <w:hideMark/>
          </w:tcPr>
          <w:p w14:paraId="202351EA" w14:textId="77777777" w:rsidR="002A168D" w:rsidRPr="00256054" w:rsidRDefault="002A168D" w:rsidP="00003779">
            <w:pP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16"/>
                <w:szCs w:val="16"/>
                <w:lang w:eastAsia="es-CO"/>
              </w:rPr>
            </w:pPr>
            <w:r w:rsidRPr="00256054">
              <w:rPr>
                <w:rFonts w:eastAsia="Times New Roman" w:cs="Times New Roman"/>
                <w:sz w:val="16"/>
                <w:szCs w:val="16"/>
                <w:lang w:eastAsia="es-CO"/>
              </w:rPr>
              <w:t>Descripción</w:t>
            </w:r>
          </w:p>
        </w:tc>
        <w:tc>
          <w:tcPr>
            <w:tcW w:w="7849" w:type="dxa"/>
            <w:gridSpan w:val="5"/>
            <w:noWrap/>
            <w:hideMark/>
          </w:tcPr>
          <w:p w14:paraId="060A3250" w14:textId="429497F3" w:rsidR="002A168D" w:rsidRPr="00256054" w:rsidRDefault="002A168D" w:rsidP="00003779">
            <w:pPr>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auto"/>
                <w:sz w:val="16"/>
                <w:szCs w:val="16"/>
                <w:lang w:eastAsia="es-CO"/>
              </w:rPr>
            </w:pPr>
            <w:r w:rsidRPr="00256054">
              <w:rPr>
                <w:rFonts w:eastAsia="Times New Roman" w:cs="Times New Roman"/>
                <w:i/>
                <w:iCs/>
                <w:sz w:val="16"/>
                <w:szCs w:val="16"/>
                <w:lang w:eastAsia="es-CO"/>
              </w:rPr>
              <w:t>Excedentes INVR</w:t>
            </w:r>
            <w:r w:rsidRPr="00256054">
              <w:rPr>
                <w:rFonts w:eastAsia="Times New Roman" w:cs="Times New Roman"/>
                <w:i/>
                <w:iCs/>
                <w:sz w:val="16"/>
                <w:szCs w:val="16"/>
                <w:vertAlign w:val="subscript"/>
                <w:lang w:eastAsia="es-CO"/>
              </w:rPr>
              <w:t>j,n,l,</w:t>
            </w:r>
            <w:r w:rsidR="00AF53D2">
              <w:rPr>
                <w:rFonts w:eastAsia="Times New Roman" w:cs="Times New Roman"/>
                <w:i/>
                <w:iCs/>
                <w:sz w:val="16"/>
                <w:szCs w:val="16"/>
                <w:vertAlign w:val="subscript"/>
                <w:lang w:eastAsia="es-CO"/>
              </w:rPr>
              <w:t>4</w:t>
            </w:r>
            <w:r w:rsidRPr="00256054">
              <w:rPr>
                <w:rFonts w:eastAsia="Times New Roman" w:cs="Times New Roman"/>
                <w:i/>
                <w:iCs/>
                <w:sz w:val="16"/>
                <w:szCs w:val="16"/>
                <w:vertAlign w:val="superscript"/>
                <w:lang w:eastAsia="es-CO"/>
              </w:rPr>
              <w:t>*</w:t>
            </w:r>
          </w:p>
        </w:tc>
      </w:tr>
      <w:tr w:rsidR="002A168D" w:rsidRPr="00256054" w14:paraId="158C37A8" w14:textId="77777777" w:rsidTr="00974199">
        <w:trPr>
          <w:cnfStyle w:val="100000000000" w:firstRow="1" w:lastRow="0" w:firstColumn="0" w:lastColumn="0" w:oddVBand="0" w:evenVBand="0" w:oddHBand="0" w:evenHBand="0" w:firstRowFirstColumn="0" w:firstRowLastColumn="0" w:lastRowFirstColumn="0" w:lastRowLastColumn="0"/>
          <w:trHeight w:val="315"/>
          <w:tblHeader/>
          <w:jc w:val="center"/>
        </w:trPr>
        <w:tc>
          <w:tcPr>
            <w:cnfStyle w:val="001000000000" w:firstRow="0" w:lastRow="0" w:firstColumn="1" w:lastColumn="0" w:oddVBand="0" w:evenVBand="0" w:oddHBand="0" w:evenHBand="0" w:firstRowFirstColumn="0" w:firstRowLastColumn="0" w:lastRowFirstColumn="0" w:lastRowLastColumn="0"/>
            <w:tcW w:w="465" w:type="dxa"/>
            <w:vMerge/>
            <w:hideMark/>
          </w:tcPr>
          <w:p w14:paraId="2EE88008" w14:textId="77777777" w:rsidR="002A168D" w:rsidRPr="00256054" w:rsidRDefault="002A168D" w:rsidP="00003779">
            <w:pPr>
              <w:rPr>
                <w:rFonts w:eastAsia="Times New Roman" w:cs="Times New Roman"/>
                <w:i/>
                <w:iCs/>
                <w:color w:val="auto"/>
                <w:sz w:val="16"/>
                <w:szCs w:val="16"/>
                <w:lang w:eastAsia="es-CO"/>
              </w:rPr>
            </w:pPr>
          </w:p>
        </w:tc>
        <w:tc>
          <w:tcPr>
            <w:tcW w:w="1568" w:type="dxa"/>
            <w:vMerge/>
            <w:hideMark/>
          </w:tcPr>
          <w:p w14:paraId="28848541" w14:textId="77777777" w:rsidR="002A168D" w:rsidRPr="00256054" w:rsidRDefault="002A168D" w:rsidP="00003779">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16"/>
                <w:szCs w:val="16"/>
                <w:lang w:eastAsia="es-CO"/>
              </w:rPr>
            </w:pPr>
          </w:p>
        </w:tc>
        <w:tc>
          <w:tcPr>
            <w:tcW w:w="1569" w:type="dxa"/>
            <w:noWrap/>
            <w:hideMark/>
          </w:tcPr>
          <w:p w14:paraId="7EF8D9FD" w14:textId="77777777" w:rsidR="002A168D" w:rsidRPr="00256054" w:rsidRDefault="002A168D" w:rsidP="00003779">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256054">
              <w:rPr>
                <w:rFonts w:eastAsia="Times New Roman" w:cs="Times New Roman"/>
                <w:sz w:val="16"/>
                <w:szCs w:val="16"/>
                <w:lang w:eastAsia="es-CO"/>
              </w:rPr>
              <w:t>N1</w:t>
            </w:r>
          </w:p>
        </w:tc>
        <w:tc>
          <w:tcPr>
            <w:tcW w:w="1568" w:type="dxa"/>
            <w:noWrap/>
            <w:hideMark/>
          </w:tcPr>
          <w:p w14:paraId="2BCFB4C6" w14:textId="77777777" w:rsidR="002A168D" w:rsidRPr="00256054" w:rsidRDefault="002A168D" w:rsidP="00003779">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256054">
              <w:rPr>
                <w:rFonts w:eastAsia="Times New Roman" w:cs="Times New Roman"/>
                <w:sz w:val="16"/>
                <w:szCs w:val="16"/>
                <w:lang w:eastAsia="es-CO"/>
              </w:rPr>
              <w:t>N2</w:t>
            </w:r>
          </w:p>
        </w:tc>
        <w:tc>
          <w:tcPr>
            <w:tcW w:w="1569" w:type="dxa"/>
            <w:noWrap/>
            <w:hideMark/>
          </w:tcPr>
          <w:p w14:paraId="5A56DF21" w14:textId="77777777" w:rsidR="002A168D" w:rsidRPr="00256054" w:rsidRDefault="002A168D" w:rsidP="00003779">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256054">
              <w:rPr>
                <w:rFonts w:eastAsia="Times New Roman" w:cs="Times New Roman"/>
                <w:sz w:val="16"/>
                <w:szCs w:val="16"/>
                <w:lang w:eastAsia="es-CO"/>
              </w:rPr>
              <w:t>N3</w:t>
            </w:r>
          </w:p>
        </w:tc>
        <w:tc>
          <w:tcPr>
            <w:tcW w:w="1568" w:type="dxa"/>
            <w:noWrap/>
            <w:hideMark/>
          </w:tcPr>
          <w:p w14:paraId="51BACE9A" w14:textId="77777777" w:rsidR="002A168D" w:rsidRPr="00256054" w:rsidRDefault="002A168D" w:rsidP="00003779">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256054">
              <w:rPr>
                <w:rFonts w:eastAsia="Times New Roman" w:cs="Times New Roman"/>
                <w:sz w:val="16"/>
                <w:szCs w:val="16"/>
                <w:lang w:eastAsia="es-CO"/>
              </w:rPr>
              <w:t>N4</w:t>
            </w:r>
          </w:p>
        </w:tc>
        <w:tc>
          <w:tcPr>
            <w:tcW w:w="1572" w:type="dxa"/>
            <w:noWrap/>
            <w:hideMark/>
          </w:tcPr>
          <w:p w14:paraId="0694CD14" w14:textId="77777777" w:rsidR="002A168D" w:rsidRPr="00256054" w:rsidRDefault="002A168D" w:rsidP="00003779">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auto"/>
                <w:sz w:val="16"/>
                <w:szCs w:val="16"/>
                <w:lang w:eastAsia="es-CO"/>
              </w:rPr>
            </w:pPr>
            <w:r w:rsidRPr="00256054">
              <w:rPr>
                <w:rFonts w:eastAsia="Times New Roman" w:cs="Times New Roman"/>
                <w:sz w:val="16"/>
                <w:szCs w:val="16"/>
                <w:lang w:eastAsia="es-CO"/>
              </w:rPr>
              <w:t>TOTAL</w:t>
            </w:r>
          </w:p>
        </w:tc>
      </w:tr>
      <w:tr w:rsidR="00822FBD" w:rsidRPr="00256054" w14:paraId="18DB50C6" w14:textId="77777777" w:rsidTr="0097419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65" w:type="dxa"/>
            <w:noWrap/>
            <w:hideMark/>
          </w:tcPr>
          <w:p w14:paraId="3F3FF522" w14:textId="77777777" w:rsidR="00822FBD" w:rsidRPr="00256054" w:rsidRDefault="00822FBD" w:rsidP="00822FBD">
            <w:pPr>
              <w:jc w:val="center"/>
              <w:rPr>
                <w:rFonts w:eastAsia="Times New Roman" w:cs="Times New Roman"/>
                <w:color w:val="auto"/>
                <w:sz w:val="16"/>
                <w:szCs w:val="16"/>
                <w:lang w:eastAsia="es-CO"/>
              </w:rPr>
            </w:pPr>
            <w:r w:rsidRPr="00256054">
              <w:rPr>
                <w:rFonts w:eastAsia="Times New Roman" w:cs="Times New Roman"/>
                <w:sz w:val="16"/>
                <w:szCs w:val="16"/>
                <w:lang w:eastAsia="es-CO"/>
              </w:rPr>
              <w:t>1</w:t>
            </w:r>
          </w:p>
        </w:tc>
        <w:tc>
          <w:tcPr>
            <w:tcW w:w="1568" w:type="dxa"/>
            <w:noWrap/>
            <w:hideMark/>
          </w:tcPr>
          <w:p w14:paraId="13ABEFAC" w14:textId="77777777" w:rsidR="00822FBD" w:rsidRPr="00256054" w:rsidRDefault="00822FBD" w:rsidP="00822FBD">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56054">
              <w:rPr>
                <w:rFonts w:eastAsia="Times New Roman" w:cs="Times New Roman"/>
                <w:sz w:val="16"/>
                <w:szCs w:val="16"/>
                <w:lang w:eastAsia="es-CO"/>
              </w:rPr>
              <w:t>Transformadores de potencia</w:t>
            </w:r>
          </w:p>
        </w:tc>
        <w:tc>
          <w:tcPr>
            <w:tcW w:w="1569" w:type="dxa"/>
            <w:shd w:val="clear" w:color="auto" w:fill="BFBFBF" w:themeFill="background1" w:themeFillShade="BF"/>
            <w:noWrap/>
          </w:tcPr>
          <w:p w14:paraId="4616568D" w14:textId="417B2DAE"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68" w:type="dxa"/>
            <w:noWrap/>
          </w:tcPr>
          <w:p w14:paraId="62033A7C" w14:textId="07BE83D3"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w:t>
            </w:r>
          </w:p>
        </w:tc>
        <w:tc>
          <w:tcPr>
            <w:tcW w:w="1569" w:type="dxa"/>
            <w:noWrap/>
          </w:tcPr>
          <w:p w14:paraId="30E78A07" w14:textId="06BA67A1"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w:t>
            </w:r>
          </w:p>
        </w:tc>
        <w:tc>
          <w:tcPr>
            <w:tcW w:w="1568" w:type="dxa"/>
            <w:noWrap/>
          </w:tcPr>
          <w:p w14:paraId="3DA7065C" w14:textId="0C598A2E"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72" w:type="dxa"/>
            <w:noWrap/>
          </w:tcPr>
          <w:p w14:paraId="4BABCCC4" w14:textId="2F0812DE" w:rsidR="00822FBD" w:rsidRPr="00256054"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890BB6">
              <w:rPr>
                <w:rFonts w:eastAsia="Times New Roman" w:cs="Times New Roman"/>
                <w:b/>
                <w:bCs/>
                <w:sz w:val="16"/>
                <w:szCs w:val="16"/>
                <w:lang w:eastAsia="es-CO"/>
              </w:rPr>
              <w:t>-</w:t>
            </w:r>
          </w:p>
        </w:tc>
      </w:tr>
      <w:tr w:rsidR="00822FBD" w:rsidRPr="00256054" w14:paraId="18E05DDE" w14:textId="77777777" w:rsidTr="00974199">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65" w:type="dxa"/>
            <w:noWrap/>
            <w:hideMark/>
          </w:tcPr>
          <w:p w14:paraId="30B6800A" w14:textId="77777777" w:rsidR="00822FBD" w:rsidRPr="00256054" w:rsidRDefault="00822FBD" w:rsidP="00822FBD">
            <w:pPr>
              <w:jc w:val="center"/>
              <w:rPr>
                <w:rFonts w:eastAsia="Times New Roman" w:cs="Times New Roman"/>
                <w:color w:val="auto"/>
                <w:sz w:val="16"/>
                <w:szCs w:val="16"/>
                <w:lang w:eastAsia="es-CO"/>
              </w:rPr>
            </w:pPr>
            <w:r w:rsidRPr="00256054">
              <w:rPr>
                <w:rFonts w:eastAsia="Times New Roman" w:cs="Times New Roman"/>
                <w:sz w:val="16"/>
                <w:szCs w:val="16"/>
                <w:lang w:eastAsia="es-CO"/>
              </w:rPr>
              <w:t>2</w:t>
            </w:r>
          </w:p>
        </w:tc>
        <w:tc>
          <w:tcPr>
            <w:tcW w:w="1568" w:type="dxa"/>
            <w:noWrap/>
            <w:hideMark/>
          </w:tcPr>
          <w:p w14:paraId="645ADDBE" w14:textId="77777777" w:rsidR="00822FBD" w:rsidRPr="00256054" w:rsidRDefault="00822FBD" w:rsidP="00822FBD">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256054">
              <w:rPr>
                <w:rFonts w:eastAsia="Times New Roman" w:cs="Times New Roman"/>
                <w:sz w:val="16"/>
                <w:szCs w:val="16"/>
                <w:lang w:eastAsia="es-CO"/>
              </w:rPr>
              <w:t>Compensación reactiva</w:t>
            </w:r>
          </w:p>
        </w:tc>
        <w:tc>
          <w:tcPr>
            <w:tcW w:w="1569" w:type="dxa"/>
            <w:shd w:val="clear" w:color="auto" w:fill="BFBFBF" w:themeFill="background1" w:themeFillShade="BF"/>
            <w:noWrap/>
          </w:tcPr>
          <w:p w14:paraId="0CF9A143" w14:textId="31F447A8"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68" w:type="dxa"/>
            <w:noWrap/>
          </w:tcPr>
          <w:p w14:paraId="5FAC35A5" w14:textId="235F1BCF"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w:t>
            </w:r>
          </w:p>
        </w:tc>
        <w:tc>
          <w:tcPr>
            <w:tcW w:w="1569" w:type="dxa"/>
            <w:noWrap/>
          </w:tcPr>
          <w:p w14:paraId="6C92DE85" w14:textId="1C40E380"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w:t>
            </w:r>
          </w:p>
        </w:tc>
        <w:tc>
          <w:tcPr>
            <w:tcW w:w="1568" w:type="dxa"/>
            <w:noWrap/>
          </w:tcPr>
          <w:p w14:paraId="596F7D84" w14:textId="29CC4F5D"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72" w:type="dxa"/>
            <w:noWrap/>
          </w:tcPr>
          <w:p w14:paraId="252F0BB1" w14:textId="270C2598" w:rsidR="00822FBD" w:rsidRPr="00256054"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890BB6">
              <w:rPr>
                <w:rFonts w:eastAsia="Times New Roman" w:cs="Times New Roman"/>
                <w:b/>
                <w:bCs/>
                <w:sz w:val="16"/>
                <w:szCs w:val="16"/>
                <w:lang w:eastAsia="es-CO"/>
              </w:rPr>
              <w:t>-</w:t>
            </w:r>
          </w:p>
        </w:tc>
      </w:tr>
      <w:tr w:rsidR="00822FBD" w:rsidRPr="00256054" w14:paraId="3B5E57E8" w14:textId="77777777" w:rsidTr="0097419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65" w:type="dxa"/>
            <w:noWrap/>
            <w:hideMark/>
          </w:tcPr>
          <w:p w14:paraId="727DDBF2" w14:textId="77777777" w:rsidR="00822FBD" w:rsidRPr="00256054" w:rsidRDefault="00822FBD" w:rsidP="00822FBD">
            <w:pPr>
              <w:jc w:val="center"/>
              <w:rPr>
                <w:rFonts w:eastAsia="Times New Roman" w:cs="Times New Roman"/>
                <w:color w:val="auto"/>
                <w:sz w:val="16"/>
                <w:szCs w:val="16"/>
                <w:lang w:eastAsia="es-CO"/>
              </w:rPr>
            </w:pPr>
            <w:r w:rsidRPr="00256054">
              <w:rPr>
                <w:rFonts w:eastAsia="Times New Roman" w:cs="Times New Roman"/>
                <w:sz w:val="16"/>
                <w:szCs w:val="16"/>
                <w:lang w:eastAsia="es-CO"/>
              </w:rPr>
              <w:t>3</w:t>
            </w:r>
          </w:p>
        </w:tc>
        <w:tc>
          <w:tcPr>
            <w:tcW w:w="1568" w:type="dxa"/>
            <w:noWrap/>
            <w:hideMark/>
          </w:tcPr>
          <w:p w14:paraId="616BCBFF" w14:textId="77777777" w:rsidR="00822FBD" w:rsidRPr="00256054" w:rsidRDefault="00822FBD" w:rsidP="00822FBD">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56054">
              <w:rPr>
                <w:rFonts w:eastAsia="Times New Roman" w:cs="Times New Roman"/>
                <w:sz w:val="16"/>
                <w:szCs w:val="16"/>
                <w:lang w:eastAsia="es-CO"/>
              </w:rPr>
              <w:t>Bahías y celdas</w:t>
            </w:r>
          </w:p>
        </w:tc>
        <w:tc>
          <w:tcPr>
            <w:tcW w:w="1569" w:type="dxa"/>
            <w:shd w:val="clear" w:color="auto" w:fill="BFBFBF" w:themeFill="background1" w:themeFillShade="BF"/>
            <w:noWrap/>
          </w:tcPr>
          <w:p w14:paraId="7F7DE3DA" w14:textId="0A185689"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68" w:type="dxa"/>
            <w:noWrap/>
          </w:tcPr>
          <w:p w14:paraId="1B9B29D1" w14:textId="79B5810B"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w:t>
            </w:r>
          </w:p>
        </w:tc>
        <w:tc>
          <w:tcPr>
            <w:tcW w:w="1569" w:type="dxa"/>
            <w:noWrap/>
          </w:tcPr>
          <w:p w14:paraId="2AA00813" w14:textId="676BB412"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109,589,076.34</w:t>
            </w:r>
          </w:p>
        </w:tc>
        <w:tc>
          <w:tcPr>
            <w:tcW w:w="1568" w:type="dxa"/>
            <w:noWrap/>
          </w:tcPr>
          <w:p w14:paraId="58628FE0" w14:textId="26D14CEB"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72" w:type="dxa"/>
            <w:noWrap/>
          </w:tcPr>
          <w:p w14:paraId="58366F72" w14:textId="444510A8" w:rsidR="00822FBD" w:rsidRPr="00256054"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890BB6">
              <w:rPr>
                <w:rFonts w:eastAsia="Times New Roman" w:cs="Times New Roman"/>
                <w:b/>
                <w:bCs/>
                <w:sz w:val="16"/>
                <w:szCs w:val="16"/>
                <w:lang w:eastAsia="es-CO"/>
              </w:rPr>
              <w:t>109,589,076.34</w:t>
            </w:r>
          </w:p>
        </w:tc>
      </w:tr>
      <w:tr w:rsidR="00822FBD" w:rsidRPr="00256054" w14:paraId="36697F17" w14:textId="77777777" w:rsidTr="00974199">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65" w:type="dxa"/>
            <w:noWrap/>
            <w:hideMark/>
          </w:tcPr>
          <w:p w14:paraId="2D5F43E9" w14:textId="77777777" w:rsidR="00822FBD" w:rsidRPr="00256054" w:rsidRDefault="00822FBD" w:rsidP="00822FBD">
            <w:pPr>
              <w:jc w:val="center"/>
              <w:rPr>
                <w:rFonts w:eastAsia="Times New Roman" w:cs="Times New Roman"/>
                <w:color w:val="auto"/>
                <w:sz w:val="16"/>
                <w:szCs w:val="16"/>
                <w:lang w:eastAsia="es-CO"/>
              </w:rPr>
            </w:pPr>
            <w:r w:rsidRPr="00256054">
              <w:rPr>
                <w:rFonts w:eastAsia="Times New Roman" w:cs="Times New Roman"/>
                <w:sz w:val="16"/>
                <w:szCs w:val="16"/>
                <w:lang w:eastAsia="es-CO"/>
              </w:rPr>
              <w:t>4</w:t>
            </w:r>
          </w:p>
        </w:tc>
        <w:tc>
          <w:tcPr>
            <w:tcW w:w="1568" w:type="dxa"/>
            <w:noWrap/>
            <w:hideMark/>
          </w:tcPr>
          <w:p w14:paraId="3ABD1950" w14:textId="77777777" w:rsidR="00822FBD" w:rsidRPr="00256054" w:rsidRDefault="00822FBD" w:rsidP="00822FBD">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256054">
              <w:rPr>
                <w:rFonts w:eastAsia="Times New Roman" w:cs="Times New Roman"/>
                <w:sz w:val="16"/>
                <w:szCs w:val="16"/>
                <w:lang w:eastAsia="es-CO"/>
              </w:rPr>
              <w:t>Equipos de control y comunicaciones</w:t>
            </w:r>
          </w:p>
        </w:tc>
        <w:tc>
          <w:tcPr>
            <w:tcW w:w="1569" w:type="dxa"/>
            <w:shd w:val="clear" w:color="auto" w:fill="BFBFBF" w:themeFill="background1" w:themeFillShade="BF"/>
            <w:noWrap/>
          </w:tcPr>
          <w:p w14:paraId="0380D979" w14:textId="21BB1E8D"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68" w:type="dxa"/>
            <w:noWrap/>
          </w:tcPr>
          <w:p w14:paraId="0123AE68" w14:textId="24F74EA9"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622,280,131.50</w:t>
            </w:r>
          </w:p>
        </w:tc>
        <w:tc>
          <w:tcPr>
            <w:tcW w:w="1569" w:type="dxa"/>
            <w:noWrap/>
          </w:tcPr>
          <w:p w14:paraId="50E68F24" w14:textId="69A1C8D0"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w:t>
            </w:r>
          </w:p>
        </w:tc>
        <w:tc>
          <w:tcPr>
            <w:tcW w:w="1568" w:type="dxa"/>
            <w:noWrap/>
          </w:tcPr>
          <w:p w14:paraId="380E3D3C" w14:textId="73E5F329"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72" w:type="dxa"/>
            <w:noWrap/>
          </w:tcPr>
          <w:p w14:paraId="154FEDFB" w14:textId="1C12F3C1" w:rsidR="00822FBD" w:rsidRPr="00256054"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890BB6">
              <w:rPr>
                <w:rFonts w:eastAsia="Times New Roman" w:cs="Times New Roman"/>
                <w:b/>
                <w:bCs/>
                <w:sz w:val="16"/>
                <w:szCs w:val="16"/>
                <w:lang w:eastAsia="es-CO"/>
              </w:rPr>
              <w:t>622,280,131.50</w:t>
            </w:r>
          </w:p>
        </w:tc>
      </w:tr>
      <w:tr w:rsidR="00822FBD" w:rsidRPr="00256054" w14:paraId="0552DA18" w14:textId="77777777" w:rsidTr="0097419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65" w:type="dxa"/>
            <w:noWrap/>
            <w:hideMark/>
          </w:tcPr>
          <w:p w14:paraId="083D6515" w14:textId="77777777" w:rsidR="00822FBD" w:rsidRPr="00256054" w:rsidRDefault="00822FBD" w:rsidP="00822FBD">
            <w:pPr>
              <w:jc w:val="center"/>
              <w:rPr>
                <w:rFonts w:eastAsia="Times New Roman" w:cs="Times New Roman"/>
                <w:color w:val="auto"/>
                <w:sz w:val="16"/>
                <w:szCs w:val="16"/>
                <w:lang w:eastAsia="es-CO"/>
              </w:rPr>
            </w:pPr>
            <w:r w:rsidRPr="00256054">
              <w:rPr>
                <w:rFonts w:eastAsia="Times New Roman" w:cs="Times New Roman"/>
                <w:sz w:val="16"/>
                <w:szCs w:val="16"/>
                <w:lang w:eastAsia="es-CO"/>
              </w:rPr>
              <w:t>5</w:t>
            </w:r>
          </w:p>
        </w:tc>
        <w:tc>
          <w:tcPr>
            <w:tcW w:w="1568" w:type="dxa"/>
            <w:noWrap/>
            <w:hideMark/>
          </w:tcPr>
          <w:p w14:paraId="365B944C" w14:textId="77777777" w:rsidR="00822FBD" w:rsidRPr="00256054" w:rsidRDefault="00822FBD" w:rsidP="00822FBD">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56054">
              <w:rPr>
                <w:rFonts w:eastAsia="Times New Roman" w:cs="Times New Roman"/>
                <w:sz w:val="16"/>
                <w:szCs w:val="16"/>
                <w:lang w:eastAsia="es-CO"/>
              </w:rPr>
              <w:t>Equipos de subestación</w:t>
            </w:r>
          </w:p>
        </w:tc>
        <w:tc>
          <w:tcPr>
            <w:tcW w:w="1569" w:type="dxa"/>
            <w:shd w:val="clear" w:color="auto" w:fill="BFBFBF" w:themeFill="background1" w:themeFillShade="BF"/>
            <w:noWrap/>
          </w:tcPr>
          <w:p w14:paraId="7254EDE4" w14:textId="365DE439"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68" w:type="dxa"/>
            <w:noWrap/>
          </w:tcPr>
          <w:p w14:paraId="3F372C34" w14:textId="0051506C"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w:t>
            </w:r>
          </w:p>
        </w:tc>
        <w:tc>
          <w:tcPr>
            <w:tcW w:w="1569" w:type="dxa"/>
            <w:noWrap/>
          </w:tcPr>
          <w:p w14:paraId="42A7A1C7" w14:textId="36423FFB"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40,603,800.00</w:t>
            </w:r>
          </w:p>
        </w:tc>
        <w:tc>
          <w:tcPr>
            <w:tcW w:w="1568" w:type="dxa"/>
            <w:noWrap/>
          </w:tcPr>
          <w:p w14:paraId="33F635CC" w14:textId="0086E4DB"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72" w:type="dxa"/>
            <w:noWrap/>
          </w:tcPr>
          <w:p w14:paraId="077A992C" w14:textId="7CC47329" w:rsidR="00822FBD" w:rsidRPr="00256054"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890BB6">
              <w:rPr>
                <w:rFonts w:eastAsia="Times New Roman" w:cs="Times New Roman"/>
                <w:b/>
                <w:bCs/>
                <w:sz w:val="16"/>
                <w:szCs w:val="16"/>
                <w:lang w:eastAsia="es-CO"/>
              </w:rPr>
              <w:t>40,603,800.00</w:t>
            </w:r>
          </w:p>
        </w:tc>
      </w:tr>
      <w:tr w:rsidR="00822FBD" w:rsidRPr="00256054" w14:paraId="5F019BB5" w14:textId="77777777" w:rsidTr="00974199">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65" w:type="dxa"/>
            <w:noWrap/>
            <w:hideMark/>
          </w:tcPr>
          <w:p w14:paraId="56858B88" w14:textId="77777777" w:rsidR="00822FBD" w:rsidRPr="00256054" w:rsidRDefault="00822FBD" w:rsidP="00822FBD">
            <w:pPr>
              <w:jc w:val="center"/>
              <w:rPr>
                <w:rFonts w:eastAsia="Times New Roman" w:cs="Times New Roman"/>
                <w:color w:val="auto"/>
                <w:sz w:val="16"/>
                <w:szCs w:val="16"/>
                <w:lang w:eastAsia="es-CO"/>
              </w:rPr>
            </w:pPr>
            <w:r w:rsidRPr="00256054">
              <w:rPr>
                <w:rFonts w:eastAsia="Times New Roman" w:cs="Times New Roman"/>
                <w:sz w:val="16"/>
                <w:szCs w:val="16"/>
                <w:lang w:eastAsia="es-CO"/>
              </w:rPr>
              <w:t>6</w:t>
            </w:r>
          </w:p>
        </w:tc>
        <w:tc>
          <w:tcPr>
            <w:tcW w:w="1568" w:type="dxa"/>
            <w:noWrap/>
            <w:hideMark/>
          </w:tcPr>
          <w:p w14:paraId="5C46BED1" w14:textId="77777777" w:rsidR="00822FBD" w:rsidRPr="00256054" w:rsidRDefault="00822FBD" w:rsidP="00822FBD">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256054">
              <w:rPr>
                <w:rFonts w:eastAsia="Times New Roman" w:cs="Times New Roman"/>
                <w:sz w:val="16"/>
                <w:szCs w:val="16"/>
                <w:lang w:eastAsia="es-CO"/>
              </w:rPr>
              <w:t>Otros activos subestación</w:t>
            </w:r>
          </w:p>
        </w:tc>
        <w:tc>
          <w:tcPr>
            <w:tcW w:w="1569" w:type="dxa"/>
            <w:shd w:val="clear" w:color="auto" w:fill="BFBFBF" w:themeFill="background1" w:themeFillShade="BF"/>
            <w:noWrap/>
          </w:tcPr>
          <w:p w14:paraId="21132CAC" w14:textId="65B1FC85"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68" w:type="dxa"/>
            <w:noWrap/>
          </w:tcPr>
          <w:p w14:paraId="77A586AB" w14:textId="13101F32"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4,875,175,265.99</w:t>
            </w:r>
          </w:p>
        </w:tc>
        <w:tc>
          <w:tcPr>
            <w:tcW w:w="1569" w:type="dxa"/>
            <w:noWrap/>
          </w:tcPr>
          <w:p w14:paraId="242C3334" w14:textId="72BC4D2F"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2,604,666,294.29</w:t>
            </w:r>
          </w:p>
        </w:tc>
        <w:tc>
          <w:tcPr>
            <w:tcW w:w="1568" w:type="dxa"/>
            <w:noWrap/>
          </w:tcPr>
          <w:p w14:paraId="4EB506B7" w14:textId="37D19250"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72" w:type="dxa"/>
            <w:noWrap/>
          </w:tcPr>
          <w:p w14:paraId="11CF767F" w14:textId="76DB7EBF" w:rsidR="00822FBD" w:rsidRPr="00256054"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890BB6">
              <w:rPr>
                <w:rFonts w:eastAsia="Times New Roman" w:cs="Times New Roman"/>
                <w:b/>
                <w:bCs/>
                <w:sz w:val="16"/>
                <w:szCs w:val="16"/>
                <w:lang w:eastAsia="es-CO"/>
              </w:rPr>
              <w:t>7,479,841,560.29</w:t>
            </w:r>
          </w:p>
        </w:tc>
      </w:tr>
      <w:tr w:rsidR="00822FBD" w:rsidRPr="00256054" w14:paraId="1C66FA81" w14:textId="77777777" w:rsidTr="0097419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65" w:type="dxa"/>
            <w:noWrap/>
            <w:hideMark/>
          </w:tcPr>
          <w:p w14:paraId="5BBF6A16" w14:textId="77777777" w:rsidR="00822FBD" w:rsidRPr="00256054" w:rsidRDefault="00822FBD" w:rsidP="00822FBD">
            <w:pPr>
              <w:jc w:val="center"/>
              <w:rPr>
                <w:rFonts w:eastAsia="Times New Roman" w:cs="Times New Roman"/>
                <w:color w:val="auto"/>
                <w:sz w:val="16"/>
                <w:szCs w:val="16"/>
                <w:lang w:eastAsia="es-CO"/>
              </w:rPr>
            </w:pPr>
            <w:r w:rsidRPr="00256054">
              <w:rPr>
                <w:rFonts w:eastAsia="Times New Roman" w:cs="Times New Roman"/>
                <w:sz w:val="16"/>
                <w:szCs w:val="16"/>
                <w:lang w:eastAsia="es-CO"/>
              </w:rPr>
              <w:t>7</w:t>
            </w:r>
          </w:p>
        </w:tc>
        <w:tc>
          <w:tcPr>
            <w:tcW w:w="1568" w:type="dxa"/>
            <w:noWrap/>
            <w:hideMark/>
          </w:tcPr>
          <w:p w14:paraId="5955A715" w14:textId="77777777" w:rsidR="00822FBD" w:rsidRPr="00256054" w:rsidRDefault="00822FBD" w:rsidP="00822FBD">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56054">
              <w:rPr>
                <w:rFonts w:eastAsia="Times New Roman" w:cs="Times New Roman"/>
                <w:sz w:val="16"/>
                <w:szCs w:val="16"/>
                <w:lang w:eastAsia="es-CO"/>
              </w:rPr>
              <w:t>Líneas aéreas</w:t>
            </w:r>
          </w:p>
        </w:tc>
        <w:tc>
          <w:tcPr>
            <w:tcW w:w="1569" w:type="dxa"/>
            <w:shd w:val="clear" w:color="auto" w:fill="BFBFBF" w:themeFill="background1" w:themeFillShade="BF"/>
            <w:noWrap/>
          </w:tcPr>
          <w:p w14:paraId="45F7A958" w14:textId="37584072"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68" w:type="dxa"/>
            <w:noWrap/>
          </w:tcPr>
          <w:p w14:paraId="49287135" w14:textId="05FED1C7"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7,717,277,721.19</w:t>
            </w:r>
          </w:p>
        </w:tc>
        <w:tc>
          <w:tcPr>
            <w:tcW w:w="1569" w:type="dxa"/>
            <w:noWrap/>
          </w:tcPr>
          <w:p w14:paraId="2F8BC8BC" w14:textId="0E12DD3C"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w:t>
            </w:r>
          </w:p>
        </w:tc>
        <w:tc>
          <w:tcPr>
            <w:tcW w:w="1568" w:type="dxa"/>
            <w:noWrap/>
          </w:tcPr>
          <w:p w14:paraId="20A09CE8" w14:textId="18426B06"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72" w:type="dxa"/>
            <w:noWrap/>
          </w:tcPr>
          <w:p w14:paraId="4CB02422" w14:textId="054017BD" w:rsidR="00822FBD" w:rsidRPr="00256054"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890BB6">
              <w:rPr>
                <w:rFonts w:eastAsia="Times New Roman" w:cs="Times New Roman"/>
                <w:b/>
                <w:bCs/>
                <w:sz w:val="16"/>
                <w:szCs w:val="16"/>
                <w:lang w:eastAsia="es-CO"/>
              </w:rPr>
              <w:t>7,717,277,721.19</w:t>
            </w:r>
          </w:p>
        </w:tc>
      </w:tr>
      <w:tr w:rsidR="00822FBD" w:rsidRPr="00256054" w14:paraId="757BF8C7" w14:textId="77777777" w:rsidTr="00974199">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65" w:type="dxa"/>
            <w:noWrap/>
            <w:hideMark/>
          </w:tcPr>
          <w:p w14:paraId="35A4EBA6" w14:textId="77777777" w:rsidR="00822FBD" w:rsidRPr="00256054" w:rsidRDefault="00822FBD" w:rsidP="00822FBD">
            <w:pPr>
              <w:jc w:val="center"/>
              <w:rPr>
                <w:rFonts w:eastAsia="Times New Roman" w:cs="Times New Roman"/>
                <w:color w:val="auto"/>
                <w:sz w:val="16"/>
                <w:szCs w:val="16"/>
                <w:lang w:eastAsia="es-CO"/>
              </w:rPr>
            </w:pPr>
            <w:r w:rsidRPr="00256054">
              <w:rPr>
                <w:rFonts w:eastAsia="Times New Roman" w:cs="Times New Roman"/>
                <w:sz w:val="16"/>
                <w:szCs w:val="16"/>
                <w:lang w:eastAsia="es-CO"/>
              </w:rPr>
              <w:t>8</w:t>
            </w:r>
          </w:p>
        </w:tc>
        <w:tc>
          <w:tcPr>
            <w:tcW w:w="1568" w:type="dxa"/>
            <w:noWrap/>
            <w:hideMark/>
          </w:tcPr>
          <w:p w14:paraId="12F10F68" w14:textId="77777777" w:rsidR="00822FBD" w:rsidRPr="00256054" w:rsidRDefault="00822FBD" w:rsidP="00822FBD">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256054">
              <w:rPr>
                <w:rFonts w:eastAsia="Times New Roman" w:cs="Times New Roman"/>
                <w:sz w:val="16"/>
                <w:szCs w:val="16"/>
                <w:lang w:eastAsia="es-CO"/>
              </w:rPr>
              <w:t>Líneas subterráneas</w:t>
            </w:r>
          </w:p>
        </w:tc>
        <w:tc>
          <w:tcPr>
            <w:tcW w:w="1569" w:type="dxa"/>
            <w:shd w:val="clear" w:color="auto" w:fill="BFBFBF" w:themeFill="background1" w:themeFillShade="BF"/>
            <w:noWrap/>
          </w:tcPr>
          <w:p w14:paraId="44E8C2ED" w14:textId="08E98EE3"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68" w:type="dxa"/>
            <w:noWrap/>
          </w:tcPr>
          <w:p w14:paraId="308AD624" w14:textId="27F0FB7C"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5,557,017,129.54</w:t>
            </w:r>
          </w:p>
        </w:tc>
        <w:tc>
          <w:tcPr>
            <w:tcW w:w="1569" w:type="dxa"/>
            <w:noWrap/>
          </w:tcPr>
          <w:p w14:paraId="5945E6F6" w14:textId="28B4532F"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w:t>
            </w:r>
          </w:p>
        </w:tc>
        <w:tc>
          <w:tcPr>
            <w:tcW w:w="1568" w:type="dxa"/>
            <w:noWrap/>
          </w:tcPr>
          <w:p w14:paraId="69BA5AEF" w14:textId="3F2EE27D"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72" w:type="dxa"/>
            <w:noWrap/>
          </w:tcPr>
          <w:p w14:paraId="2D3F6E6C" w14:textId="670A199A" w:rsidR="00822FBD" w:rsidRPr="00256054"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890BB6">
              <w:rPr>
                <w:rFonts w:eastAsia="Times New Roman" w:cs="Times New Roman"/>
                <w:b/>
                <w:bCs/>
                <w:sz w:val="16"/>
                <w:szCs w:val="16"/>
                <w:lang w:eastAsia="es-CO"/>
              </w:rPr>
              <w:t>5,557,017,129.54</w:t>
            </w:r>
          </w:p>
        </w:tc>
      </w:tr>
      <w:tr w:rsidR="00822FBD" w:rsidRPr="00256054" w14:paraId="628750AA" w14:textId="77777777" w:rsidTr="0097419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65" w:type="dxa"/>
            <w:noWrap/>
            <w:hideMark/>
          </w:tcPr>
          <w:p w14:paraId="3003D870" w14:textId="77777777" w:rsidR="00822FBD" w:rsidRPr="00256054" w:rsidRDefault="00822FBD" w:rsidP="00822FBD">
            <w:pPr>
              <w:jc w:val="center"/>
              <w:rPr>
                <w:rFonts w:eastAsia="Times New Roman" w:cs="Times New Roman"/>
                <w:color w:val="auto"/>
                <w:sz w:val="16"/>
                <w:szCs w:val="16"/>
                <w:lang w:eastAsia="es-CO"/>
              </w:rPr>
            </w:pPr>
            <w:r w:rsidRPr="00256054">
              <w:rPr>
                <w:rFonts w:eastAsia="Times New Roman" w:cs="Times New Roman"/>
                <w:sz w:val="16"/>
                <w:szCs w:val="16"/>
                <w:lang w:eastAsia="es-CO"/>
              </w:rPr>
              <w:t>9</w:t>
            </w:r>
          </w:p>
        </w:tc>
        <w:tc>
          <w:tcPr>
            <w:tcW w:w="1568" w:type="dxa"/>
            <w:noWrap/>
            <w:hideMark/>
          </w:tcPr>
          <w:p w14:paraId="1E931B21" w14:textId="77777777" w:rsidR="00822FBD" w:rsidRPr="00256054" w:rsidRDefault="00822FBD" w:rsidP="00822FBD">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56054">
              <w:rPr>
                <w:rFonts w:eastAsia="Times New Roman" w:cs="Times New Roman"/>
                <w:sz w:val="16"/>
                <w:szCs w:val="16"/>
                <w:lang w:eastAsia="es-CO"/>
              </w:rPr>
              <w:t>Equipos de línea</w:t>
            </w:r>
          </w:p>
        </w:tc>
        <w:tc>
          <w:tcPr>
            <w:tcW w:w="1569" w:type="dxa"/>
            <w:shd w:val="clear" w:color="auto" w:fill="BFBFBF" w:themeFill="background1" w:themeFillShade="BF"/>
            <w:noWrap/>
          </w:tcPr>
          <w:p w14:paraId="0C847DAF" w14:textId="0B324413"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68" w:type="dxa"/>
            <w:noWrap/>
          </w:tcPr>
          <w:p w14:paraId="51D65AFF" w14:textId="53BC51A8"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12,889,553,800.00</w:t>
            </w:r>
          </w:p>
        </w:tc>
        <w:tc>
          <w:tcPr>
            <w:tcW w:w="1569" w:type="dxa"/>
            <w:noWrap/>
          </w:tcPr>
          <w:p w14:paraId="276DB9DC" w14:textId="56147AF2"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w:t>
            </w:r>
          </w:p>
        </w:tc>
        <w:tc>
          <w:tcPr>
            <w:tcW w:w="1568" w:type="dxa"/>
            <w:noWrap/>
          </w:tcPr>
          <w:p w14:paraId="378002DE" w14:textId="4BBD4EE0"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72" w:type="dxa"/>
            <w:noWrap/>
          </w:tcPr>
          <w:p w14:paraId="44FABF3D" w14:textId="015546B4" w:rsidR="00822FBD" w:rsidRPr="00256054"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890BB6">
              <w:rPr>
                <w:rFonts w:eastAsia="Times New Roman" w:cs="Times New Roman"/>
                <w:b/>
                <w:bCs/>
                <w:sz w:val="16"/>
                <w:szCs w:val="16"/>
                <w:lang w:eastAsia="es-CO"/>
              </w:rPr>
              <w:t>12,889,553,800.00</w:t>
            </w:r>
          </w:p>
        </w:tc>
      </w:tr>
      <w:tr w:rsidR="00822FBD" w:rsidRPr="00256054" w14:paraId="61515867" w14:textId="77777777" w:rsidTr="00974199">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65" w:type="dxa"/>
            <w:noWrap/>
            <w:hideMark/>
          </w:tcPr>
          <w:p w14:paraId="7C2E6ADD" w14:textId="77777777" w:rsidR="00822FBD" w:rsidRPr="00256054" w:rsidRDefault="00822FBD" w:rsidP="00822FBD">
            <w:pPr>
              <w:jc w:val="center"/>
              <w:rPr>
                <w:rFonts w:eastAsia="Times New Roman" w:cs="Times New Roman"/>
                <w:color w:val="auto"/>
                <w:sz w:val="16"/>
                <w:szCs w:val="16"/>
                <w:lang w:eastAsia="es-CO"/>
              </w:rPr>
            </w:pPr>
            <w:r w:rsidRPr="00256054">
              <w:rPr>
                <w:rFonts w:eastAsia="Times New Roman" w:cs="Times New Roman"/>
                <w:sz w:val="16"/>
                <w:szCs w:val="16"/>
                <w:lang w:eastAsia="es-CO"/>
              </w:rPr>
              <w:t>10</w:t>
            </w:r>
          </w:p>
        </w:tc>
        <w:tc>
          <w:tcPr>
            <w:tcW w:w="1568" w:type="dxa"/>
            <w:noWrap/>
            <w:hideMark/>
          </w:tcPr>
          <w:p w14:paraId="1BC689B6" w14:textId="77777777" w:rsidR="00822FBD" w:rsidRPr="00256054" w:rsidRDefault="00822FBD" w:rsidP="00822FBD">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256054">
              <w:rPr>
                <w:rFonts w:eastAsia="Times New Roman" w:cs="Times New Roman"/>
                <w:sz w:val="16"/>
                <w:szCs w:val="16"/>
                <w:lang w:eastAsia="es-CO"/>
              </w:rPr>
              <w:t>Centro de control</w:t>
            </w:r>
          </w:p>
        </w:tc>
        <w:tc>
          <w:tcPr>
            <w:tcW w:w="1569" w:type="dxa"/>
            <w:shd w:val="clear" w:color="auto" w:fill="BFBFBF" w:themeFill="background1" w:themeFillShade="BF"/>
            <w:noWrap/>
          </w:tcPr>
          <w:p w14:paraId="2A9DD479" w14:textId="6E0077F3"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68" w:type="dxa"/>
            <w:noWrap/>
          </w:tcPr>
          <w:p w14:paraId="03ECF922" w14:textId="1482A231"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w:t>
            </w:r>
          </w:p>
        </w:tc>
        <w:tc>
          <w:tcPr>
            <w:tcW w:w="1569" w:type="dxa"/>
            <w:noWrap/>
          </w:tcPr>
          <w:p w14:paraId="351E324B" w14:textId="53DC5598"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w:t>
            </w:r>
          </w:p>
        </w:tc>
        <w:tc>
          <w:tcPr>
            <w:tcW w:w="1568" w:type="dxa"/>
            <w:noWrap/>
          </w:tcPr>
          <w:p w14:paraId="627C2FC6" w14:textId="636DC14D"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72" w:type="dxa"/>
            <w:noWrap/>
          </w:tcPr>
          <w:p w14:paraId="5141B88A" w14:textId="31DC6623" w:rsidR="00822FBD" w:rsidRPr="00256054"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890BB6">
              <w:rPr>
                <w:rFonts w:eastAsia="Times New Roman" w:cs="Times New Roman"/>
                <w:b/>
                <w:bCs/>
                <w:sz w:val="16"/>
                <w:szCs w:val="16"/>
                <w:lang w:eastAsia="es-CO"/>
              </w:rPr>
              <w:t>-</w:t>
            </w:r>
          </w:p>
        </w:tc>
      </w:tr>
      <w:tr w:rsidR="00822FBD" w:rsidRPr="00256054" w14:paraId="331C8E71" w14:textId="77777777" w:rsidTr="0097419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65" w:type="dxa"/>
            <w:noWrap/>
            <w:hideMark/>
          </w:tcPr>
          <w:p w14:paraId="08B95232" w14:textId="77777777" w:rsidR="00822FBD" w:rsidRPr="00256054" w:rsidRDefault="00822FBD" w:rsidP="00822FBD">
            <w:pPr>
              <w:jc w:val="center"/>
              <w:rPr>
                <w:rFonts w:eastAsia="Times New Roman" w:cs="Times New Roman"/>
                <w:color w:val="auto"/>
                <w:sz w:val="16"/>
                <w:szCs w:val="16"/>
                <w:lang w:eastAsia="es-CO"/>
              </w:rPr>
            </w:pPr>
            <w:r w:rsidRPr="00256054">
              <w:rPr>
                <w:rFonts w:eastAsia="Times New Roman" w:cs="Times New Roman"/>
                <w:sz w:val="16"/>
                <w:szCs w:val="16"/>
                <w:lang w:eastAsia="es-CO"/>
              </w:rPr>
              <w:t>11</w:t>
            </w:r>
          </w:p>
        </w:tc>
        <w:tc>
          <w:tcPr>
            <w:tcW w:w="1568" w:type="dxa"/>
            <w:noWrap/>
            <w:hideMark/>
          </w:tcPr>
          <w:p w14:paraId="4892F56C" w14:textId="77777777" w:rsidR="00822FBD" w:rsidRPr="00256054" w:rsidRDefault="00822FBD" w:rsidP="00822FBD">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256054">
              <w:rPr>
                <w:rFonts w:eastAsia="Times New Roman" w:cs="Times New Roman"/>
                <w:sz w:val="16"/>
                <w:szCs w:val="16"/>
                <w:lang w:eastAsia="es-CO"/>
              </w:rPr>
              <w:t xml:space="preserve">Transformadores de distribución </w:t>
            </w:r>
          </w:p>
        </w:tc>
        <w:tc>
          <w:tcPr>
            <w:tcW w:w="1569" w:type="dxa"/>
            <w:noWrap/>
          </w:tcPr>
          <w:p w14:paraId="48DDFEFC" w14:textId="231ED661"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3,041,665,359</w:t>
            </w:r>
          </w:p>
        </w:tc>
        <w:tc>
          <w:tcPr>
            <w:tcW w:w="1568" w:type="dxa"/>
            <w:shd w:val="clear" w:color="auto" w:fill="BFBFBF" w:themeFill="background1" w:themeFillShade="BF"/>
            <w:noWrap/>
          </w:tcPr>
          <w:p w14:paraId="078BDFB8" w14:textId="31C1D566"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69" w:type="dxa"/>
            <w:shd w:val="clear" w:color="auto" w:fill="BFBFBF" w:themeFill="background1" w:themeFillShade="BF"/>
            <w:noWrap/>
          </w:tcPr>
          <w:p w14:paraId="1C1244FA" w14:textId="3E252323"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68" w:type="dxa"/>
            <w:shd w:val="clear" w:color="auto" w:fill="BFBFBF" w:themeFill="background1" w:themeFillShade="BF"/>
            <w:noWrap/>
          </w:tcPr>
          <w:p w14:paraId="03ECE7F7" w14:textId="4CF3C04D" w:rsidR="00822FBD" w:rsidRPr="00840B4F"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lang w:eastAsia="es-CO"/>
              </w:rPr>
            </w:pPr>
          </w:p>
        </w:tc>
        <w:tc>
          <w:tcPr>
            <w:tcW w:w="1572" w:type="dxa"/>
            <w:noWrap/>
          </w:tcPr>
          <w:p w14:paraId="328BAA99" w14:textId="136617E3" w:rsidR="00822FBD" w:rsidRPr="00256054" w:rsidRDefault="00822FBD"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890BB6">
              <w:rPr>
                <w:rFonts w:eastAsia="Times New Roman" w:cs="Times New Roman"/>
                <w:b/>
                <w:bCs/>
                <w:sz w:val="16"/>
                <w:szCs w:val="16"/>
                <w:lang w:eastAsia="es-CO"/>
              </w:rPr>
              <w:t>3,041,665,359.00</w:t>
            </w:r>
          </w:p>
        </w:tc>
      </w:tr>
      <w:tr w:rsidR="00974199" w:rsidRPr="00256054" w14:paraId="61CC75CD" w14:textId="77777777" w:rsidTr="00974199">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65" w:type="dxa"/>
            <w:noWrap/>
            <w:hideMark/>
          </w:tcPr>
          <w:p w14:paraId="69915D3D" w14:textId="77777777" w:rsidR="00822FBD" w:rsidRPr="00256054" w:rsidRDefault="00822FBD" w:rsidP="00822FBD">
            <w:pPr>
              <w:jc w:val="center"/>
              <w:rPr>
                <w:rFonts w:eastAsia="Times New Roman" w:cs="Times New Roman"/>
                <w:color w:val="auto"/>
                <w:sz w:val="16"/>
                <w:szCs w:val="16"/>
                <w:lang w:eastAsia="es-CO"/>
              </w:rPr>
            </w:pPr>
            <w:r w:rsidRPr="00256054">
              <w:rPr>
                <w:rFonts w:eastAsia="Times New Roman" w:cs="Times New Roman"/>
                <w:sz w:val="16"/>
                <w:szCs w:val="16"/>
                <w:lang w:eastAsia="es-CO"/>
              </w:rPr>
              <w:t>12</w:t>
            </w:r>
          </w:p>
        </w:tc>
        <w:tc>
          <w:tcPr>
            <w:tcW w:w="1568" w:type="dxa"/>
            <w:noWrap/>
            <w:hideMark/>
          </w:tcPr>
          <w:p w14:paraId="08B2E559" w14:textId="77777777" w:rsidR="00822FBD" w:rsidRPr="00256054" w:rsidRDefault="00822FBD" w:rsidP="00822FBD">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256054">
              <w:rPr>
                <w:rFonts w:eastAsia="Times New Roman" w:cs="Times New Roman"/>
                <w:sz w:val="16"/>
                <w:szCs w:val="16"/>
                <w:lang w:eastAsia="es-CO"/>
              </w:rPr>
              <w:t>Redes de distribución</w:t>
            </w:r>
          </w:p>
        </w:tc>
        <w:tc>
          <w:tcPr>
            <w:tcW w:w="1569" w:type="dxa"/>
            <w:noWrap/>
          </w:tcPr>
          <w:p w14:paraId="5215484B" w14:textId="71131550"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r w:rsidRPr="00840B4F">
              <w:rPr>
                <w:rFonts w:eastAsia="Times New Roman" w:cs="Times New Roman"/>
                <w:sz w:val="16"/>
                <w:szCs w:val="16"/>
                <w:lang w:eastAsia="es-CO"/>
              </w:rPr>
              <w:t>32,907,584,399</w:t>
            </w:r>
          </w:p>
        </w:tc>
        <w:tc>
          <w:tcPr>
            <w:tcW w:w="1568" w:type="dxa"/>
            <w:shd w:val="clear" w:color="auto" w:fill="BFBFBF" w:themeFill="background1" w:themeFillShade="BF"/>
            <w:noWrap/>
          </w:tcPr>
          <w:p w14:paraId="15835198" w14:textId="60283035"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69" w:type="dxa"/>
            <w:shd w:val="clear" w:color="auto" w:fill="BFBFBF" w:themeFill="background1" w:themeFillShade="BF"/>
            <w:noWrap/>
          </w:tcPr>
          <w:p w14:paraId="69DE00B8" w14:textId="47D56248"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68" w:type="dxa"/>
            <w:shd w:val="clear" w:color="auto" w:fill="BFBFBF" w:themeFill="background1" w:themeFillShade="BF"/>
            <w:noWrap/>
          </w:tcPr>
          <w:p w14:paraId="04CE7E25" w14:textId="7467A943" w:rsidR="00822FBD" w:rsidRPr="00840B4F"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sz w:val="16"/>
                <w:szCs w:val="16"/>
                <w:lang w:eastAsia="es-CO"/>
              </w:rPr>
            </w:pPr>
          </w:p>
        </w:tc>
        <w:tc>
          <w:tcPr>
            <w:tcW w:w="1572" w:type="dxa"/>
            <w:noWrap/>
          </w:tcPr>
          <w:p w14:paraId="00CA091E" w14:textId="2FA9DFE0" w:rsidR="00822FBD" w:rsidRPr="00256054" w:rsidRDefault="00822FBD" w:rsidP="00890BB6">
            <w:pPr>
              <w:cnfStyle w:val="000000010000" w:firstRow="0" w:lastRow="0" w:firstColumn="0" w:lastColumn="0" w:oddVBand="0" w:evenVBand="0" w:oddHBand="0" w:evenHBand="1" w:firstRowFirstColumn="0" w:firstRowLastColumn="0" w:lastRowFirstColumn="0" w:lastRowLastColumn="0"/>
              <w:rPr>
                <w:rFonts w:eastAsia="Times New Roman" w:cs="Times New Roman"/>
                <w:b/>
                <w:bCs/>
                <w:sz w:val="16"/>
                <w:szCs w:val="16"/>
                <w:lang w:eastAsia="es-CO"/>
              </w:rPr>
            </w:pPr>
            <w:r w:rsidRPr="00890BB6">
              <w:rPr>
                <w:rFonts w:eastAsia="Times New Roman" w:cs="Times New Roman"/>
                <w:b/>
                <w:bCs/>
                <w:sz w:val="16"/>
                <w:szCs w:val="16"/>
                <w:lang w:eastAsia="es-CO"/>
              </w:rPr>
              <w:t>32,907,584,399.45</w:t>
            </w:r>
          </w:p>
        </w:tc>
      </w:tr>
      <w:tr w:rsidR="00494ECF" w:rsidRPr="00256054" w14:paraId="2F4E8D27" w14:textId="77777777" w:rsidTr="00974199">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034" w:type="dxa"/>
            <w:gridSpan w:val="2"/>
            <w:noWrap/>
            <w:hideMark/>
          </w:tcPr>
          <w:p w14:paraId="7BD01243" w14:textId="77777777" w:rsidR="00494ECF" w:rsidRPr="00256054" w:rsidRDefault="00494ECF" w:rsidP="00494ECF">
            <w:pPr>
              <w:jc w:val="center"/>
              <w:rPr>
                <w:rFonts w:eastAsia="Times New Roman" w:cs="Times New Roman"/>
                <w:color w:val="auto"/>
                <w:sz w:val="16"/>
                <w:szCs w:val="16"/>
                <w:lang w:eastAsia="es-CO"/>
              </w:rPr>
            </w:pPr>
            <w:r w:rsidRPr="00256054">
              <w:rPr>
                <w:rFonts w:eastAsia="Times New Roman" w:cs="Times New Roman"/>
                <w:sz w:val="16"/>
                <w:szCs w:val="16"/>
                <w:lang w:eastAsia="es-CO"/>
              </w:rPr>
              <w:t>TOTAL</w:t>
            </w:r>
          </w:p>
        </w:tc>
        <w:tc>
          <w:tcPr>
            <w:tcW w:w="1569" w:type="dxa"/>
            <w:shd w:val="clear" w:color="auto" w:fill="BFE2A8" w:themeFill="accent2" w:themeFillTint="66"/>
            <w:noWrap/>
          </w:tcPr>
          <w:p w14:paraId="78598301" w14:textId="6A7E0270" w:rsidR="00494ECF" w:rsidRPr="00256054" w:rsidRDefault="00C87C5F"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C87C5F">
              <w:rPr>
                <w:rFonts w:eastAsia="Times New Roman" w:cs="Times New Roman"/>
                <w:b/>
                <w:bCs/>
                <w:sz w:val="16"/>
                <w:szCs w:val="16"/>
                <w:lang w:eastAsia="es-CO"/>
              </w:rPr>
              <w:t>35,949,249,758.45</w:t>
            </w:r>
          </w:p>
        </w:tc>
        <w:tc>
          <w:tcPr>
            <w:tcW w:w="1568" w:type="dxa"/>
            <w:shd w:val="clear" w:color="auto" w:fill="BFE2A8" w:themeFill="accent2" w:themeFillTint="66"/>
            <w:noWrap/>
          </w:tcPr>
          <w:p w14:paraId="1D03C882" w14:textId="4C90F266" w:rsidR="00494ECF" w:rsidRPr="00256054" w:rsidRDefault="00C87C5F"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C87C5F">
              <w:rPr>
                <w:rFonts w:eastAsia="Times New Roman" w:cs="Times New Roman"/>
                <w:b/>
                <w:bCs/>
                <w:sz w:val="16"/>
                <w:szCs w:val="16"/>
                <w:lang w:eastAsia="es-CO"/>
              </w:rPr>
              <w:t>31,661,304,048.22</w:t>
            </w:r>
          </w:p>
        </w:tc>
        <w:tc>
          <w:tcPr>
            <w:tcW w:w="1569" w:type="dxa"/>
            <w:shd w:val="clear" w:color="auto" w:fill="BFE2A8" w:themeFill="accent2" w:themeFillTint="66"/>
            <w:noWrap/>
          </w:tcPr>
          <w:p w14:paraId="352FE28B" w14:textId="04473993" w:rsidR="00494ECF" w:rsidRPr="00256054" w:rsidRDefault="00890BB6"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890BB6">
              <w:rPr>
                <w:rFonts w:eastAsia="Times New Roman" w:cs="Times New Roman"/>
                <w:b/>
                <w:bCs/>
                <w:sz w:val="16"/>
                <w:szCs w:val="16"/>
                <w:lang w:eastAsia="es-CO"/>
              </w:rPr>
              <w:t>2,754,859,170.63</w:t>
            </w:r>
          </w:p>
        </w:tc>
        <w:tc>
          <w:tcPr>
            <w:tcW w:w="1568" w:type="dxa"/>
            <w:shd w:val="clear" w:color="auto" w:fill="BFE2A8" w:themeFill="accent2" w:themeFillTint="66"/>
            <w:noWrap/>
          </w:tcPr>
          <w:p w14:paraId="0912B4A2" w14:textId="55B90446" w:rsidR="00494ECF" w:rsidRPr="00256054" w:rsidRDefault="00494ECF"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p>
        </w:tc>
        <w:tc>
          <w:tcPr>
            <w:tcW w:w="1572" w:type="dxa"/>
            <w:shd w:val="clear" w:color="auto" w:fill="BFE2A8" w:themeFill="accent2" w:themeFillTint="66"/>
            <w:noWrap/>
          </w:tcPr>
          <w:p w14:paraId="2DA85EEE" w14:textId="1249C981" w:rsidR="00494ECF" w:rsidRPr="00256054" w:rsidRDefault="00C87C5F" w:rsidP="00890BB6">
            <w:pPr>
              <w:cnfStyle w:val="000000100000" w:firstRow="0" w:lastRow="0" w:firstColumn="0" w:lastColumn="0" w:oddVBand="0" w:evenVBand="0" w:oddHBand="1" w:evenHBand="0" w:firstRowFirstColumn="0" w:firstRowLastColumn="0" w:lastRowFirstColumn="0" w:lastRowLastColumn="0"/>
              <w:rPr>
                <w:rFonts w:eastAsia="Times New Roman" w:cs="Times New Roman"/>
                <w:b/>
                <w:bCs/>
                <w:sz w:val="16"/>
                <w:szCs w:val="16"/>
                <w:lang w:eastAsia="es-CO"/>
              </w:rPr>
            </w:pPr>
            <w:r w:rsidRPr="00C87C5F">
              <w:rPr>
                <w:rFonts w:eastAsia="Times New Roman" w:cs="Times New Roman"/>
                <w:b/>
                <w:bCs/>
                <w:sz w:val="16"/>
                <w:szCs w:val="16"/>
                <w:lang w:eastAsia="es-CO"/>
              </w:rPr>
              <w:t>70,365,412,977.31</w:t>
            </w:r>
          </w:p>
        </w:tc>
      </w:tr>
      <w:tr w:rsidR="002A168D" w:rsidRPr="002946A9" w14:paraId="0DC734DE" w14:textId="77777777" w:rsidTr="00974199">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9884" w:type="dxa"/>
            <w:gridSpan w:val="7"/>
            <w:shd w:val="clear" w:color="auto" w:fill="DFF0D3" w:themeFill="accent2" w:themeFillTint="33"/>
            <w:noWrap/>
          </w:tcPr>
          <w:p w14:paraId="7389EFF3" w14:textId="77777777" w:rsidR="002A168D" w:rsidRPr="002946A9" w:rsidRDefault="002A168D" w:rsidP="00DF29CB">
            <w:pPr>
              <w:jc w:val="both"/>
              <w:rPr>
                <w:rFonts w:eastAsia="Times New Roman" w:cs="Times New Roman"/>
                <w:b w:val="0"/>
                <w:bCs w:val="0"/>
                <w:sz w:val="16"/>
                <w:szCs w:val="16"/>
                <w:lang w:eastAsia="es-CO"/>
              </w:rPr>
            </w:pPr>
            <w:r w:rsidRPr="00256054">
              <w:rPr>
                <w:rFonts w:cs="Calibri"/>
                <w:i/>
                <w:color w:val="000000"/>
                <w:sz w:val="16"/>
                <w:szCs w:val="16"/>
              </w:rPr>
              <w:t>*Todos los valores están en pesos a diciembre del 2017.</w:t>
            </w:r>
          </w:p>
        </w:tc>
      </w:tr>
    </w:tbl>
    <w:p w14:paraId="3830A54C" w14:textId="3D421E6A" w:rsidR="002A168D" w:rsidRPr="002946A9" w:rsidRDefault="002A168D" w:rsidP="00DF29CB">
      <w:pPr>
        <w:ind w:left="360"/>
        <w:jc w:val="both"/>
      </w:pPr>
    </w:p>
    <w:p w14:paraId="24C59EC6" w14:textId="21CA862D" w:rsidR="002455EA" w:rsidRPr="003B71EE" w:rsidRDefault="00D03254" w:rsidP="00DF29CB">
      <w:pPr>
        <w:ind w:left="360"/>
        <w:jc w:val="both"/>
        <w:rPr>
          <w:rFonts w:ascii="Trebuchet MS" w:hAnsi="Trebuchet MS"/>
        </w:rPr>
      </w:pPr>
      <w:r w:rsidRPr="003B71EE">
        <w:rPr>
          <w:rFonts w:ascii="Trebuchet MS" w:hAnsi="Trebuchet MS"/>
        </w:rPr>
        <w:t xml:space="preserve">Al comparar la </w:t>
      </w:r>
      <w:r w:rsidR="009D25DC" w:rsidRPr="003B71EE">
        <w:rPr>
          <w:rFonts w:ascii="Trebuchet MS" w:hAnsi="Trebuchet MS"/>
        </w:rPr>
        <w:fldChar w:fldCharType="begin"/>
      </w:r>
      <w:r w:rsidR="009D25DC" w:rsidRPr="003B71EE">
        <w:rPr>
          <w:rFonts w:ascii="Trebuchet MS" w:hAnsi="Trebuchet MS"/>
        </w:rPr>
        <w:instrText xml:space="preserve"> REF _Ref67393410 \h </w:instrText>
      </w:r>
      <w:r w:rsidR="004B36A8" w:rsidRPr="003B71EE">
        <w:rPr>
          <w:rFonts w:ascii="Trebuchet MS" w:hAnsi="Trebuchet MS"/>
        </w:rPr>
        <w:instrText xml:space="preserve"> \* MERGEFORMAT </w:instrText>
      </w:r>
      <w:r w:rsidR="009D25DC" w:rsidRPr="003B71EE">
        <w:rPr>
          <w:rFonts w:ascii="Trebuchet MS" w:hAnsi="Trebuchet MS"/>
        </w:rPr>
      </w:r>
      <w:r w:rsidR="009D25DC" w:rsidRPr="003B71EE">
        <w:rPr>
          <w:rFonts w:ascii="Trebuchet MS" w:hAnsi="Trebuchet MS"/>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3</w:t>
      </w:r>
      <w:r w:rsidR="009D25DC" w:rsidRPr="003B71EE">
        <w:rPr>
          <w:rFonts w:ascii="Trebuchet MS" w:hAnsi="Trebuchet MS"/>
        </w:rPr>
        <w:fldChar w:fldCharType="end"/>
      </w:r>
      <w:r w:rsidR="009D25DC" w:rsidRPr="003B71EE">
        <w:rPr>
          <w:rFonts w:ascii="Trebuchet MS" w:hAnsi="Trebuchet MS"/>
        </w:rPr>
        <w:t xml:space="preserve"> y la </w:t>
      </w:r>
      <w:r w:rsidR="009D25DC" w:rsidRPr="003B71EE">
        <w:rPr>
          <w:rFonts w:ascii="Trebuchet MS" w:hAnsi="Trebuchet MS"/>
        </w:rPr>
        <w:fldChar w:fldCharType="begin"/>
      </w:r>
      <w:r w:rsidR="009D25DC" w:rsidRPr="003B71EE">
        <w:rPr>
          <w:rFonts w:ascii="Trebuchet MS" w:hAnsi="Trebuchet MS"/>
        </w:rPr>
        <w:instrText xml:space="preserve"> REF _Ref67466986 \h </w:instrText>
      </w:r>
      <w:r w:rsidR="004B36A8" w:rsidRPr="003B71EE">
        <w:rPr>
          <w:rFonts w:ascii="Trebuchet MS" w:hAnsi="Trebuchet MS"/>
        </w:rPr>
        <w:instrText xml:space="preserve"> \* MERGEFORMAT </w:instrText>
      </w:r>
      <w:r w:rsidR="009D25DC" w:rsidRPr="003B71EE">
        <w:rPr>
          <w:rFonts w:ascii="Trebuchet MS" w:hAnsi="Trebuchet MS"/>
        </w:rPr>
      </w:r>
      <w:r w:rsidR="009D25DC" w:rsidRPr="003B71EE">
        <w:rPr>
          <w:rFonts w:ascii="Trebuchet MS" w:hAnsi="Trebuchet MS"/>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5</w:t>
      </w:r>
      <w:r w:rsidR="009D25DC" w:rsidRPr="003B71EE">
        <w:rPr>
          <w:rFonts w:ascii="Trebuchet MS" w:hAnsi="Trebuchet MS"/>
        </w:rPr>
        <w:fldChar w:fldCharType="end"/>
      </w:r>
      <w:r w:rsidR="003B580D" w:rsidRPr="003B71EE">
        <w:rPr>
          <w:rFonts w:ascii="Trebuchet MS" w:hAnsi="Trebuchet MS"/>
        </w:rPr>
        <w:t xml:space="preserve">, se observa que </w:t>
      </w:r>
      <w:r w:rsidR="00445EB0" w:rsidRPr="003B71EE">
        <w:rPr>
          <w:rFonts w:ascii="Trebuchet MS" w:hAnsi="Trebuchet MS"/>
        </w:rPr>
        <w:t xml:space="preserve">en el año </w:t>
      </w:r>
      <w:r w:rsidR="008744E8" w:rsidRPr="003B71EE">
        <w:rPr>
          <w:rFonts w:ascii="Trebuchet MS" w:hAnsi="Trebuchet MS"/>
        </w:rPr>
        <w:t xml:space="preserve">2022 </w:t>
      </w:r>
      <w:r w:rsidR="00A828DA" w:rsidRPr="003B71EE">
        <w:rPr>
          <w:rFonts w:ascii="Trebuchet MS" w:hAnsi="Trebuchet MS"/>
        </w:rPr>
        <w:t xml:space="preserve">el total de </w:t>
      </w:r>
      <w:r w:rsidR="00A46C05" w:rsidRPr="003B71EE">
        <w:rPr>
          <w:rFonts w:ascii="Trebuchet MS" w:hAnsi="Trebuchet MS"/>
        </w:rPr>
        <w:t>los excedentes de</w:t>
      </w:r>
      <w:r w:rsidR="00415260" w:rsidRPr="003B71EE">
        <w:rPr>
          <w:rFonts w:ascii="Trebuchet MS" w:hAnsi="Trebuchet MS"/>
        </w:rPr>
        <w:t xml:space="preserve"> inversiones de</w:t>
      </w:r>
      <w:r w:rsidR="00A46C05" w:rsidRPr="003B71EE">
        <w:rPr>
          <w:rFonts w:ascii="Trebuchet MS" w:hAnsi="Trebuchet MS"/>
        </w:rPr>
        <w:t xml:space="preserve"> la variable</w:t>
      </w:r>
      <w:r w:rsidR="00415260" w:rsidRPr="003B71EE">
        <w:rPr>
          <w:rFonts w:ascii="Trebuchet MS" w:hAnsi="Trebuchet MS"/>
          <w:i/>
          <w:iCs/>
          <w:szCs w:val="24"/>
        </w:rPr>
        <w:t xml:space="preserve"> INVR</w:t>
      </w:r>
      <w:r w:rsidR="00415260" w:rsidRPr="003B71EE">
        <w:rPr>
          <w:rFonts w:ascii="Trebuchet MS" w:hAnsi="Trebuchet MS"/>
          <w:i/>
          <w:iCs/>
          <w:szCs w:val="24"/>
          <w:vertAlign w:val="subscript"/>
        </w:rPr>
        <w:t>j,n,l,t</w:t>
      </w:r>
      <w:r w:rsidR="00415260" w:rsidRPr="003B71EE">
        <w:rPr>
          <w:rFonts w:ascii="Trebuchet MS" w:hAnsi="Trebuchet MS"/>
        </w:rPr>
        <w:t xml:space="preserve"> </w:t>
      </w:r>
      <w:r w:rsidR="007901D3" w:rsidRPr="003B71EE">
        <w:rPr>
          <w:rFonts w:ascii="Trebuchet MS" w:hAnsi="Trebuchet MS"/>
        </w:rPr>
        <w:t>fueron</w:t>
      </w:r>
      <w:r w:rsidR="0063644A" w:rsidRPr="003B71EE">
        <w:rPr>
          <w:rFonts w:ascii="Trebuchet MS" w:hAnsi="Trebuchet MS"/>
        </w:rPr>
        <w:t xml:space="preserve"> un </w:t>
      </w:r>
      <w:r w:rsidR="00F101C8" w:rsidRPr="00EF3F98">
        <w:rPr>
          <w:rFonts w:ascii="Trebuchet MS" w:hAnsi="Trebuchet MS"/>
        </w:rPr>
        <w:t xml:space="preserve">74.73% </w:t>
      </w:r>
      <w:r w:rsidR="0063644A" w:rsidRPr="003B71EE">
        <w:rPr>
          <w:rFonts w:ascii="Trebuchet MS" w:hAnsi="Trebuchet MS"/>
        </w:rPr>
        <w:t xml:space="preserve">mayor </w:t>
      </w:r>
      <w:r w:rsidR="007901D3" w:rsidRPr="003B71EE">
        <w:rPr>
          <w:rFonts w:ascii="Trebuchet MS" w:hAnsi="Trebuchet MS"/>
        </w:rPr>
        <w:t>a lo</w:t>
      </w:r>
      <w:r w:rsidR="00415260" w:rsidRPr="003B71EE">
        <w:rPr>
          <w:rFonts w:ascii="Trebuchet MS" w:hAnsi="Trebuchet MS"/>
        </w:rPr>
        <w:t>s</w:t>
      </w:r>
      <w:r w:rsidR="007901D3" w:rsidRPr="003B71EE">
        <w:rPr>
          <w:rFonts w:ascii="Trebuchet MS" w:hAnsi="Trebuchet MS"/>
        </w:rPr>
        <w:t xml:space="preserve"> obtenidos en </w:t>
      </w:r>
      <w:r w:rsidR="00A828DA" w:rsidRPr="003B71EE">
        <w:rPr>
          <w:rFonts w:ascii="Trebuchet MS" w:hAnsi="Trebuchet MS"/>
        </w:rPr>
        <w:t xml:space="preserve">el año </w:t>
      </w:r>
      <w:r w:rsidR="008744E8" w:rsidRPr="003B71EE">
        <w:rPr>
          <w:rFonts w:ascii="Trebuchet MS" w:hAnsi="Trebuchet MS"/>
        </w:rPr>
        <w:t>2021</w:t>
      </w:r>
      <w:r w:rsidR="00415260" w:rsidRPr="003B71EE">
        <w:rPr>
          <w:rFonts w:ascii="Trebuchet MS" w:hAnsi="Trebuchet MS"/>
        </w:rPr>
        <w:t>.</w:t>
      </w:r>
      <w:r w:rsidR="002E6FAA" w:rsidRPr="003B71EE">
        <w:rPr>
          <w:rFonts w:ascii="Trebuchet MS" w:hAnsi="Trebuchet MS"/>
        </w:rPr>
        <w:t xml:space="preserve"> A pesar de que en </w:t>
      </w:r>
      <w:r w:rsidR="00415260" w:rsidRPr="003B71EE">
        <w:rPr>
          <w:rFonts w:ascii="Trebuchet MS" w:hAnsi="Trebuchet MS"/>
        </w:rPr>
        <w:t xml:space="preserve">el </w:t>
      </w:r>
      <w:r w:rsidR="008744E8" w:rsidRPr="003B71EE">
        <w:rPr>
          <w:rFonts w:ascii="Trebuchet MS" w:hAnsi="Trebuchet MS"/>
        </w:rPr>
        <w:t>2022</w:t>
      </w:r>
      <w:r w:rsidR="00363492" w:rsidRPr="00EF3F98">
        <w:rPr>
          <w:rFonts w:ascii="Trebuchet MS" w:hAnsi="Trebuchet MS"/>
        </w:rPr>
        <w:t xml:space="preserve"> </w:t>
      </w:r>
      <w:r w:rsidR="001D35F3" w:rsidRPr="003B71EE">
        <w:rPr>
          <w:rFonts w:ascii="Trebuchet MS" w:hAnsi="Trebuchet MS"/>
        </w:rPr>
        <w:t xml:space="preserve">algunas categorías de activos dejaron de tener </w:t>
      </w:r>
      <w:r w:rsidR="00306A7E" w:rsidRPr="003B71EE">
        <w:rPr>
          <w:rFonts w:ascii="Trebuchet MS" w:hAnsi="Trebuchet MS"/>
        </w:rPr>
        <w:t>excedentes</w:t>
      </w:r>
      <w:r w:rsidR="000A0FC6" w:rsidRPr="003B71EE">
        <w:rPr>
          <w:rFonts w:ascii="Trebuchet MS" w:hAnsi="Trebuchet MS"/>
        </w:rPr>
        <w:t xml:space="preserve"> en comparación con el </w:t>
      </w:r>
      <w:r w:rsidR="008744E8" w:rsidRPr="003B71EE">
        <w:rPr>
          <w:rFonts w:ascii="Trebuchet MS" w:hAnsi="Trebuchet MS"/>
        </w:rPr>
        <w:t>2021</w:t>
      </w:r>
      <w:r w:rsidR="00306A7E" w:rsidRPr="003B71EE">
        <w:rPr>
          <w:rFonts w:ascii="Trebuchet MS" w:hAnsi="Trebuchet MS"/>
        </w:rPr>
        <w:t>, aparecieron otras</w:t>
      </w:r>
      <w:r w:rsidR="00186C75" w:rsidRPr="003B71EE">
        <w:rPr>
          <w:rFonts w:ascii="Trebuchet MS" w:hAnsi="Trebuchet MS"/>
        </w:rPr>
        <w:t xml:space="preserve"> categorías</w:t>
      </w:r>
      <w:r w:rsidR="002455EA" w:rsidRPr="003B71EE">
        <w:rPr>
          <w:rFonts w:ascii="Trebuchet MS" w:hAnsi="Trebuchet MS"/>
        </w:rPr>
        <w:t xml:space="preserve">, como por ejemplo, </w:t>
      </w:r>
      <w:r w:rsidR="00662322" w:rsidRPr="00EF3F98">
        <w:rPr>
          <w:rFonts w:ascii="Trebuchet MS" w:hAnsi="Trebuchet MS"/>
        </w:rPr>
        <w:t xml:space="preserve">para la categoría bahías y celdas en el </w:t>
      </w:r>
      <w:r w:rsidR="00325464" w:rsidRPr="003B71EE">
        <w:rPr>
          <w:rFonts w:ascii="Trebuchet MS" w:hAnsi="Trebuchet MS"/>
        </w:rPr>
        <w:t xml:space="preserve">nivel </w:t>
      </w:r>
      <w:r w:rsidR="0058150B" w:rsidRPr="00EF3F98">
        <w:rPr>
          <w:rFonts w:ascii="Trebuchet MS" w:hAnsi="Trebuchet MS"/>
        </w:rPr>
        <w:t>3</w:t>
      </w:r>
      <w:r w:rsidR="0058150B" w:rsidRPr="003B71EE">
        <w:rPr>
          <w:rFonts w:ascii="Trebuchet MS" w:hAnsi="Trebuchet MS"/>
        </w:rPr>
        <w:t xml:space="preserve"> </w:t>
      </w:r>
      <w:r w:rsidR="001A7550" w:rsidRPr="00EF3F98">
        <w:rPr>
          <w:rFonts w:ascii="Trebuchet MS" w:hAnsi="Trebuchet MS"/>
        </w:rPr>
        <w:t xml:space="preserve">y </w:t>
      </w:r>
      <w:r w:rsidR="00325464" w:rsidRPr="003B71EE">
        <w:rPr>
          <w:rFonts w:ascii="Trebuchet MS" w:hAnsi="Trebuchet MS"/>
        </w:rPr>
        <w:t xml:space="preserve"> </w:t>
      </w:r>
      <w:r w:rsidR="004A62EF" w:rsidRPr="00EF3F98">
        <w:rPr>
          <w:rFonts w:ascii="Trebuchet MS" w:hAnsi="Trebuchet MS"/>
        </w:rPr>
        <w:t xml:space="preserve">transformadores de distribución de nivel 1 </w:t>
      </w:r>
      <w:r w:rsidR="00325464" w:rsidRPr="003B71EE">
        <w:rPr>
          <w:rFonts w:ascii="Trebuchet MS" w:hAnsi="Trebuchet MS"/>
        </w:rPr>
        <w:t>,</w:t>
      </w:r>
      <w:r w:rsidR="00186C75" w:rsidRPr="003B71EE">
        <w:rPr>
          <w:rFonts w:ascii="Trebuchet MS" w:hAnsi="Trebuchet MS"/>
        </w:rPr>
        <w:t xml:space="preserve"> que superaron el 1.1*</w:t>
      </w:r>
      <w:r w:rsidR="00186C75" w:rsidRPr="003B71EE">
        <w:rPr>
          <w:rFonts w:ascii="Trebuchet MS" w:hAnsi="Trebuchet MS"/>
          <w:i/>
          <w:iCs/>
          <w:szCs w:val="24"/>
        </w:rPr>
        <w:t xml:space="preserve"> INVA</w:t>
      </w:r>
      <w:r w:rsidR="00186C75" w:rsidRPr="003B71EE">
        <w:rPr>
          <w:rFonts w:ascii="Trebuchet MS" w:hAnsi="Trebuchet MS"/>
          <w:i/>
          <w:iCs/>
          <w:szCs w:val="24"/>
          <w:vertAlign w:val="subscript"/>
        </w:rPr>
        <w:t>j,n,l,t</w:t>
      </w:r>
      <w:r w:rsidR="00024C89" w:rsidRPr="003B71EE">
        <w:rPr>
          <w:rFonts w:ascii="Trebuchet MS" w:hAnsi="Trebuchet MS"/>
        </w:rPr>
        <w:t xml:space="preserve">, </w:t>
      </w:r>
      <w:r w:rsidR="00306A7E" w:rsidRPr="003B71EE">
        <w:rPr>
          <w:rFonts w:ascii="Trebuchet MS" w:hAnsi="Trebuchet MS"/>
        </w:rPr>
        <w:t xml:space="preserve">lo que ocasionó </w:t>
      </w:r>
      <w:r w:rsidR="00491678" w:rsidRPr="003B71EE">
        <w:rPr>
          <w:rFonts w:ascii="Trebuchet MS" w:hAnsi="Trebuchet MS"/>
        </w:rPr>
        <w:t>mayores excedentes</w:t>
      </w:r>
      <w:r w:rsidR="00306A7E" w:rsidRPr="003B71EE">
        <w:rPr>
          <w:rFonts w:ascii="Trebuchet MS" w:hAnsi="Trebuchet MS"/>
        </w:rPr>
        <w:t>.</w:t>
      </w:r>
      <w:r w:rsidR="006C674C" w:rsidRPr="003B71EE">
        <w:rPr>
          <w:rFonts w:ascii="Trebuchet MS" w:hAnsi="Trebuchet MS"/>
        </w:rPr>
        <w:t xml:space="preserve"> </w:t>
      </w:r>
    </w:p>
    <w:p w14:paraId="27BFF075" w14:textId="67242494" w:rsidR="002A168D" w:rsidRPr="003B71EE" w:rsidRDefault="006C674C" w:rsidP="00DF29CB">
      <w:pPr>
        <w:ind w:left="360"/>
        <w:jc w:val="both"/>
        <w:rPr>
          <w:rFonts w:ascii="Trebuchet MS" w:hAnsi="Trebuchet MS"/>
        </w:rPr>
      </w:pPr>
      <w:r w:rsidRPr="003B71EE">
        <w:rPr>
          <w:rFonts w:ascii="Trebuchet MS" w:hAnsi="Trebuchet MS"/>
        </w:rPr>
        <w:t xml:space="preserve">Del total de las inversiones realizadas en </w:t>
      </w:r>
      <w:r w:rsidR="00D5650E" w:rsidRPr="003B71EE">
        <w:rPr>
          <w:rFonts w:ascii="Trebuchet MS" w:hAnsi="Trebuchet MS"/>
        </w:rPr>
        <w:t>202</w:t>
      </w:r>
      <w:r w:rsidR="00D5650E" w:rsidRPr="00EF3F98">
        <w:rPr>
          <w:rFonts w:ascii="Trebuchet MS" w:hAnsi="Trebuchet MS"/>
        </w:rPr>
        <w:t>2</w:t>
      </w:r>
      <w:r w:rsidR="00D5650E" w:rsidRPr="003B71EE">
        <w:rPr>
          <w:rFonts w:ascii="Trebuchet MS" w:hAnsi="Trebuchet MS"/>
        </w:rPr>
        <w:t xml:space="preserve"> </w:t>
      </w:r>
      <w:r w:rsidR="00F149B2" w:rsidRPr="003B71EE">
        <w:rPr>
          <w:rFonts w:ascii="Trebuchet MS" w:hAnsi="Trebuchet MS"/>
        </w:rPr>
        <w:t xml:space="preserve">($ </w:t>
      </w:r>
      <w:r w:rsidR="00972E35" w:rsidRPr="003B71EE">
        <w:rPr>
          <w:rFonts w:ascii="Trebuchet MS" w:hAnsi="Trebuchet MS"/>
        </w:rPr>
        <w:t>359,841,413,029.33</w:t>
      </w:r>
      <w:r w:rsidR="00F149B2" w:rsidRPr="003B71EE">
        <w:rPr>
          <w:rFonts w:ascii="Trebuchet MS" w:hAnsi="Trebuchet MS"/>
        </w:rPr>
        <w:t>)</w:t>
      </w:r>
      <w:r w:rsidR="00EB6B0F" w:rsidRPr="003B71EE">
        <w:rPr>
          <w:rFonts w:ascii="Trebuchet MS" w:hAnsi="Trebuchet MS"/>
        </w:rPr>
        <w:t>,</w:t>
      </w:r>
      <w:r w:rsidR="00987174" w:rsidRPr="003B71EE">
        <w:rPr>
          <w:rFonts w:ascii="Trebuchet MS" w:hAnsi="Trebuchet MS"/>
        </w:rPr>
        <w:t xml:space="preserve"> dadas en la</w:t>
      </w:r>
      <w:r w:rsidR="00EB6B0F" w:rsidRPr="003B71EE">
        <w:rPr>
          <w:rFonts w:ascii="Trebuchet MS" w:hAnsi="Trebuchet MS"/>
        </w:rPr>
        <w:t xml:space="preserve"> </w:t>
      </w:r>
      <w:r w:rsidR="00EB6B0F" w:rsidRPr="003B71EE">
        <w:rPr>
          <w:rFonts w:ascii="Trebuchet MS" w:hAnsi="Trebuchet MS"/>
        </w:rPr>
        <w:fldChar w:fldCharType="begin"/>
      </w:r>
      <w:r w:rsidR="00EB6B0F" w:rsidRPr="003B71EE">
        <w:rPr>
          <w:rFonts w:ascii="Trebuchet MS" w:hAnsi="Trebuchet MS"/>
        </w:rPr>
        <w:instrText xml:space="preserve"> REF _Ref67390194 \h </w:instrText>
      </w:r>
      <w:r w:rsidR="00DF29CB" w:rsidRPr="003B71EE">
        <w:rPr>
          <w:rFonts w:ascii="Trebuchet MS" w:hAnsi="Trebuchet MS"/>
        </w:rPr>
        <w:instrText xml:space="preserve"> \* MERGEFORMAT </w:instrText>
      </w:r>
      <w:r w:rsidR="00EB6B0F" w:rsidRPr="003B71EE">
        <w:rPr>
          <w:rFonts w:ascii="Trebuchet MS" w:hAnsi="Trebuchet MS"/>
        </w:rPr>
      </w:r>
      <w:r w:rsidR="00EB6B0F" w:rsidRPr="003B71EE">
        <w:rPr>
          <w:rFonts w:ascii="Trebuchet MS" w:hAnsi="Trebuchet MS"/>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1</w:t>
      </w:r>
      <w:r w:rsidR="00EB6B0F" w:rsidRPr="003B71EE">
        <w:rPr>
          <w:rFonts w:ascii="Trebuchet MS" w:hAnsi="Trebuchet MS"/>
        </w:rPr>
        <w:fldChar w:fldCharType="end"/>
      </w:r>
      <w:r w:rsidR="00EB6B0F" w:rsidRPr="003B71EE">
        <w:rPr>
          <w:rFonts w:ascii="Trebuchet MS" w:hAnsi="Trebuchet MS"/>
        </w:rPr>
        <w:t xml:space="preserve">, </w:t>
      </w:r>
      <w:r w:rsidR="002E6229" w:rsidRPr="003B71EE">
        <w:rPr>
          <w:rFonts w:ascii="Trebuchet MS" w:hAnsi="Trebuchet MS"/>
        </w:rPr>
        <w:t xml:space="preserve">acorde con la </w:t>
      </w:r>
      <w:r w:rsidR="002E6229" w:rsidRPr="003B71EE">
        <w:rPr>
          <w:rFonts w:ascii="Trebuchet MS" w:hAnsi="Trebuchet MS"/>
        </w:rPr>
        <w:fldChar w:fldCharType="begin"/>
      </w:r>
      <w:r w:rsidR="002E6229" w:rsidRPr="003B71EE">
        <w:rPr>
          <w:rFonts w:ascii="Trebuchet MS" w:hAnsi="Trebuchet MS"/>
        </w:rPr>
        <w:instrText xml:space="preserve"> REF _Ref67466986 \h </w:instrText>
      </w:r>
      <w:r w:rsidR="00DF29CB" w:rsidRPr="003B71EE">
        <w:rPr>
          <w:rFonts w:ascii="Trebuchet MS" w:hAnsi="Trebuchet MS"/>
        </w:rPr>
        <w:instrText xml:space="preserve"> \* MERGEFORMAT </w:instrText>
      </w:r>
      <w:r w:rsidR="002E6229" w:rsidRPr="003B71EE">
        <w:rPr>
          <w:rFonts w:ascii="Trebuchet MS" w:hAnsi="Trebuchet MS"/>
        </w:rPr>
      </w:r>
      <w:r w:rsidR="002E6229" w:rsidRPr="003B71EE">
        <w:rPr>
          <w:rFonts w:ascii="Trebuchet MS" w:hAnsi="Trebuchet MS"/>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5</w:t>
      </w:r>
      <w:r w:rsidR="002E6229" w:rsidRPr="003B71EE">
        <w:rPr>
          <w:rFonts w:ascii="Trebuchet MS" w:hAnsi="Trebuchet MS"/>
        </w:rPr>
        <w:fldChar w:fldCharType="end"/>
      </w:r>
      <w:r w:rsidR="009C2F57" w:rsidRPr="003B71EE">
        <w:rPr>
          <w:rFonts w:ascii="Trebuchet MS" w:hAnsi="Trebuchet MS"/>
        </w:rPr>
        <w:t>,</w:t>
      </w:r>
      <w:r w:rsidR="00486527" w:rsidRPr="003B71EE">
        <w:rPr>
          <w:rFonts w:ascii="Trebuchet MS" w:hAnsi="Trebuchet MS"/>
        </w:rPr>
        <w:t xml:space="preserve"> </w:t>
      </w:r>
      <w:r w:rsidR="00EB6B0F" w:rsidRPr="003B71EE">
        <w:rPr>
          <w:rFonts w:ascii="Trebuchet MS" w:hAnsi="Trebuchet MS"/>
        </w:rPr>
        <w:t>$</w:t>
      </w:r>
      <w:r w:rsidR="00543A9A" w:rsidRPr="003B71EE">
        <w:rPr>
          <w:rFonts w:ascii="Trebuchet MS" w:hAnsi="Trebuchet MS"/>
        </w:rPr>
        <w:t xml:space="preserve"> </w:t>
      </w:r>
      <w:r w:rsidR="00486527" w:rsidRPr="003B71EE">
        <w:rPr>
          <w:rFonts w:ascii="Trebuchet MS" w:hAnsi="Trebuchet MS"/>
        </w:rPr>
        <w:t xml:space="preserve"> </w:t>
      </w:r>
      <w:r w:rsidR="00263C86" w:rsidRPr="00EF3F98">
        <w:rPr>
          <w:rFonts w:ascii="Trebuchet MS" w:hAnsi="Trebuchet MS"/>
        </w:rPr>
        <w:t xml:space="preserve">70,365,412,977.31 </w:t>
      </w:r>
      <w:r w:rsidR="003C3CD7" w:rsidRPr="003B71EE">
        <w:rPr>
          <w:rFonts w:ascii="Trebuchet MS" w:hAnsi="Trebuchet MS"/>
        </w:rPr>
        <w:t xml:space="preserve">excedieron el límite permitido, lo que representa un </w:t>
      </w:r>
      <w:r w:rsidR="00BC1D62" w:rsidRPr="00EF3F98">
        <w:rPr>
          <w:rFonts w:ascii="Trebuchet MS" w:hAnsi="Trebuchet MS"/>
        </w:rPr>
        <w:t>19.75</w:t>
      </w:r>
      <w:r w:rsidR="00D103E7" w:rsidRPr="003B71EE">
        <w:rPr>
          <w:rFonts w:ascii="Trebuchet MS" w:hAnsi="Trebuchet MS"/>
        </w:rPr>
        <w:t>%</w:t>
      </w:r>
      <w:r w:rsidR="00EA0604" w:rsidRPr="003B71EE">
        <w:rPr>
          <w:rFonts w:ascii="Trebuchet MS" w:hAnsi="Trebuchet MS"/>
        </w:rPr>
        <w:t xml:space="preserve"> </w:t>
      </w:r>
      <w:r w:rsidR="008E4059" w:rsidRPr="003B71EE">
        <w:rPr>
          <w:rFonts w:ascii="Trebuchet MS" w:hAnsi="Trebuchet MS"/>
        </w:rPr>
        <w:t xml:space="preserve">de ejecución </w:t>
      </w:r>
      <w:r w:rsidR="000E5760" w:rsidRPr="003B71EE">
        <w:rPr>
          <w:rFonts w:ascii="Trebuchet MS" w:hAnsi="Trebuchet MS"/>
        </w:rPr>
        <w:t>que queda sin remunerar</w:t>
      </w:r>
      <w:r w:rsidR="00AF6E29" w:rsidRPr="003B71EE">
        <w:rPr>
          <w:rFonts w:ascii="Trebuchet MS" w:hAnsi="Trebuchet MS"/>
        </w:rPr>
        <w:t xml:space="preserve"> </w:t>
      </w:r>
      <w:r w:rsidR="000E5760" w:rsidRPr="003B71EE">
        <w:rPr>
          <w:rFonts w:ascii="Trebuchet MS" w:hAnsi="Trebuchet MS"/>
        </w:rPr>
        <w:t xml:space="preserve">y </w:t>
      </w:r>
      <w:r w:rsidR="00EA0604" w:rsidRPr="003B71EE">
        <w:rPr>
          <w:rFonts w:ascii="Trebuchet MS" w:hAnsi="Trebuchet MS"/>
        </w:rPr>
        <w:t xml:space="preserve">que podrá </w:t>
      </w:r>
      <w:r w:rsidR="00257E57" w:rsidRPr="003B71EE">
        <w:rPr>
          <w:rFonts w:ascii="Trebuchet MS" w:hAnsi="Trebuchet MS"/>
        </w:rPr>
        <w:t xml:space="preserve">incluirse en las inversiones ejecutadas en </w:t>
      </w:r>
      <w:r w:rsidR="00BB74E6" w:rsidRPr="003B71EE">
        <w:rPr>
          <w:rFonts w:ascii="Trebuchet MS" w:hAnsi="Trebuchet MS"/>
        </w:rPr>
        <w:t xml:space="preserve">el año </w:t>
      </w:r>
      <w:r w:rsidR="003B71EE" w:rsidRPr="003B71EE">
        <w:rPr>
          <w:rFonts w:ascii="Trebuchet MS" w:hAnsi="Trebuchet MS"/>
        </w:rPr>
        <w:t>202</w:t>
      </w:r>
      <w:r w:rsidR="003B71EE" w:rsidRPr="00EF3F98">
        <w:rPr>
          <w:rFonts w:ascii="Trebuchet MS" w:hAnsi="Trebuchet MS"/>
        </w:rPr>
        <w:t>3</w:t>
      </w:r>
      <w:r w:rsidR="00A24184" w:rsidRPr="003B71EE">
        <w:rPr>
          <w:rFonts w:ascii="Trebuchet MS" w:hAnsi="Trebuchet MS"/>
        </w:rPr>
        <w:t>, para su reconocimiento</w:t>
      </w:r>
      <w:r w:rsidR="00257E57" w:rsidRPr="003B71EE">
        <w:rPr>
          <w:rFonts w:ascii="Trebuchet MS" w:hAnsi="Trebuchet MS"/>
        </w:rPr>
        <w:t>.</w:t>
      </w:r>
    </w:p>
    <w:p w14:paraId="4DFEF913" w14:textId="06770A51" w:rsidR="00B60006" w:rsidRPr="009B4D88" w:rsidRDefault="00B60006" w:rsidP="00DF29CB">
      <w:pPr>
        <w:ind w:left="360"/>
        <w:jc w:val="both"/>
        <w:rPr>
          <w:rFonts w:ascii="Trebuchet MS" w:hAnsi="Trebuchet MS"/>
        </w:rPr>
      </w:pPr>
      <w:r w:rsidRPr="009B4D88">
        <w:rPr>
          <w:rFonts w:ascii="Trebuchet MS" w:hAnsi="Trebuchet MS"/>
        </w:rPr>
        <w:t>De la inversión aprobada en el plan de inversiones</w:t>
      </w:r>
      <w:r w:rsidR="00BA37A4" w:rsidRPr="009B4D88">
        <w:rPr>
          <w:rFonts w:ascii="Trebuchet MS" w:hAnsi="Trebuchet MS"/>
        </w:rPr>
        <w:t>,</w:t>
      </w:r>
      <w:r w:rsidRPr="009B4D88">
        <w:rPr>
          <w:rFonts w:ascii="Trebuchet MS" w:hAnsi="Trebuchet MS"/>
        </w:rPr>
        <w:t xml:space="preserve"> por</w:t>
      </w:r>
      <w:r w:rsidR="00BA37A4" w:rsidRPr="009B4D88">
        <w:rPr>
          <w:rFonts w:ascii="Trebuchet MS" w:hAnsi="Trebuchet MS"/>
        </w:rPr>
        <w:t xml:space="preserve"> valor</w:t>
      </w:r>
      <w:r w:rsidR="00092A42" w:rsidRPr="009B4D88">
        <w:rPr>
          <w:rFonts w:ascii="Trebuchet MS" w:hAnsi="Trebuchet MS"/>
        </w:rPr>
        <w:t xml:space="preserve"> de</w:t>
      </w:r>
      <w:r w:rsidRPr="009B4D88">
        <w:rPr>
          <w:rFonts w:ascii="Trebuchet MS" w:hAnsi="Trebuchet MS"/>
        </w:rPr>
        <w:t xml:space="preserve"> </w:t>
      </w:r>
      <w:r w:rsidR="00092A42" w:rsidRPr="009B4D88">
        <w:rPr>
          <w:rFonts w:ascii="Trebuchet MS" w:hAnsi="Trebuchet MS" w:cs="Arial"/>
        </w:rPr>
        <w:t xml:space="preserve">$ </w:t>
      </w:r>
      <w:r w:rsidR="00EB7837" w:rsidRPr="009B4D88">
        <w:rPr>
          <w:rFonts w:ascii="Trebuchet MS" w:eastAsia="Times New Roman" w:hAnsi="Trebuchet MS" w:cs="Times New Roman"/>
          <w:lang w:eastAsia="es-CO"/>
        </w:rPr>
        <w:t>$ 299,914,609,167</w:t>
      </w:r>
      <w:r w:rsidR="00B607B9" w:rsidRPr="009B4D88">
        <w:rPr>
          <w:rFonts w:ascii="Trebuchet MS" w:hAnsi="Trebuchet MS"/>
        </w:rPr>
        <w:t xml:space="preserve">, </w:t>
      </w:r>
      <w:r w:rsidR="00CC6638" w:rsidRPr="009B4D88">
        <w:rPr>
          <w:rFonts w:ascii="Trebuchet MS" w:hAnsi="Trebuchet MS"/>
        </w:rPr>
        <w:t xml:space="preserve">se ejecutaron </w:t>
      </w:r>
      <w:r w:rsidR="00ED223E" w:rsidRPr="009B4D88">
        <w:rPr>
          <w:rFonts w:ascii="Trebuchet MS" w:hAnsi="Trebuchet MS"/>
        </w:rPr>
        <w:t xml:space="preserve">sin acotar $ </w:t>
      </w:r>
      <w:r w:rsidR="00660E15" w:rsidRPr="009B4D88">
        <w:rPr>
          <w:rFonts w:ascii="Trebuchet MS" w:hAnsi="Trebuchet MS"/>
        </w:rPr>
        <w:t>359,841,413,029.33</w:t>
      </w:r>
      <w:r w:rsidR="00ED223E" w:rsidRPr="009B4D88">
        <w:rPr>
          <w:rFonts w:ascii="Trebuchet MS" w:hAnsi="Trebuchet MS"/>
        </w:rPr>
        <w:t xml:space="preserve">, lo que </w:t>
      </w:r>
      <w:r w:rsidR="008C311C" w:rsidRPr="009B4D88">
        <w:rPr>
          <w:rFonts w:ascii="Trebuchet MS" w:hAnsi="Trebuchet MS"/>
        </w:rPr>
        <w:t xml:space="preserve">corresponde a un </w:t>
      </w:r>
      <w:r w:rsidRPr="009B4D88">
        <w:rPr>
          <w:rFonts w:ascii="Trebuchet MS" w:hAnsi="Trebuchet MS"/>
        </w:rPr>
        <w:t xml:space="preserve">porcentaje de ejecución del </w:t>
      </w:r>
      <w:r w:rsidR="000C1791" w:rsidRPr="00EF3F98">
        <w:rPr>
          <w:rFonts w:ascii="Trebuchet MS" w:hAnsi="Trebuchet MS"/>
        </w:rPr>
        <w:t>119.98</w:t>
      </w:r>
      <w:r w:rsidRPr="009B4D88">
        <w:rPr>
          <w:rFonts w:ascii="Trebuchet MS" w:hAnsi="Trebuchet MS"/>
        </w:rPr>
        <w:t>%</w:t>
      </w:r>
      <w:r w:rsidR="003C08A3" w:rsidRPr="009B4D88">
        <w:rPr>
          <w:rFonts w:ascii="Trebuchet MS" w:hAnsi="Trebuchet MS"/>
        </w:rPr>
        <w:t xml:space="preserve"> respecto al plan Aprobado</w:t>
      </w:r>
      <w:r w:rsidRPr="009B4D88">
        <w:rPr>
          <w:rFonts w:ascii="Trebuchet MS" w:hAnsi="Trebuchet MS"/>
        </w:rPr>
        <w:t>.</w:t>
      </w:r>
      <w:r w:rsidR="00F247AF" w:rsidRPr="009B4D88">
        <w:rPr>
          <w:rFonts w:ascii="Trebuchet MS" w:hAnsi="Trebuchet MS"/>
        </w:rPr>
        <w:t xml:space="preserve"> </w:t>
      </w:r>
      <w:r w:rsidR="00D44510" w:rsidRPr="009B4D88">
        <w:rPr>
          <w:rFonts w:ascii="Trebuchet MS" w:hAnsi="Trebuchet MS"/>
        </w:rPr>
        <w:t xml:space="preserve">Si se considera </w:t>
      </w:r>
      <w:r w:rsidR="00980266" w:rsidRPr="009B4D88">
        <w:rPr>
          <w:rFonts w:ascii="Trebuchet MS" w:hAnsi="Trebuchet MS"/>
        </w:rPr>
        <w:t xml:space="preserve">la ejecución acotada de la </w:t>
      </w:r>
      <w:r w:rsidR="00980266" w:rsidRPr="009B4D88">
        <w:rPr>
          <w:rFonts w:ascii="Trebuchet MS" w:hAnsi="Trebuchet MS"/>
        </w:rPr>
        <w:fldChar w:fldCharType="begin"/>
      </w:r>
      <w:r w:rsidR="00980266" w:rsidRPr="009B4D88">
        <w:rPr>
          <w:rFonts w:ascii="Trebuchet MS" w:hAnsi="Trebuchet MS"/>
        </w:rPr>
        <w:instrText xml:space="preserve"> REF _Ref67392343 \h </w:instrText>
      </w:r>
      <w:r w:rsidR="00DF29CB" w:rsidRPr="009B4D88">
        <w:rPr>
          <w:rFonts w:ascii="Trebuchet MS" w:hAnsi="Trebuchet MS"/>
        </w:rPr>
        <w:instrText xml:space="preserve"> \* MERGEFORMAT </w:instrText>
      </w:r>
      <w:r w:rsidR="00980266" w:rsidRPr="009B4D88">
        <w:rPr>
          <w:rFonts w:ascii="Trebuchet MS" w:hAnsi="Trebuchet MS"/>
        </w:rPr>
      </w:r>
      <w:r w:rsidR="00980266" w:rsidRPr="009B4D88">
        <w:rPr>
          <w:rFonts w:ascii="Trebuchet MS" w:hAnsi="Trebuchet MS"/>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2</w:t>
      </w:r>
      <w:r w:rsidR="00980266" w:rsidRPr="009B4D88">
        <w:rPr>
          <w:rFonts w:ascii="Trebuchet MS" w:hAnsi="Trebuchet MS"/>
        </w:rPr>
        <w:fldChar w:fldCharType="end"/>
      </w:r>
      <w:r w:rsidR="00980266" w:rsidRPr="009B4D88">
        <w:rPr>
          <w:rFonts w:ascii="Trebuchet MS" w:hAnsi="Trebuchet MS"/>
        </w:rPr>
        <w:t>,</w:t>
      </w:r>
      <w:r w:rsidR="003D31EC" w:rsidRPr="009B4D88">
        <w:rPr>
          <w:rFonts w:ascii="Trebuchet MS" w:hAnsi="Trebuchet MS"/>
        </w:rPr>
        <w:t xml:space="preserve"> por valor de $</w:t>
      </w:r>
      <w:r w:rsidR="00DF78F1" w:rsidRPr="009B4D88">
        <w:rPr>
          <w:rFonts w:ascii="Trebuchet MS" w:hAnsi="Trebuchet MS"/>
        </w:rPr>
        <w:t xml:space="preserve"> </w:t>
      </w:r>
      <w:r w:rsidR="00FE4A6C" w:rsidRPr="009B4D88">
        <w:rPr>
          <w:rFonts w:ascii="Trebuchet MS" w:hAnsi="Trebuchet MS"/>
        </w:rPr>
        <w:t xml:space="preserve"> 289,476,000,052.02</w:t>
      </w:r>
      <w:r w:rsidR="005F20FD" w:rsidRPr="009B4D88">
        <w:rPr>
          <w:rFonts w:ascii="Trebuchet MS" w:hAnsi="Trebuchet MS"/>
        </w:rPr>
        <w:t>,</w:t>
      </w:r>
      <w:r w:rsidR="008B333F" w:rsidRPr="009B4D88">
        <w:rPr>
          <w:rFonts w:ascii="Trebuchet MS" w:hAnsi="Trebuchet MS"/>
        </w:rPr>
        <w:t xml:space="preserve"> </w:t>
      </w:r>
      <w:r w:rsidR="004669D4" w:rsidRPr="009B4D88">
        <w:rPr>
          <w:rFonts w:ascii="Trebuchet MS" w:hAnsi="Trebuchet MS"/>
        </w:rPr>
        <w:t>el porcentaje de ejecución</w:t>
      </w:r>
      <w:r w:rsidR="00135E6E" w:rsidRPr="009B4D88">
        <w:rPr>
          <w:rFonts w:ascii="Trebuchet MS" w:hAnsi="Trebuchet MS"/>
        </w:rPr>
        <w:t xml:space="preserve"> considerado </w:t>
      </w:r>
      <w:r w:rsidR="004669D4" w:rsidRPr="009B4D88">
        <w:rPr>
          <w:rFonts w:ascii="Trebuchet MS" w:hAnsi="Trebuchet MS"/>
        </w:rPr>
        <w:t xml:space="preserve">sería del </w:t>
      </w:r>
      <w:r w:rsidR="001838EF" w:rsidRPr="00EF3F98">
        <w:rPr>
          <w:rFonts w:ascii="Trebuchet MS" w:hAnsi="Trebuchet MS"/>
        </w:rPr>
        <w:t>96.52</w:t>
      </w:r>
      <w:r w:rsidR="000C442E" w:rsidRPr="009B4D88">
        <w:rPr>
          <w:rFonts w:ascii="Trebuchet MS" w:hAnsi="Trebuchet MS"/>
        </w:rPr>
        <w:t>%.</w:t>
      </w:r>
      <w:r w:rsidR="004669D4" w:rsidRPr="009B4D88">
        <w:rPr>
          <w:rFonts w:ascii="Trebuchet MS" w:hAnsi="Trebuchet MS"/>
        </w:rPr>
        <w:t xml:space="preserve"> </w:t>
      </w:r>
      <w:r w:rsidR="00F247AF" w:rsidRPr="009B4D88">
        <w:rPr>
          <w:rFonts w:ascii="Trebuchet MS" w:hAnsi="Trebuchet MS"/>
        </w:rPr>
        <w:t xml:space="preserve">Si además, se considera </w:t>
      </w:r>
      <w:r w:rsidR="005028C1" w:rsidRPr="009B4D88">
        <w:rPr>
          <w:rFonts w:ascii="Trebuchet MS" w:hAnsi="Trebuchet MS"/>
        </w:rPr>
        <w:t xml:space="preserve">el valor acotado más el excedente del año </w:t>
      </w:r>
      <w:r w:rsidR="00010E51" w:rsidRPr="009B4D88">
        <w:rPr>
          <w:rFonts w:ascii="Trebuchet MS" w:hAnsi="Trebuchet MS"/>
        </w:rPr>
        <w:t>202</w:t>
      </w:r>
      <w:r w:rsidR="00010E51" w:rsidRPr="00EF3F98">
        <w:rPr>
          <w:rFonts w:ascii="Trebuchet MS" w:hAnsi="Trebuchet MS"/>
        </w:rPr>
        <w:t>1</w:t>
      </w:r>
      <w:r w:rsidR="005028C1" w:rsidRPr="009B4D88">
        <w:rPr>
          <w:rFonts w:ascii="Trebuchet MS" w:hAnsi="Trebuchet MS"/>
        </w:rPr>
        <w:t>, presentado en la</w:t>
      </w:r>
      <w:r w:rsidR="001B62B1" w:rsidRPr="009B4D88">
        <w:rPr>
          <w:rFonts w:ascii="Trebuchet MS" w:hAnsi="Trebuchet MS"/>
        </w:rPr>
        <w:t xml:space="preserve"> </w:t>
      </w:r>
      <w:r w:rsidR="001B62B1" w:rsidRPr="009B4D88">
        <w:rPr>
          <w:rFonts w:ascii="Trebuchet MS" w:hAnsi="Trebuchet MS"/>
        </w:rPr>
        <w:fldChar w:fldCharType="begin"/>
      </w:r>
      <w:r w:rsidR="001B62B1" w:rsidRPr="009B4D88">
        <w:rPr>
          <w:rFonts w:ascii="Trebuchet MS" w:hAnsi="Trebuchet MS"/>
        </w:rPr>
        <w:instrText xml:space="preserve"> REF _Ref67730474 \h </w:instrText>
      </w:r>
      <w:r w:rsidR="00B324B7" w:rsidRPr="009B4D88">
        <w:rPr>
          <w:rFonts w:ascii="Trebuchet MS" w:hAnsi="Trebuchet MS"/>
        </w:rPr>
        <w:instrText xml:space="preserve"> \* MERGEFORMAT </w:instrText>
      </w:r>
      <w:r w:rsidR="001B62B1" w:rsidRPr="009B4D88">
        <w:rPr>
          <w:rFonts w:ascii="Trebuchet MS" w:hAnsi="Trebuchet MS"/>
        </w:rPr>
      </w:r>
      <w:r w:rsidR="001B62B1" w:rsidRPr="009B4D88">
        <w:rPr>
          <w:rFonts w:ascii="Trebuchet MS" w:hAnsi="Trebuchet MS"/>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4</w:t>
      </w:r>
      <w:r w:rsidR="001B62B1" w:rsidRPr="009B4D88">
        <w:rPr>
          <w:rFonts w:ascii="Trebuchet MS" w:hAnsi="Trebuchet MS"/>
        </w:rPr>
        <w:fldChar w:fldCharType="end"/>
      </w:r>
      <w:r w:rsidR="005028C1" w:rsidRPr="009B4D88">
        <w:rPr>
          <w:rFonts w:ascii="Trebuchet MS" w:hAnsi="Trebuchet MS"/>
        </w:rPr>
        <w:t>, por valor de</w:t>
      </w:r>
      <w:r w:rsidR="001B62B1" w:rsidRPr="009B4D88">
        <w:rPr>
          <w:rFonts w:ascii="Trebuchet MS" w:hAnsi="Trebuchet MS"/>
        </w:rPr>
        <w:t xml:space="preserve"> $ </w:t>
      </w:r>
      <w:r w:rsidR="0037342A" w:rsidRPr="009B4D88">
        <w:rPr>
          <w:rFonts w:ascii="Trebuchet MS" w:hAnsi="Trebuchet MS"/>
        </w:rPr>
        <w:t xml:space="preserve"> 329,746,616,429.56</w:t>
      </w:r>
      <w:r w:rsidR="005028C1" w:rsidRPr="009B4D88">
        <w:rPr>
          <w:rFonts w:ascii="Trebuchet MS" w:hAnsi="Trebuchet MS"/>
        </w:rPr>
        <w:t xml:space="preserve">, el porcentaje de ejecución definido para el año </w:t>
      </w:r>
      <w:r w:rsidR="0037342A" w:rsidRPr="009B4D88">
        <w:rPr>
          <w:rFonts w:ascii="Trebuchet MS" w:hAnsi="Trebuchet MS"/>
        </w:rPr>
        <w:t>202</w:t>
      </w:r>
      <w:r w:rsidR="0037342A" w:rsidRPr="00EF3F98">
        <w:rPr>
          <w:rFonts w:ascii="Trebuchet MS" w:hAnsi="Trebuchet MS"/>
        </w:rPr>
        <w:t>2</w:t>
      </w:r>
      <w:r w:rsidR="0037342A" w:rsidRPr="009B4D88">
        <w:rPr>
          <w:rFonts w:ascii="Trebuchet MS" w:hAnsi="Trebuchet MS"/>
        </w:rPr>
        <w:t xml:space="preserve"> </w:t>
      </w:r>
      <w:r w:rsidR="005028C1" w:rsidRPr="009B4D88">
        <w:rPr>
          <w:rFonts w:ascii="Trebuchet MS" w:hAnsi="Trebuchet MS"/>
        </w:rPr>
        <w:t>sería del</w:t>
      </w:r>
      <w:r w:rsidR="0024461B" w:rsidRPr="009B4D88">
        <w:rPr>
          <w:rFonts w:ascii="Trebuchet MS" w:hAnsi="Trebuchet MS"/>
        </w:rPr>
        <w:t xml:space="preserve"> </w:t>
      </w:r>
      <w:r w:rsidR="00F51D47" w:rsidRPr="00EF3F98">
        <w:rPr>
          <w:rFonts w:ascii="Trebuchet MS" w:hAnsi="Trebuchet MS"/>
        </w:rPr>
        <w:t>109.95</w:t>
      </w:r>
      <w:r w:rsidR="0024461B" w:rsidRPr="009B4D88">
        <w:rPr>
          <w:rFonts w:ascii="Trebuchet MS" w:hAnsi="Trebuchet MS"/>
        </w:rPr>
        <w:t xml:space="preserve">%. </w:t>
      </w:r>
      <w:r w:rsidR="00CA752B" w:rsidRPr="009B4D88">
        <w:rPr>
          <w:rFonts w:ascii="Trebuchet MS" w:hAnsi="Trebuchet MS"/>
        </w:rPr>
        <w:t xml:space="preserve">Se observa que en cualquier caso, el valor de ejecución del año </w:t>
      </w:r>
      <w:r w:rsidR="00F51D47" w:rsidRPr="009B4D88">
        <w:rPr>
          <w:rFonts w:ascii="Trebuchet MS" w:hAnsi="Trebuchet MS"/>
        </w:rPr>
        <w:t>202</w:t>
      </w:r>
      <w:r w:rsidR="00F51D47" w:rsidRPr="00EF3F98">
        <w:rPr>
          <w:rFonts w:ascii="Trebuchet MS" w:hAnsi="Trebuchet MS"/>
        </w:rPr>
        <w:t>2</w:t>
      </w:r>
      <w:r w:rsidR="00F51D47" w:rsidRPr="009B4D88">
        <w:rPr>
          <w:rFonts w:ascii="Trebuchet MS" w:hAnsi="Trebuchet MS"/>
        </w:rPr>
        <w:t xml:space="preserve"> </w:t>
      </w:r>
      <w:r w:rsidRPr="009B4D88">
        <w:rPr>
          <w:rFonts w:ascii="Trebuchet MS" w:hAnsi="Trebuchet MS"/>
        </w:rPr>
        <w:t>también está por debajo del 8% del CRR.</w:t>
      </w:r>
    </w:p>
    <w:p w14:paraId="0356E49E" w14:textId="48FDBFBA" w:rsidR="00BC4A60" w:rsidRPr="002946A9" w:rsidRDefault="007B5EB6" w:rsidP="00A93762">
      <w:pPr>
        <w:spacing w:after="0"/>
        <w:ind w:left="360"/>
        <w:jc w:val="both"/>
        <w:rPr>
          <w:rFonts w:ascii="Trebuchet MS" w:hAnsi="Trebuchet MS"/>
        </w:rPr>
      </w:pPr>
      <w:r w:rsidRPr="009B4D88">
        <w:rPr>
          <w:rFonts w:ascii="Trebuchet MS" w:hAnsi="Trebuchet MS"/>
        </w:rPr>
        <w:t>L</w:t>
      </w:r>
      <w:r w:rsidR="008800B2" w:rsidRPr="009B4D88">
        <w:rPr>
          <w:rFonts w:ascii="Trebuchet MS" w:hAnsi="Trebuchet MS"/>
        </w:rPr>
        <w:t xml:space="preserve">os valores de </w:t>
      </w:r>
      <w:r w:rsidRPr="009B4D88">
        <w:rPr>
          <w:rFonts w:ascii="Trebuchet MS" w:hAnsi="Trebuchet MS"/>
        </w:rPr>
        <w:t>ejecución de inversiones puede</w:t>
      </w:r>
      <w:r w:rsidR="008800B2" w:rsidRPr="009B4D88">
        <w:rPr>
          <w:rFonts w:ascii="Trebuchet MS" w:hAnsi="Trebuchet MS"/>
        </w:rPr>
        <w:t>n</w:t>
      </w:r>
      <w:r w:rsidRPr="009B4D88">
        <w:rPr>
          <w:rFonts w:ascii="Trebuchet MS" w:hAnsi="Trebuchet MS"/>
        </w:rPr>
        <w:t xml:space="preserve"> presentarse también considerando una desagre</w:t>
      </w:r>
      <w:r w:rsidR="009640AC" w:rsidRPr="009B4D88">
        <w:rPr>
          <w:rFonts w:ascii="Trebuchet MS" w:hAnsi="Trebuchet MS"/>
        </w:rPr>
        <w:t xml:space="preserve">gación en niveles </w:t>
      </w:r>
      <w:r w:rsidR="00D64337" w:rsidRPr="009B4D88">
        <w:rPr>
          <w:rFonts w:ascii="Trebuchet MS" w:hAnsi="Trebuchet MS"/>
        </w:rPr>
        <w:t>de tensión (</w:t>
      </w:r>
      <w:r w:rsidR="00D64337" w:rsidRPr="009B4D88">
        <w:rPr>
          <w:rFonts w:ascii="Trebuchet MS" w:hAnsi="Trebuchet MS"/>
          <w:i/>
          <w:iCs/>
        </w:rPr>
        <w:t>n</w:t>
      </w:r>
      <w:r w:rsidR="00D64337" w:rsidRPr="009B4D88">
        <w:rPr>
          <w:rFonts w:ascii="Trebuchet MS" w:hAnsi="Trebuchet MS"/>
        </w:rPr>
        <w:t>), categoría de activos (</w:t>
      </w:r>
      <w:r w:rsidR="00D64337" w:rsidRPr="009B4D88">
        <w:rPr>
          <w:rFonts w:ascii="Trebuchet MS" w:hAnsi="Trebuchet MS"/>
          <w:i/>
          <w:iCs/>
        </w:rPr>
        <w:t>l</w:t>
      </w:r>
      <w:r w:rsidR="00D64337" w:rsidRPr="009B4D88">
        <w:rPr>
          <w:rFonts w:ascii="Trebuchet MS" w:hAnsi="Trebuchet MS"/>
        </w:rPr>
        <w:t>) y tipo de inversión</w:t>
      </w:r>
      <w:r w:rsidR="00114756" w:rsidRPr="009B4D88">
        <w:rPr>
          <w:rFonts w:ascii="Trebuchet MS" w:hAnsi="Trebuchet MS"/>
        </w:rPr>
        <w:t xml:space="preserve"> (</w:t>
      </w:r>
      <w:r w:rsidR="00114756" w:rsidRPr="009B4D88">
        <w:rPr>
          <w:rFonts w:ascii="Trebuchet MS" w:hAnsi="Trebuchet MS"/>
          <w:i/>
          <w:iCs/>
        </w:rPr>
        <w:t>TI</w:t>
      </w:r>
      <w:r w:rsidR="00114756" w:rsidRPr="009B4D88">
        <w:rPr>
          <w:rFonts w:ascii="Trebuchet MS" w:hAnsi="Trebuchet MS"/>
        </w:rPr>
        <w:t xml:space="preserve">), </w:t>
      </w:r>
      <w:r w:rsidR="008800B2" w:rsidRPr="009B4D88">
        <w:rPr>
          <w:rFonts w:ascii="Trebuchet MS" w:hAnsi="Trebuchet MS"/>
        </w:rPr>
        <w:t xml:space="preserve">la </w:t>
      </w:r>
      <w:r w:rsidR="008A11E8" w:rsidRPr="009B4D88">
        <w:rPr>
          <w:rFonts w:ascii="Trebuchet MS" w:hAnsi="Trebuchet MS"/>
        </w:rPr>
        <w:t xml:space="preserve">cual </w:t>
      </w:r>
      <w:r w:rsidR="00D1116E" w:rsidRPr="009B4D88">
        <w:rPr>
          <w:rFonts w:ascii="Trebuchet MS" w:hAnsi="Trebuchet MS"/>
        </w:rPr>
        <w:t>está</w:t>
      </w:r>
      <w:r w:rsidR="00C00421" w:rsidRPr="009B4D88">
        <w:rPr>
          <w:rFonts w:ascii="Trebuchet MS" w:hAnsi="Trebuchet MS"/>
        </w:rPr>
        <w:t xml:space="preserve"> </w:t>
      </w:r>
      <w:r w:rsidR="008A11E8" w:rsidRPr="009B4D88">
        <w:rPr>
          <w:rFonts w:ascii="Trebuchet MS" w:hAnsi="Trebuchet MS"/>
        </w:rPr>
        <w:t xml:space="preserve">contenida en la variable </w:t>
      </w:r>
      <w:r w:rsidR="00F863B2" w:rsidRPr="009B4D88">
        <w:rPr>
          <w:rFonts w:ascii="Trebuchet MS" w:hAnsi="Trebuchet MS"/>
          <w:i/>
          <w:iCs/>
        </w:rPr>
        <w:t>INVTR</w:t>
      </w:r>
      <w:r w:rsidR="00F863B2" w:rsidRPr="009B4D88">
        <w:rPr>
          <w:rFonts w:ascii="Trebuchet MS" w:hAnsi="Trebuchet MS"/>
          <w:i/>
          <w:iCs/>
          <w:vertAlign w:val="subscript"/>
        </w:rPr>
        <w:t>j,n,TI,l,t</w:t>
      </w:r>
      <w:r w:rsidR="00063C75" w:rsidRPr="009B4D88">
        <w:rPr>
          <w:rFonts w:ascii="Trebuchet MS" w:hAnsi="Trebuchet MS"/>
        </w:rPr>
        <w:t xml:space="preserve">. Para el año </w:t>
      </w:r>
      <w:r w:rsidR="009B4D88" w:rsidRPr="009B4D88">
        <w:rPr>
          <w:rFonts w:ascii="Trebuchet MS" w:hAnsi="Trebuchet MS"/>
        </w:rPr>
        <w:t>202</w:t>
      </w:r>
      <w:r w:rsidR="009B4D88" w:rsidRPr="00EF3F98">
        <w:rPr>
          <w:rFonts w:ascii="Trebuchet MS" w:hAnsi="Trebuchet MS"/>
        </w:rPr>
        <w:t>2</w:t>
      </w:r>
      <w:r w:rsidR="009B4D88" w:rsidRPr="009B4D88">
        <w:rPr>
          <w:rFonts w:ascii="Trebuchet MS" w:hAnsi="Trebuchet MS"/>
        </w:rPr>
        <w:t xml:space="preserve"> </w:t>
      </w:r>
      <w:r w:rsidR="00063C75" w:rsidRPr="009B4D88">
        <w:rPr>
          <w:rFonts w:ascii="Trebuchet MS" w:hAnsi="Trebuchet MS"/>
        </w:rPr>
        <w:t xml:space="preserve">la variable </w:t>
      </w:r>
      <w:r w:rsidR="00063C75" w:rsidRPr="009B4D88">
        <w:rPr>
          <w:rFonts w:ascii="Trebuchet MS" w:hAnsi="Trebuchet MS"/>
          <w:i/>
          <w:iCs/>
        </w:rPr>
        <w:t>INVTR</w:t>
      </w:r>
      <w:r w:rsidR="00063C75" w:rsidRPr="009B4D88">
        <w:rPr>
          <w:rFonts w:ascii="Trebuchet MS" w:hAnsi="Trebuchet MS"/>
          <w:i/>
          <w:iCs/>
          <w:vertAlign w:val="subscript"/>
        </w:rPr>
        <w:t>j,n,TI,l,</w:t>
      </w:r>
      <w:r w:rsidR="009B4D88" w:rsidRPr="00EF3F98">
        <w:rPr>
          <w:rFonts w:ascii="Trebuchet MS" w:hAnsi="Trebuchet MS"/>
          <w:i/>
          <w:iCs/>
          <w:vertAlign w:val="subscript"/>
        </w:rPr>
        <w:t>4</w:t>
      </w:r>
      <w:r w:rsidR="009B4D88" w:rsidRPr="009B4D88">
        <w:rPr>
          <w:rFonts w:ascii="Trebuchet MS" w:hAnsi="Trebuchet MS"/>
          <w:i/>
          <w:iCs/>
          <w:vertAlign w:val="subscript"/>
        </w:rPr>
        <w:t xml:space="preserve"> </w:t>
      </w:r>
      <w:r w:rsidR="009B4D88" w:rsidRPr="009B4D88">
        <w:rPr>
          <w:rFonts w:ascii="Trebuchet MS" w:hAnsi="Trebuchet MS"/>
        </w:rPr>
        <w:t xml:space="preserve"> </w:t>
      </w:r>
      <w:r w:rsidR="00063C75" w:rsidRPr="009B4D88">
        <w:rPr>
          <w:rFonts w:ascii="Trebuchet MS" w:hAnsi="Trebuchet MS"/>
        </w:rPr>
        <w:t xml:space="preserve">se presenta en </w:t>
      </w:r>
      <w:r w:rsidR="001A20F5" w:rsidRPr="009B4D88">
        <w:rPr>
          <w:rFonts w:ascii="Trebuchet MS" w:hAnsi="Trebuchet MS"/>
        </w:rPr>
        <w:t xml:space="preserve">el </w:t>
      </w:r>
      <w:r w:rsidR="00063C75" w:rsidRPr="009B4D88">
        <w:rPr>
          <w:rFonts w:ascii="Trebuchet MS" w:hAnsi="Trebuchet MS"/>
        </w:rPr>
        <w:t>Anexo</w:t>
      </w:r>
      <w:r w:rsidR="006C6D83" w:rsidRPr="009B4D88">
        <w:rPr>
          <w:rFonts w:ascii="Trebuchet MS" w:hAnsi="Trebuchet MS"/>
        </w:rPr>
        <w:t xml:space="preserve"> </w:t>
      </w:r>
      <w:r w:rsidR="00535263" w:rsidRPr="009B4D88">
        <w:rPr>
          <w:rFonts w:ascii="Trebuchet MS" w:hAnsi="Trebuchet MS"/>
        </w:rPr>
        <w:t>6</w:t>
      </w:r>
      <w:r w:rsidR="005351E2" w:rsidRPr="009B4D88">
        <w:rPr>
          <w:rFonts w:ascii="Trebuchet MS" w:hAnsi="Trebuchet MS"/>
        </w:rPr>
        <w:t>.</w:t>
      </w:r>
      <w:r w:rsidR="00063C75" w:rsidRPr="009B4D88">
        <w:rPr>
          <w:rFonts w:ascii="Trebuchet MS" w:hAnsi="Trebuchet MS"/>
        </w:rPr>
        <w:t xml:space="preserve"> </w:t>
      </w:r>
      <w:r w:rsidR="00AF7B52" w:rsidRPr="009B4D88">
        <w:rPr>
          <w:rFonts w:ascii="Trebuchet MS" w:hAnsi="Trebuchet MS"/>
        </w:rPr>
        <w:t xml:space="preserve">Adicionalmente, el listado de unidades constructivas puestas en operación en el año </w:t>
      </w:r>
      <w:r w:rsidR="009B4D88" w:rsidRPr="009B4D88">
        <w:rPr>
          <w:rFonts w:ascii="Trebuchet MS" w:hAnsi="Trebuchet MS"/>
        </w:rPr>
        <w:t>202</w:t>
      </w:r>
      <w:r w:rsidR="009B4D88" w:rsidRPr="00EF3F98">
        <w:rPr>
          <w:rFonts w:ascii="Trebuchet MS" w:hAnsi="Trebuchet MS"/>
        </w:rPr>
        <w:t>2</w:t>
      </w:r>
      <w:r w:rsidR="009B4D88" w:rsidRPr="009B4D88">
        <w:rPr>
          <w:rFonts w:ascii="Trebuchet MS" w:hAnsi="Trebuchet MS"/>
        </w:rPr>
        <w:t xml:space="preserve"> </w:t>
      </w:r>
      <w:r w:rsidR="00AF7B52" w:rsidRPr="009B4D88">
        <w:rPr>
          <w:rFonts w:ascii="Trebuchet MS" w:hAnsi="Trebuchet MS"/>
        </w:rPr>
        <w:t xml:space="preserve">y de donde se obtiene el valor de las variables </w:t>
      </w:r>
      <w:r w:rsidR="00AF7B52" w:rsidRPr="009B4D88">
        <w:rPr>
          <w:rFonts w:ascii="Trebuchet MS" w:hAnsi="Trebuchet MS"/>
          <w:i/>
          <w:iCs/>
        </w:rPr>
        <w:t>INVTR</w:t>
      </w:r>
      <w:r w:rsidR="00AF7B52" w:rsidRPr="009B4D88">
        <w:rPr>
          <w:rFonts w:ascii="Trebuchet MS" w:hAnsi="Trebuchet MS"/>
          <w:i/>
          <w:iCs/>
          <w:vertAlign w:val="subscript"/>
        </w:rPr>
        <w:t>j,n,TI,l,</w:t>
      </w:r>
      <w:r w:rsidR="009B4D88" w:rsidRPr="00EF3F98">
        <w:rPr>
          <w:rFonts w:ascii="Trebuchet MS" w:hAnsi="Trebuchet MS"/>
          <w:i/>
          <w:iCs/>
          <w:vertAlign w:val="subscript"/>
        </w:rPr>
        <w:t>4</w:t>
      </w:r>
      <w:r w:rsidR="00AF7B52" w:rsidRPr="009B4D88">
        <w:rPr>
          <w:rFonts w:ascii="Trebuchet MS" w:hAnsi="Trebuchet MS"/>
        </w:rPr>
        <w:t xml:space="preserve">, e </w:t>
      </w:r>
      <w:r w:rsidR="00AF7B52" w:rsidRPr="009B4D88">
        <w:rPr>
          <w:rFonts w:ascii="Trebuchet MS" w:hAnsi="Trebuchet MS"/>
          <w:i/>
          <w:iCs/>
        </w:rPr>
        <w:t>INVR</w:t>
      </w:r>
      <w:r w:rsidR="00AF7B52" w:rsidRPr="009B4D88">
        <w:rPr>
          <w:rFonts w:ascii="Trebuchet MS" w:hAnsi="Trebuchet MS"/>
          <w:i/>
          <w:iCs/>
          <w:vertAlign w:val="subscript"/>
        </w:rPr>
        <w:t>j,n,l,</w:t>
      </w:r>
      <w:r w:rsidR="009B4D88" w:rsidRPr="00EF3F98">
        <w:rPr>
          <w:rFonts w:ascii="Trebuchet MS" w:hAnsi="Trebuchet MS"/>
          <w:i/>
          <w:iCs/>
          <w:vertAlign w:val="subscript"/>
        </w:rPr>
        <w:t>4</w:t>
      </w:r>
      <w:r w:rsidR="00AF7B52" w:rsidRPr="009B4D88">
        <w:rPr>
          <w:rFonts w:ascii="Trebuchet MS" w:hAnsi="Trebuchet MS"/>
        </w:rPr>
        <w:t>,</w:t>
      </w:r>
      <w:r w:rsidR="003E0357" w:rsidRPr="009B4D88">
        <w:rPr>
          <w:rFonts w:ascii="Trebuchet MS" w:hAnsi="Trebuchet MS"/>
        </w:rPr>
        <w:t xml:space="preserve"> </w:t>
      </w:r>
      <w:r w:rsidR="00AF7B52" w:rsidRPr="009B4D88">
        <w:rPr>
          <w:rFonts w:ascii="Trebuchet MS" w:hAnsi="Trebuchet MS"/>
        </w:rPr>
        <w:t>se encuentra en el</w:t>
      </w:r>
      <w:r w:rsidR="001A36BC" w:rsidRPr="009B4D88">
        <w:rPr>
          <w:rFonts w:ascii="Trebuchet MS" w:hAnsi="Trebuchet MS"/>
        </w:rPr>
        <w:t xml:space="preserve"> </w:t>
      </w:r>
      <w:r w:rsidR="001A36BC" w:rsidRPr="00551FB4">
        <w:rPr>
          <w:rFonts w:ascii="Trebuchet MS" w:hAnsi="Trebuchet MS"/>
        </w:rPr>
        <w:t>Anexo 2 y el</w:t>
      </w:r>
      <w:r w:rsidR="00AF7B52" w:rsidRPr="00551FB4">
        <w:rPr>
          <w:rFonts w:ascii="Trebuchet MS" w:hAnsi="Trebuchet MS"/>
        </w:rPr>
        <w:t xml:space="preserve"> Anexo 4.</w:t>
      </w:r>
    </w:p>
    <w:p w14:paraId="78E4F946" w14:textId="77777777" w:rsidR="00063C75" w:rsidRPr="002946A9" w:rsidRDefault="00063C75" w:rsidP="00DF29CB">
      <w:pPr>
        <w:ind w:left="360"/>
        <w:jc w:val="both"/>
        <w:rPr>
          <w:rFonts w:ascii="Trebuchet MS" w:hAnsi="Trebuchet MS"/>
          <w:szCs w:val="24"/>
        </w:rPr>
      </w:pPr>
    </w:p>
    <w:p w14:paraId="00AE98DB" w14:textId="61EAE387" w:rsidR="00BC4A60" w:rsidRPr="002946A9" w:rsidRDefault="00471779" w:rsidP="00DF29CB">
      <w:pPr>
        <w:numPr>
          <w:ilvl w:val="2"/>
          <w:numId w:val="2"/>
        </w:numPr>
        <w:jc w:val="both"/>
        <w:outlineLvl w:val="2"/>
        <w:rPr>
          <w:rFonts w:ascii="Trebuchet MS" w:hAnsi="Trebuchet MS"/>
          <w:b/>
          <w:bCs/>
          <w:szCs w:val="24"/>
        </w:rPr>
      </w:pPr>
      <w:bookmarkStart w:id="192" w:name="_Ref67472421"/>
      <w:bookmarkStart w:id="193" w:name="_Toc131109359"/>
      <w:r w:rsidRPr="002946A9">
        <w:rPr>
          <w:rFonts w:ascii="Trebuchet MS" w:hAnsi="Trebuchet MS"/>
          <w:b/>
          <w:bCs/>
          <w:szCs w:val="24"/>
        </w:rPr>
        <w:t>Inversiones ejecutadas por proyectos del plan</w:t>
      </w:r>
      <w:bookmarkEnd w:id="192"/>
      <w:bookmarkEnd w:id="193"/>
      <w:r w:rsidRPr="002946A9">
        <w:rPr>
          <w:rFonts w:ascii="Trebuchet MS" w:hAnsi="Trebuchet MS"/>
          <w:b/>
          <w:bCs/>
          <w:szCs w:val="24"/>
        </w:rPr>
        <w:t xml:space="preserve"> </w:t>
      </w:r>
      <w:r w:rsidR="00BC4A60" w:rsidRPr="002946A9">
        <w:rPr>
          <w:rFonts w:ascii="Trebuchet MS" w:hAnsi="Trebuchet MS"/>
          <w:b/>
          <w:bCs/>
          <w:szCs w:val="24"/>
        </w:rPr>
        <w:t xml:space="preserve"> </w:t>
      </w:r>
    </w:p>
    <w:p w14:paraId="452AAC1A" w14:textId="47E38052" w:rsidR="00BC4A60" w:rsidRPr="002946A9" w:rsidRDefault="00347A6E" w:rsidP="00A93762">
      <w:pPr>
        <w:spacing w:after="0"/>
        <w:ind w:left="360"/>
        <w:jc w:val="both"/>
        <w:rPr>
          <w:rFonts w:ascii="Trebuchet MS" w:hAnsi="Trebuchet MS"/>
          <w:szCs w:val="24"/>
        </w:rPr>
      </w:pPr>
      <w:r w:rsidRPr="002946A9">
        <w:rPr>
          <w:rFonts w:ascii="Trebuchet MS" w:hAnsi="Trebuchet MS"/>
          <w:szCs w:val="24"/>
        </w:rPr>
        <w:t xml:space="preserve">Los valores de ejecución de inversiones </w:t>
      </w:r>
      <w:r w:rsidR="005B0A95" w:rsidRPr="002946A9">
        <w:rPr>
          <w:rFonts w:ascii="Trebuchet MS" w:hAnsi="Trebuchet MS"/>
          <w:szCs w:val="24"/>
        </w:rPr>
        <w:t xml:space="preserve">en el año </w:t>
      </w:r>
      <w:r w:rsidR="002631E7" w:rsidRPr="002946A9">
        <w:rPr>
          <w:rFonts w:ascii="Trebuchet MS" w:hAnsi="Trebuchet MS"/>
          <w:szCs w:val="24"/>
        </w:rPr>
        <w:t>202</w:t>
      </w:r>
      <w:r w:rsidR="002631E7">
        <w:rPr>
          <w:rFonts w:ascii="Trebuchet MS" w:hAnsi="Trebuchet MS"/>
          <w:szCs w:val="24"/>
        </w:rPr>
        <w:t>2</w:t>
      </w:r>
      <w:r w:rsidR="004A35B5" w:rsidRPr="002946A9">
        <w:rPr>
          <w:rFonts w:ascii="Trebuchet MS" w:hAnsi="Trebuchet MS"/>
          <w:szCs w:val="24"/>
        </w:rPr>
        <w:t>,</w:t>
      </w:r>
      <w:r w:rsidR="005B0A95" w:rsidRPr="002946A9">
        <w:rPr>
          <w:rFonts w:ascii="Trebuchet MS" w:hAnsi="Trebuchet MS"/>
          <w:szCs w:val="24"/>
        </w:rPr>
        <w:t xml:space="preserve"> </w:t>
      </w:r>
      <w:r w:rsidRPr="002946A9">
        <w:rPr>
          <w:rFonts w:ascii="Trebuchet MS" w:hAnsi="Trebuchet MS"/>
          <w:szCs w:val="24"/>
        </w:rPr>
        <w:t>para cada uno de los proyectos del plan</w:t>
      </w:r>
      <w:r w:rsidR="00676161" w:rsidRPr="002946A9">
        <w:rPr>
          <w:rFonts w:ascii="Trebuchet MS" w:hAnsi="Trebuchet MS"/>
          <w:szCs w:val="24"/>
        </w:rPr>
        <w:t>,</w:t>
      </w:r>
      <w:r w:rsidRPr="002946A9">
        <w:rPr>
          <w:rFonts w:ascii="Trebuchet MS" w:hAnsi="Trebuchet MS"/>
          <w:szCs w:val="24"/>
        </w:rPr>
        <w:t xml:space="preserve"> se presenta</w:t>
      </w:r>
      <w:r w:rsidR="00D314B3" w:rsidRPr="002946A9">
        <w:rPr>
          <w:rFonts w:ascii="Trebuchet MS" w:hAnsi="Trebuchet MS"/>
          <w:szCs w:val="24"/>
        </w:rPr>
        <w:t>n</w:t>
      </w:r>
      <w:r w:rsidRPr="002946A9">
        <w:rPr>
          <w:rFonts w:ascii="Trebuchet MS" w:hAnsi="Trebuchet MS"/>
          <w:szCs w:val="24"/>
        </w:rPr>
        <w:t xml:space="preserve"> en el </w:t>
      </w:r>
      <w:r w:rsidRPr="005C573D">
        <w:rPr>
          <w:rFonts w:ascii="Trebuchet MS" w:hAnsi="Trebuchet MS"/>
          <w:szCs w:val="24"/>
        </w:rPr>
        <w:t>Anexo</w:t>
      </w:r>
      <w:r w:rsidR="002F4A0C" w:rsidRPr="005C573D">
        <w:rPr>
          <w:rFonts w:ascii="Trebuchet MS" w:hAnsi="Trebuchet MS"/>
          <w:szCs w:val="24"/>
        </w:rPr>
        <w:t xml:space="preserve"> 7.</w:t>
      </w:r>
    </w:p>
    <w:p w14:paraId="7A4F5F6D" w14:textId="77777777" w:rsidR="00A76C03" w:rsidRPr="002946A9" w:rsidRDefault="00A76C03" w:rsidP="00DF29CB">
      <w:pPr>
        <w:ind w:left="360"/>
        <w:jc w:val="both"/>
        <w:rPr>
          <w:rFonts w:ascii="Trebuchet MS" w:hAnsi="Trebuchet MS"/>
          <w:szCs w:val="24"/>
        </w:rPr>
      </w:pPr>
    </w:p>
    <w:p w14:paraId="181E5E5B" w14:textId="58B2AA06" w:rsidR="00A76C03" w:rsidRPr="002946A9" w:rsidRDefault="00A76C03" w:rsidP="00DF29CB">
      <w:pPr>
        <w:numPr>
          <w:ilvl w:val="2"/>
          <w:numId w:val="2"/>
        </w:numPr>
        <w:jc w:val="both"/>
        <w:outlineLvl w:val="2"/>
        <w:rPr>
          <w:rFonts w:ascii="Trebuchet MS" w:hAnsi="Trebuchet MS"/>
          <w:b/>
          <w:bCs/>
          <w:szCs w:val="24"/>
        </w:rPr>
      </w:pPr>
      <w:bookmarkStart w:id="194" w:name="_Toc131109360"/>
      <w:r w:rsidRPr="002946A9">
        <w:rPr>
          <w:rFonts w:ascii="Trebuchet MS" w:hAnsi="Trebuchet MS"/>
          <w:b/>
          <w:bCs/>
          <w:szCs w:val="24"/>
        </w:rPr>
        <w:t xml:space="preserve">Inversiones </w:t>
      </w:r>
      <w:r w:rsidR="00BE6049" w:rsidRPr="002946A9">
        <w:rPr>
          <w:rFonts w:ascii="Trebuchet MS" w:hAnsi="Trebuchet MS"/>
          <w:b/>
          <w:bCs/>
          <w:szCs w:val="24"/>
        </w:rPr>
        <w:t>asociadas al plan de expansión de cobertura</w:t>
      </w:r>
      <w:bookmarkEnd w:id="194"/>
      <w:r w:rsidRPr="002946A9">
        <w:rPr>
          <w:rFonts w:ascii="Trebuchet MS" w:hAnsi="Trebuchet MS"/>
          <w:b/>
          <w:bCs/>
          <w:szCs w:val="24"/>
        </w:rPr>
        <w:t xml:space="preserve">  </w:t>
      </w:r>
    </w:p>
    <w:p w14:paraId="497DADF6" w14:textId="38A67EA7" w:rsidR="003063A2" w:rsidRPr="00B92608" w:rsidRDefault="003063A2" w:rsidP="00DF29CB">
      <w:pPr>
        <w:ind w:left="360"/>
        <w:jc w:val="both"/>
        <w:rPr>
          <w:rFonts w:ascii="Trebuchet MS" w:hAnsi="Trebuchet MS"/>
          <w:szCs w:val="24"/>
        </w:rPr>
      </w:pPr>
      <w:r w:rsidRPr="00B92608">
        <w:rPr>
          <w:rFonts w:ascii="Trebuchet MS" w:hAnsi="Trebuchet MS"/>
          <w:szCs w:val="24"/>
        </w:rPr>
        <w:t xml:space="preserve">Para el año </w:t>
      </w:r>
      <w:r w:rsidR="002631E7" w:rsidRPr="00B92608">
        <w:rPr>
          <w:rFonts w:ascii="Trebuchet MS" w:hAnsi="Trebuchet MS"/>
          <w:szCs w:val="24"/>
        </w:rPr>
        <w:t xml:space="preserve">2022 </w:t>
      </w:r>
      <w:r w:rsidRPr="00B92608">
        <w:rPr>
          <w:rFonts w:ascii="Trebuchet MS" w:hAnsi="Trebuchet MS"/>
          <w:szCs w:val="24"/>
        </w:rPr>
        <w:t xml:space="preserve">EPM no </w:t>
      </w:r>
      <w:r w:rsidR="00716A1F">
        <w:rPr>
          <w:rFonts w:ascii="Trebuchet MS" w:hAnsi="Trebuchet MS"/>
          <w:szCs w:val="24"/>
        </w:rPr>
        <w:t>ejecutó obras asociadas al</w:t>
      </w:r>
      <w:r w:rsidRPr="00B92608">
        <w:rPr>
          <w:rFonts w:ascii="Trebuchet MS" w:hAnsi="Trebuchet MS"/>
          <w:szCs w:val="24"/>
        </w:rPr>
        <w:t xml:space="preserve"> plan de expansión de cobertura, por lo tanto, no existen inversiones ejecutadas relacionadas a este tipo de proyectos.</w:t>
      </w:r>
    </w:p>
    <w:p w14:paraId="3F0E5469" w14:textId="5B731ED3" w:rsidR="00C359FF" w:rsidRPr="002946A9" w:rsidRDefault="003063A2" w:rsidP="00716A74">
      <w:pPr>
        <w:ind w:left="360"/>
        <w:jc w:val="both"/>
        <w:rPr>
          <w:rFonts w:ascii="Trebuchet MS" w:hAnsi="Trebuchet MS"/>
          <w:szCs w:val="24"/>
        </w:rPr>
      </w:pPr>
      <w:r w:rsidRPr="00B92608">
        <w:rPr>
          <w:rFonts w:ascii="Trebuchet MS" w:hAnsi="Trebuchet MS"/>
          <w:szCs w:val="24"/>
        </w:rPr>
        <w:t xml:space="preserve">Adicionalmente, </w:t>
      </w:r>
      <w:r w:rsidR="00ED3759" w:rsidRPr="00B92608">
        <w:rPr>
          <w:rFonts w:ascii="Trebuchet MS" w:hAnsi="Trebuchet MS"/>
          <w:szCs w:val="24"/>
        </w:rPr>
        <w:t xml:space="preserve">con respecto </w:t>
      </w:r>
      <w:r w:rsidRPr="00B92608">
        <w:rPr>
          <w:rFonts w:ascii="Trebuchet MS" w:hAnsi="Trebuchet MS"/>
          <w:szCs w:val="24"/>
        </w:rPr>
        <w:t>a los planes d</w:t>
      </w:r>
      <w:r w:rsidR="009E1EEE" w:rsidRPr="00B92608">
        <w:rPr>
          <w:rFonts w:ascii="Trebuchet MS" w:hAnsi="Trebuchet MS"/>
          <w:szCs w:val="24"/>
        </w:rPr>
        <w:t>e expansión de cobertura</w:t>
      </w:r>
      <w:r w:rsidRPr="00B92608">
        <w:rPr>
          <w:rFonts w:ascii="Trebuchet MS" w:hAnsi="Trebuchet MS"/>
          <w:szCs w:val="24"/>
        </w:rPr>
        <w:t xml:space="preserve"> de los </w:t>
      </w:r>
      <w:r w:rsidR="009E1EEE" w:rsidRPr="00B92608">
        <w:rPr>
          <w:rFonts w:ascii="Trebuchet MS" w:hAnsi="Trebuchet MS"/>
          <w:szCs w:val="24"/>
        </w:rPr>
        <w:t>año</w:t>
      </w:r>
      <w:r w:rsidRPr="00B92608">
        <w:rPr>
          <w:rFonts w:ascii="Trebuchet MS" w:hAnsi="Trebuchet MS"/>
          <w:szCs w:val="24"/>
        </w:rPr>
        <w:t>s 2019 y 2020</w:t>
      </w:r>
      <w:r w:rsidR="009E1EEE" w:rsidRPr="00B92608">
        <w:rPr>
          <w:rFonts w:ascii="Trebuchet MS" w:hAnsi="Trebuchet MS"/>
          <w:szCs w:val="24"/>
        </w:rPr>
        <w:t xml:space="preserve">, la CREG aún no ha dado </w:t>
      </w:r>
      <w:r w:rsidR="00A81786" w:rsidRPr="00B92608">
        <w:rPr>
          <w:rFonts w:ascii="Trebuchet MS" w:hAnsi="Trebuchet MS"/>
          <w:szCs w:val="24"/>
        </w:rPr>
        <w:t xml:space="preserve">su </w:t>
      </w:r>
      <w:r w:rsidR="009E1EEE" w:rsidRPr="00B92608">
        <w:rPr>
          <w:rFonts w:ascii="Trebuchet MS" w:hAnsi="Trebuchet MS"/>
          <w:szCs w:val="24"/>
        </w:rPr>
        <w:t>aprobación. Sin embargo, est</w:t>
      </w:r>
      <w:r w:rsidR="00ED3759" w:rsidRPr="00B92608">
        <w:rPr>
          <w:rFonts w:ascii="Trebuchet MS" w:hAnsi="Trebuchet MS"/>
          <w:szCs w:val="24"/>
        </w:rPr>
        <w:t xml:space="preserve">os </w:t>
      </w:r>
      <w:r w:rsidR="009E1EEE" w:rsidRPr="00B92608">
        <w:rPr>
          <w:rFonts w:ascii="Trebuchet MS" w:hAnsi="Trebuchet MS"/>
          <w:szCs w:val="24"/>
        </w:rPr>
        <w:t>cuenta</w:t>
      </w:r>
      <w:r w:rsidR="00ED3759" w:rsidRPr="00B92608">
        <w:rPr>
          <w:rFonts w:ascii="Trebuchet MS" w:hAnsi="Trebuchet MS"/>
          <w:szCs w:val="24"/>
        </w:rPr>
        <w:t>n</w:t>
      </w:r>
      <w:r w:rsidR="009E1EEE" w:rsidRPr="00B92608">
        <w:rPr>
          <w:rFonts w:ascii="Trebuchet MS" w:hAnsi="Trebuchet MS"/>
          <w:szCs w:val="24"/>
        </w:rPr>
        <w:t xml:space="preserve"> con aprobación de la UPME y fue</w:t>
      </w:r>
      <w:r w:rsidR="00ED3759" w:rsidRPr="00B92608">
        <w:rPr>
          <w:rFonts w:ascii="Trebuchet MS" w:hAnsi="Trebuchet MS"/>
          <w:szCs w:val="24"/>
        </w:rPr>
        <w:t>ron</w:t>
      </w:r>
      <w:r w:rsidR="009E1EEE" w:rsidRPr="00B92608">
        <w:rPr>
          <w:rFonts w:ascii="Trebuchet MS" w:hAnsi="Trebuchet MS"/>
          <w:szCs w:val="24"/>
        </w:rPr>
        <w:t xml:space="preserve"> ejecutado</w:t>
      </w:r>
      <w:r w:rsidR="00ED3759" w:rsidRPr="00B92608">
        <w:rPr>
          <w:rFonts w:ascii="Trebuchet MS" w:hAnsi="Trebuchet MS"/>
          <w:szCs w:val="24"/>
        </w:rPr>
        <w:t>s</w:t>
      </w:r>
      <w:r w:rsidR="009E1EEE" w:rsidRPr="00B92608">
        <w:rPr>
          <w:rFonts w:ascii="Trebuchet MS" w:hAnsi="Trebuchet MS"/>
          <w:szCs w:val="24"/>
        </w:rPr>
        <w:t xml:space="preserve"> por EPM</w:t>
      </w:r>
      <w:r w:rsidR="00E72405" w:rsidRPr="00B92608">
        <w:rPr>
          <w:rFonts w:ascii="Trebuchet MS" w:hAnsi="Trebuchet MS"/>
          <w:szCs w:val="24"/>
        </w:rPr>
        <w:t xml:space="preserve"> como inversiones adicionales </w:t>
      </w:r>
      <w:r w:rsidR="00ED3759" w:rsidRPr="00B92608">
        <w:rPr>
          <w:rFonts w:ascii="Trebuchet MS" w:hAnsi="Trebuchet MS"/>
          <w:szCs w:val="24"/>
        </w:rPr>
        <w:t>a los proyectos del plan de inversiones</w:t>
      </w:r>
      <w:r w:rsidR="00A81786" w:rsidRPr="00B92608">
        <w:rPr>
          <w:rFonts w:ascii="Trebuchet MS" w:hAnsi="Trebuchet MS"/>
          <w:szCs w:val="24"/>
        </w:rPr>
        <w:t>.</w:t>
      </w:r>
    </w:p>
    <w:p w14:paraId="4001F105" w14:textId="68F03263" w:rsidR="00BC2E78" w:rsidRPr="00F56405" w:rsidRDefault="00BC2E78" w:rsidP="00DF29CB">
      <w:pPr>
        <w:numPr>
          <w:ilvl w:val="2"/>
          <w:numId w:val="2"/>
        </w:numPr>
        <w:jc w:val="both"/>
        <w:outlineLvl w:val="2"/>
        <w:rPr>
          <w:rFonts w:ascii="Trebuchet MS" w:hAnsi="Trebuchet MS"/>
          <w:b/>
          <w:bCs/>
          <w:szCs w:val="24"/>
        </w:rPr>
      </w:pPr>
      <w:bookmarkStart w:id="195" w:name="_Toc131109361"/>
      <w:bookmarkStart w:id="196" w:name="_Hlk124327723"/>
      <w:r w:rsidRPr="00F56405">
        <w:rPr>
          <w:rFonts w:ascii="Trebuchet MS" w:hAnsi="Trebuchet MS"/>
          <w:b/>
          <w:bCs/>
          <w:szCs w:val="24"/>
        </w:rPr>
        <w:t>Inversiones asociadas al esquema de calidad del servicio</w:t>
      </w:r>
      <w:bookmarkEnd w:id="195"/>
      <w:r w:rsidRPr="00F56405">
        <w:rPr>
          <w:rFonts w:ascii="Trebuchet MS" w:hAnsi="Trebuchet MS"/>
          <w:b/>
          <w:bCs/>
          <w:szCs w:val="24"/>
        </w:rPr>
        <w:t xml:space="preserve">  </w:t>
      </w:r>
    </w:p>
    <w:p w14:paraId="5D3965C0" w14:textId="5BF485A5" w:rsidR="00591AE0" w:rsidRPr="00F56405" w:rsidRDefault="00591AE0" w:rsidP="00DF29CB">
      <w:pPr>
        <w:ind w:left="360"/>
        <w:jc w:val="both"/>
        <w:rPr>
          <w:rFonts w:ascii="Trebuchet MS" w:hAnsi="Trebuchet MS"/>
          <w:szCs w:val="24"/>
        </w:rPr>
      </w:pPr>
      <w:r w:rsidRPr="00F56405">
        <w:rPr>
          <w:rFonts w:ascii="Trebuchet MS" w:hAnsi="Trebuchet MS"/>
          <w:szCs w:val="24"/>
        </w:rPr>
        <w:t>Con respecto al cumplimiento de requisitos del esquema de incentivos y compensaciones descritos en el numeral 5.2.10 de la resolución CREG 015 de 2018, EPM, al entrar en la aplicación del esquema de calidad de la resolución CREG 097 de 2019 t</w:t>
      </w:r>
      <w:r w:rsidR="00195885" w:rsidRPr="00F56405">
        <w:rPr>
          <w:rFonts w:ascii="Trebuchet MS" w:hAnsi="Trebuchet MS"/>
          <w:szCs w:val="24"/>
        </w:rPr>
        <w:t xml:space="preserve">enía </w:t>
      </w:r>
      <w:r w:rsidRPr="00F56405">
        <w:rPr>
          <w:rFonts w:ascii="Trebuchet MS" w:hAnsi="Trebuchet MS"/>
          <w:szCs w:val="24"/>
        </w:rPr>
        <w:t>pendiente solamente el siguiente requisito:</w:t>
      </w:r>
    </w:p>
    <w:p w14:paraId="7E014C64" w14:textId="77777777" w:rsidR="00591AE0" w:rsidRPr="00F56405" w:rsidRDefault="00591AE0" w:rsidP="00DF29CB">
      <w:pPr>
        <w:ind w:left="360"/>
        <w:jc w:val="both"/>
        <w:rPr>
          <w:rFonts w:ascii="Trebuchet MS" w:hAnsi="Trebuchet MS"/>
          <w:szCs w:val="24"/>
        </w:rPr>
      </w:pPr>
      <w:r w:rsidRPr="00F56405">
        <w:rPr>
          <w:rFonts w:ascii="Trebuchet MS" w:hAnsi="Trebuchet MS"/>
          <w:szCs w:val="24"/>
        </w:rPr>
        <w:t>• Literal f) “</w:t>
      </w:r>
      <w:r w:rsidRPr="00F56405">
        <w:rPr>
          <w:rFonts w:ascii="Trebuchet MS" w:hAnsi="Trebuchet MS"/>
          <w:i/>
          <w:iCs/>
          <w:szCs w:val="24"/>
        </w:rPr>
        <w:t>Contar con un tercer equipo de telemedición, que sea de corte y maniobra y telecontrolado y que sea adicional a los mencionados en los literales d y e. Estos equipos deben estar instalados en por lo menos el 70% de los circuitos de los niveles de tensión 2 y 3</w:t>
      </w:r>
      <w:r w:rsidRPr="00F56405">
        <w:rPr>
          <w:rFonts w:ascii="Trebuchet MS" w:hAnsi="Trebuchet MS"/>
          <w:szCs w:val="24"/>
        </w:rPr>
        <w:t>”.</w:t>
      </w:r>
    </w:p>
    <w:p w14:paraId="05E5385E" w14:textId="48736279" w:rsidR="00C67C0E" w:rsidRPr="00F56405" w:rsidRDefault="00893D0F" w:rsidP="00DF29CB">
      <w:pPr>
        <w:ind w:left="360"/>
        <w:jc w:val="both"/>
        <w:rPr>
          <w:rFonts w:ascii="Trebuchet MS" w:hAnsi="Trebuchet MS"/>
          <w:szCs w:val="24"/>
        </w:rPr>
      </w:pPr>
      <w:r w:rsidRPr="00F56405">
        <w:rPr>
          <w:rFonts w:ascii="Trebuchet MS" w:hAnsi="Trebuchet MS"/>
          <w:szCs w:val="24"/>
        </w:rPr>
        <w:t>El 21 de diciembre de 2020, la auditoría realizada por OR BETTER Consultores certifica que EPM cumple con el requisito definido en el literal f</w:t>
      </w:r>
      <w:r w:rsidR="00453D7C" w:rsidRPr="00F56405">
        <w:rPr>
          <w:rFonts w:ascii="Trebuchet MS" w:hAnsi="Trebuchet MS"/>
          <w:szCs w:val="24"/>
        </w:rPr>
        <w:t>)</w:t>
      </w:r>
      <w:r w:rsidRPr="00F56405">
        <w:rPr>
          <w:rFonts w:ascii="Trebuchet MS" w:hAnsi="Trebuchet MS"/>
          <w:szCs w:val="24"/>
        </w:rPr>
        <w:t xml:space="preserve"> </w:t>
      </w:r>
      <w:r w:rsidR="00947533" w:rsidRPr="00F56405">
        <w:rPr>
          <w:rFonts w:ascii="Trebuchet MS" w:hAnsi="Trebuchet MS"/>
          <w:szCs w:val="24"/>
        </w:rPr>
        <w:t>antes mencionado</w:t>
      </w:r>
      <w:r w:rsidR="00C67C0E" w:rsidRPr="00F56405">
        <w:rPr>
          <w:rFonts w:ascii="Trebuchet MS" w:hAnsi="Trebuchet MS"/>
          <w:szCs w:val="24"/>
        </w:rPr>
        <w:t xml:space="preserve">, y emitió </w:t>
      </w:r>
      <w:r w:rsidR="00895842" w:rsidRPr="00F56405">
        <w:rPr>
          <w:rFonts w:ascii="Trebuchet MS" w:hAnsi="Trebuchet MS"/>
          <w:szCs w:val="24"/>
        </w:rPr>
        <w:t>el certificado presentado en el Anexo 13.</w:t>
      </w:r>
    </w:p>
    <w:p w14:paraId="0D95A72F" w14:textId="6BDE0139" w:rsidR="00046A53" w:rsidRPr="002946A9" w:rsidRDefault="00046A53" w:rsidP="00B25130">
      <w:pPr>
        <w:spacing w:after="0"/>
        <w:ind w:left="360"/>
        <w:jc w:val="both"/>
        <w:rPr>
          <w:rFonts w:ascii="Trebuchet MS" w:hAnsi="Trebuchet MS"/>
          <w:i/>
          <w:iCs/>
          <w:szCs w:val="24"/>
        </w:rPr>
      </w:pPr>
      <w:r w:rsidRPr="00F56405">
        <w:rPr>
          <w:rFonts w:ascii="Trebuchet MS" w:hAnsi="Trebuchet MS"/>
          <w:szCs w:val="24"/>
        </w:rPr>
        <w:t xml:space="preserve">Las inversiones específicas del proyecto de calidad del servicio se pueden observar a nivel de unidad constructiva en </w:t>
      </w:r>
      <w:r w:rsidR="007D0CE8" w:rsidRPr="00F56405">
        <w:rPr>
          <w:rFonts w:ascii="Trebuchet MS" w:hAnsi="Trebuchet MS"/>
          <w:szCs w:val="24"/>
        </w:rPr>
        <w:t>el Anexo 2 y Anexo 4</w:t>
      </w:r>
      <w:r w:rsidR="001A54F4" w:rsidRPr="00F56405">
        <w:rPr>
          <w:rFonts w:ascii="Trebuchet MS" w:hAnsi="Trebuchet MS"/>
          <w:szCs w:val="24"/>
        </w:rPr>
        <w:t xml:space="preserve">, </w:t>
      </w:r>
      <w:r w:rsidRPr="00F56405">
        <w:rPr>
          <w:rFonts w:ascii="Trebuchet MS" w:hAnsi="Trebuchet MS"/>
          <w:szCs w:val="24"/>
        </w:rPr>
        <w:t xml:space="preserve">bajo el </w:t>
      </w:r>
      <w:r w:rsidR="001A54F4" w:rsidRPr="00F56405">
        <w:rPr>
          <w:rFonts w:ascii="Trebuchet MS" w:hAnsi="Trebuchet MS"/>
          <w:szCs w:val="24"/>
        </w:rPr>
        <w:t>proyecto:</w:t>
      </w:r>
      <w:r w:rsidRPr="00F56405">
        <w:rPr>
          <w:rFonts w:ascii="Trebuchet MS" w:hAnsi="Trebuchet MS"/>
          <w:szCs w:val="24"/>
        </w:rPr>
        <w:t xml:space="preserve"> </w:t>
      </w:r>
      <w:r w:rsidR="009A48D8" w:rsidRPr="00F56405">
        <w:rPr>
          <w:rFonts w:ascii="Trebuchet MS" w:hAnsi="Trebuchet MS"/>
          <w:i/>
          <w:iCs/>
          <w:szCs w:val="24"/>
        </w:rPr>
        <w:t>PEI1000TYDLI</w:t>
      </w:r>
      <w:r w:rsidR="009A48D8" w:rsidRPr="00F56405">
        <w:rPr>
          <w:rFonts w:ascii="Trebuchet MS" w:hAnsi="Trebuchet MS"/>
          <w:szCs w:val="24"/>
        </w:rPr>
        <w:t xml:space="preserve"> </w:t>
      </w:r>
      <w:r w:rsidRPr="00F56405">
        <w:rPr>
          <w:rFonts w:ascii="Trebuchet MS" w:hAnsi="Trebuchet MS"/>
          <w:i/>
          <w:iCs/>
          <w:szCs w:val="24"/>
        </w:rPr>
        <w:t xml:space="preserve">– </w:t>
      </w:r>
      <w:r w:rsidR="009A48D8" w:rsidRPr="00F56405">
        <w:rPr>
          <w:rFonts w:ascii="Trebuchet MS" w:hAnsi="Trebuchet MS"/>
          <w:i/>
          <w:iCs/>
          <w:szCs w:val="24"/>
        </w:rPr>
        <w:t>Plan mejoramiento calidad del servicio</w:t>
      </w:r>
      <w:r w:rsidR="00AA1255" w:rsidRPr="00F56405">
        <w:rPr>
          <w:rFonts w:ascii="Trebuchet MS" w:hAnsi="Trebuchet MS"/>
          <w:i/>
          <w:iCs/>
          <w:szCs w:val="24"/>
        </w:rPr>
        <w:t>.</w:t>
      </w:r>
    </w:p>
    <w:bookmarkEnd w:id="196"/>
    <w:p w14:paraId="3EE1D195" w14:textId="78320DED" w:rsidR="00422836" w:rsidRPr="002946A9" w:rsidRDefault="00422836" w:rsidP="00B25130">
      <w:pPr>
        <w:spacing w:after="0"/>
        <w:ind w:left="360"/>
        <w:jc w:val="both"/>
        <w:rPr>
          <w:rFonts w:ascii="Trebuchet MS" w:hAnsi="Trebuchet MS"/>
          <w:i/>
          <w:iCs/>
          <w:szCs w:val="24"/>
        </w:rPr>
      </w:pPr>
    </w:p>
    <w:p w14:paraId="26A17976" w14:textId="77777777" w:rsidR="002D025D" w:rsidRPr="002946A9" w:rsidRDefault="002D025D" w:rsidP="00C359FF">
      <w:pPr>
        <w:spacing w:after="0"/>
        <w:ind w:left="360"/>
        <w:jc w:val="both"/>
        <w:rPr>
          <w:rFonts w:ascii="Trebuchet MS" w:hAnsi="Trebuchet MS"/>
          <w:szCs w:val="24"/>
        </w:rPr>
      </w:pPr>
    </w:p>
    <w:p w14:paraId="4FF4549A" w14:textId="28051DFB" w:rsidR="002757A6" w:rsidRPr="002946A9" w:rsidRDefault="002757A6" w:rsidP="00DF29CB">
      <w:pPr>
        <w:numPr>
          <w:ilvl w:val="2"/>
          <w:numId w:val="2"/>
        </w:numPr>
        <w:jc w:val="both"/>
        <w:outlineLvl w:val="2"/>
        <w:rPr>
          <w:rFonts w:ascii="Trebuchet MS" w:hAnsi="Trebuchet MS"/>
          <w:b/>
          <w:bCs/>
          <w:szCs w:val="24"/>
        </w:rPr>
      </w:pPr>
      <w:bookmarkStart w:id="197" w:name="_Toc131109362"/>
      <w:r w:rsidRPr="002946A9">
        <w:rPr>
          <w:rFonts w:ascii="Trebuchet MS" w:hAnsi="Trebuchet MS"/>
          <w:b/>
          <w:bCs/>
          <w:szCs w:val="24"/>
        </w:rPr>
        <w:t>Inversiones</w:t>
      </w:r>
      <w:r w:rsidR="007509EF" w:rsidRPr="002946A9">
        <w:rPr>
          <w:rFonts w:ascii="Trebuchet MS" w:hAnsi="Trebuchet MS"/>
          <w:b/>
          <w:bCs/>
          <w:szCs w:val="24"/>
        </w:rPr>
        <w:t xml:space="preserve"> en gestión de activos</w:t>
      </w:r>
      <w:bookmarkEnd w:id="197"/>
      <w:r w:rsidRPr="002946A9">
        <w:rPr>
          <w:rFonts w:ascii="Trebuchet MS" w:hAnsi="Trebuchet MS"/>
          <w:b/>
          <w:bCs/>
          <w:szCs w:val="24"/>
        </w:rPr>
        <w:t xml:space="preserve">  </w:t>
      </w:r>
    </w:p>
    <w:p w14:paraId="2C580E86" w14:textId="4888D6AD" w:rsidR="002414A7" w:rsidRPr="002946A9" w:rsidRDefault="002757A6" w:rsidP="00AF5A31">
      <w:pPr>
        <w:spacing w:after="0"/>
        <w:ind w:left="360"/>
        <w:jc w:val="both"/>
        <w:rPr>
          <w:rFonts w:ascii="Trebuchet MS" w:hAnsi="Trebuchet MS"/>
          <w:szCs w:val="24"/>
        </w:rPr>
      </w:pPr>
      <w:r w:rsidRPr="002946A9">
        <w:rPr>
          <w:rFonts w:ascii="Trebuchet MS" w:hAnsi="Trebuchet MS"/>
          <w:szCs w:val="24"/>
        </w:rPr>
        <w:t xml:space="preserve">Los valores de ejecución de inversiones en el año </w:t>
      </w:r>
      <w:r w:rsidR="002631E7" w:rsidRPr="002946A9">
        <w:rPr>
          <w:rFonts w:ascii="Trebuchet MS" w:hAnsi="Trebuchet MS"/>
          <w:szCs w:val="24"/>
        </w:rPr>
        <w:t>202</w:t>
      </w:r>
      <w:r w:rsidR="002631E7">
        <w:rPr>
          <w:rFonts w:ascii="Trebuchet MS" w:hAnsi="Trebuchet MS"/>
          <w:szCs w:val="24"/>
        </w:rPr>
        <w:t>2</w:t>
      </w:r>
      <w:r w:rsidRPr="002946A9">
        <w:rPr>
          <w:rFonts w:ascii="Trebuchet MS" w:hAnsi="Trebuchet MS"/>
          <w:szCs w:val="24"/>
        </w:rPr>
        <w:t xml:space="preserve">, </w:t>
      </w:r>
      <w:r w:rsidR="001F7DDB" w:rsidRPr="002946A9">
        <w:rPr>
          <w:rFonts w:ascii="Trebuchet MS" w:hAnsi="Trebuchet MS"/>
          <w:szCs w:val="24"/>
        </w:rPr>
        <w:t xml:space="preserve">relacionadas a la implementación del Sistema de Gestión de Activos </w:t>
      </w:r>
      <w:r w:rsidR="002C30A9" w:rsidRPr="002946A9">
        <w:rPr>
          <w:rFonts w:ascii="Trebuchet MS" w:hAnsi="Trebuchet MS"/>
          <w:szCs w:val="24"/>
        </w:rPr>
        <w:t xml:space="preserve">del negocio de distribución de </w:t>
      </w:r>
      <w:r w:rsidR="002E2BEC" w:rsidRPr="002946A9">
        <w:rPr>
          <w:rFonts w:ascii="Trebuchet MS" w:hAnsi="Trebuchet MS"/>
          <w:szCs w:val="24"/>
        </w:rPr>
        <w:t xml:space="preserve">energía de </w:t>
      </w:r>
      <w:r w:rsidR="002C30A9" w:rsidRPr="002946A9">
        <w:rPr>
          <w:rFonts w:ascii="Trebuchet MS" w:hAnsi="Trebuchet MS"/>
          <w:szCs w:val="24"/>
        </w:rPr>
        <w:t xml:space="preserve">EPM, </w:t>
      </w:r>
      <w:r w:rsidR="001F7DDB" w:rsidRPr="002946A9">
        <w:rPr>
          <w:rFonts w:ascii="Trebuchet MS" w:hAnsi="Trebuchet MS"/>
          <w:szCs w:val="24"/>
        </w:rPr>
        <w:t>se presentan e</w:t>
      </w:r>
      <w:r w:rsidR="002E2BEC" w:rsidRPr="002946A9">
        <w:rPr>
          <w:rFonts w:ascii="Trebuchet MS" w:hAnsi="Trebuchet MS"/>
          <w:szCs w:val="24"/>
        </w:rPr>
        <w:t xml:space="preserve">n la </w:t>
      </w:r>
      <w:r w:rsidR="002E2BEC" w:rsidRPr="002946A9">
        <w:rPr>
          <w:rFonts w:ascii="Trebuchet MS" w:hAnsi="Trebuchet MS"/>
          <w:szCs w:val="24"/>
        </w:rPr>
        <w:fldChar w:fldCharType="begin"/>
      </w:r>
      <w:r w:rsidR="002E2BEC" w:rsidRPr="002946A9">
        <w:rPr>
          <w:rFonts w:ascii="Trebuchet MS" w:hAnsi="Trebuchet MS"/>
          <w:szCs w:val="24"/>
        </w:rPr>
        <w:instrText xml:space="preserve"> REF _Ref67665651 \h </w:instrText>
      </w:r>
      <w:r w:rsidR="002946A9" w:rsidRPr="002946A9">
        <w:rPr>
          <w:rFonts w:ascii="Trebuchet MS" w:hAnsi="Trebuchet MS"/>
          <w:szCs w:val="24"/>
        </w:rPr>
        <w:instrText xml:space="preserve"> \* MERGEFORMAT </w:instrText>
      </w:r>
      <w:r w:rsidR="002E2BEC" w:rsidRPr="002946A9">
        <w:rPr>
          <w:rFonts w:ascii="Trebuchet MS" w:hAnsi="Trebuchet MS"/>
          <w:szCs w:val="24"/>
        </w:rPr>
      </w:r>
      <w:r w:rsidR="002E2BEC"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6</w:t>
      </w:r>
      <w:r w:rsidR="002E2BEC" w:rsidRPr="002946A9">
        <w:rPr>
          <w:rFonts w:ascii="Trebuchet MS" w:hAnsi="Trebuchet MS"/>
          <w:szCs w:val="24"/>
        </w:rPr>
        <w:fldChar w:fldCharType="end"/>
      </w:r>
      <w:r w:rsidR="00D60569" w:rsidRPr="002946A9">
        <w:rPr>
          <w:rFonts w:ascii="Trebuchet MS" w:hAnsi="Trebuchet MS"/>
          <w:szCs w:val="24"/>
        </w:rPr>
        <w:t>, para cada unidad constructiva del plan de inversiones</w:t>
      </w:r>
      <w:r w:rsidR="00E00551">
        <w:rPr>
          <w:rFonts w:ascii="Trebuchet MS" w:hAnsi="Trebuchet MS"/>
          <w:szCs w:val="24"/>
        </w:rPr>
        <w:t xml:space="preserve"> </w:t>
      </w:r>
      <w:r w:rsidR="008C4AE7">
        <w:rPr>
          <w:rFonts w:ascii="Trebuchet MS" w:hAnsi="Trebuchet MS"/>
          <w:szCs w:val="24"/>
        </w:rPr>
        <w:t xml:space="preserve">las cuales </w:t>
      </w:r>
      <w:r w:rsidR="001433DE">
        <w:rPr>
          <w:rFonts w:ascii="Trebuchet MS" w:hAnsi="Trebuchet MS"/>
          <w:szCs w:val="24"/>
        </w:rPr>
        <w:t>s</w:t>
      </w:r>
      <w:r w:rsidR="008C4AE7">
        <w:rPr>
          <w:rFonts w:ascii="Trebuchet MS" w:hAnsi="Trebuchet MS"/>
          <w:szCs w:val="24"/>
        </w:rPr>
        <w:t>e</w:t>
      </w:r>
      <w:r w:rsidR="001433DE">
        <w:rPr>
          <w:rFonts w:ascii="Trebuchet MS" w:hAnsi="Trebuchet MS"/>
          <w:szCs w:val="24"/>
        </w:rPr>
        <w:t xml:space="preserve"> encuentran aprobadas para otros años del plan</w:t>
      </w:r>
    </w:p>
    <w:p w14:paraId="1F3D8A27" w14:textId="77777777" w:rsidR="00AA1598" w:rsidRPr="002946A9" w:rsidRDefault="00AA1598" w:rsidP="00DF29CB">
      <w:pPr>
        <w:ind w:left="360"/>
        <w:jc w:val="both"/>
        <w:rPr>
          <w:rFonts w:ascii="Trebuchet MS" w:hAnsi="Trebuchet MS"/>
          <w:szCs w:val="24"/>
        </w:rPr>
      </w:pPr>
    </w:p>
    <w:p w14:paraId="0231C90B" w14:textId="3C24C6EB" w:rsidR="00680B73" w:rsidRPr="00400ED2" w:rsidRDefault="00AA1598" w:rsidP="00EF3F98">
      <w:pPr>
        <w:ind w:left="1416" w:hanging="1056"/>
        <w:jc w:val="both"/>
        <w:rPr>
          <w:rFonts w:ascii="Trebuchet MS" w:hAnsi="Trebuchet MS"/>
        </w:rPr>
      </w:pPr>
      <w:bookmarkStart w:id="198" w:name="_Ref67665651"/>
      <w:bookmarkStart w:id="199" w:name="_Toc131032796"/>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6</w:t>
      </w:r>
      <w:r w:rsidRPr="002946A9">
        <w:rPr>
          <w:rFonts w:ascii="Trebuchet MS" w:hAnsi="Trebuchet MS"/>
        </w:rPr>
        <w:fldChar w:fldCharType="end"/>
      </w:r>
      <w:bookmarkEnd w:id="198"/>
      <w:r w:rsidRPr="002946A9">
        <w:rPr>
          <w:rFonts w:ascii="Trebuchet MS" w:hAnsi="Trebuchet MS"/>
        </w:rPr>
        <w:t xml:space="preserve">  Inversiones en </w:t>
      </w:r>
      <w:r w:rsidR="00D47CBA" w:rsidRPr="002946A9">
        <w:rPr>
          <w:rFonts w:ascii="Trebuchet MS" w:hAnsi="Trebuchet MS"/>
        </w:rPr>
        <w:t xml:space="preserve">el Sistema de Gestión de Activos en el </w:t>
      </w:r>
      <w:r w:rsidRPr="002946A9">
        <w:rPr>
          <w:rFonts w:ascii="Trebuchet MS" w:hAnsi="Trebuchet MS"/>
        </w:rPr>
        <w:t xml:space="preserve">año </w:t>
      </w:r>
      <w:r w:rsidR="00C03D5E" w:rsidRPr="002946A9">
        <w:rPr>
          <w:rFonts w:ascii="Trebuchet MS" w:hAnsi="Trebuchet MS"/>
        </w:rPr>
        <w:t>202</w:t>
      </w:r>
      <w:r w:rsidR="00C03D5E">
        <w:rPr>
          <w:rFonts w:ascii="Trebuchet MS" w:hAnsi="Trebuchet MS"/>
        </w:rPr>
        <w:t>2</w:t>
      </w:r>
      <w:r w:rsidRPr="002946A9">
        <w:rPr>
          <w:rFonts w:ascii="Trebuchet MS" w:hAnsi="Trebuchet MS"/>
        </w:rPr>
        <w:t>.</w:t>
      </w:r>
      <w:bookmarkEnd w:id="199"/>
    </w:p>
    <w:tbl>
      <w:tblPr>
        <w:tblW w:w="0" w:type="auto"/>
        <w:jc w:val="center"/>
        <w:tblLayout w:type="fixed"/>
        <w:tblCellMar>
          <w:left w:w="70" w:type="dxa"/>
          <w:right w:w="70" w:type="dxa"/>
        </w:tblCellMar>
        <w:tblLook w:val="04A0" w:firstRow="1" w:lastRow="0" w:firstColumn="1" w:lastColumn="0" w:noHBand="0" w:noVBand="1"/>
      </w:tblPr>
      <w:tblGrid>
        <w:gridCol w:w="699"/>
        <w:gridCol w:w="6237"/>
        <w:gridCol w:w="1559"/>
      </w:tblGrid>
      <w:tr w:rsidR="00680B73" w:rsidRPr="002946A9" w14:paraId="7D2ED039" w14:textId="77777777" w:rsidTr="00C82FFA">
        <w:trPr>
          <w:trHeight w:val="20"/>
          <w:jc w:val="center"/>
        </w:trPr>
        <w:tc>
          <w:tcPr>
            <w:tcW w:w="699" w:type="dxa"/>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1741DB85" w14:textId="77777777" w:rsidR="00680B73" w:rsidRPr="002946A9" w:rsidRDefault="00680B73" w:rsidP="00C82FFA">
            <w:pPr>
              <w:spacing w:after="0" w:line="240" w:lineRule="auto"/>
              <w:jc w:val="center"/>
              <w:rPr>
                <w:rFonts w:ascii="Trebuchet MS" w:eastAsia="Times New Roman" w:hAnsi="Trebuchet MS" w:cs="Calibri"/>
                <w:b/>
                <w:bCs/>
                <w:color w:val="000000"/>
                <w:sz w:val="18"/>
                <w:szCs w:val="18"/>
                <w:lang w:eastAsia="es-CO"/>
              </w:rPr>
            </w:pPr>
            <w:r w:rsidRPr="002946A9">
              <w:rPr>
                <w:rFonts w:ascii="Trebuchet MS" w:eastAsia="Times New Roman" w:hAnsi="Trebuchet MS" w:cs="Calibri"/>
                <w:b/>
                <w:bCs/>
                <w:color w:val="000000"/>
                <w:sz w:val="18"/>
                <w:szCs w:val="18"/>
                <w:lang w:eastAsia="es-CO"/>
              </w:rPr>
              <w:t>UC</w:t>
            </w:r>
          </w:p>
        </w:tc>
        <w:tc>
          <w:tcPr>
            <w:tcW w:w="6237" w:type="dxa"/>
            <w:tcBorders>
              <w:top w:val="single" w:sz="8" w:space="0" w:color="FFFFFF"/>
              <w:left w:val="nil"/>
              <w:bottom w:val="single" w:sz="8" w:space="0" w:color="FFFFFF"/>
              <w:right w:val="single" w:sz="8" w:space="0" w:color="FFFFFF"/>
            </w:tcBorders>
            <w:shd w:val="clear" w:color="000000" w:fill="BFE2A8"/>
            <w:noWrap/>
            <w:vAlign w:val="center"/>
            <w:hideMark/>
          </w:tcPr>
          <w:p w14:paraId="548F2AA6" w14:textId="77777777" w:rsidR="00680B73" w:rsidRPr="002946A9" w:rsidRDefault="00680B73" w:rsidP="00C82FFA">
            <w:pPr>
              <w:spacing w:after="0" w:line="240" w:lineRule="auto"/>
              <w:jc w:val="center"/>
              <w:rPr>
                <w:rFonts w:ascii="Trebuchet MS" w:eastAsia="Times New Roman" w:hAnsi="Trebuchet MS" w:cs="Calibri"/>
                <w:b/>
                <w:bCs/>
                <w:color w:val="000000"/>
                <w:sz w:val="18"/>
                <w:szCs w:val="18"/>
                <w:lang w:eastAsia="es-CO"/>
              </w:rPr>
            </w:pPr>
            <w:r w:rsidRPr="002946A9">
              <w:rPr>
                <w:rFonts w:ascii="Trebuchet MS" w:eastAsia="Times New Roman" w:hAnsi="Trebuchet MS" w:cs="Calibri"/>
                <w:b/>
                <w:bCs/>
                <w:color w:val="000000"/>
                <w:sz w:val="18"/>
                <w:szCs w:val="18"/>
                <w:lang w:eastAsia="es-CO"/>
              </w:rPr>
              <w:t>Descripción</w:t>
            </w:r>
          </w:p>
        </w:tc>
        <w:tc>
          <w:tcPr>
            <w:tcW w:w="1559" w:type="dxa"/>
            <w:tcBorders>
              <w:top w:val="single" w:sz="8" w:space="0" w:color="FFFFFF"/>
              <w:left w:val="nil"/>
              <w:bottom w:val="single" w:sz="8" w:space="0" w:color="FFFFFF"/>
              <w:right w:val="single" w:sz="8" w:space="0" w:color="FFFFFF"/>
            </w:tcBorders>
            <w:shd w:val="clear" w:color="000000" w:fill="BFE2A8"/>
            <w:vAlign w:val="center"/>
            <w:hideMark/>
          </w:tcPr>
          <w:p w14:paraId="1363F807" w14:textId="4D7A8CF8" w:rsidR="00680B73" w:rsidRPr="002946A9" w:rsidRDefault="00680B73" w:rsidP="00C82FFA">
            <w:pPr>
              <w:spacing w:after="0" w:line="240" w:lineRule="auto"/>
              <w:jc w:val="center"/>
              <w:rPr>
                <w:rFonts w:ascii="Trebuchet MS" w:eastAsia="Times New Roman" w:hAnsi="Trebuchet MS" w:cs="Calibri"/>
                <w:b/>
                <w:bCs/>
                <w:color w:val="000000"/>
                <w:sz w:val="18"/>
                <w:szCs w:val="18"/>
                <w:lang w:eastAsia="es-CO"/>
              </w:rPr>
            </w:pPr>
            <w:r w:rsidRPr="002946A9">
              <w:rPr>
                <w:rFonts w:ascii="Trebuchet MS" w:eastAsia="Times New Roman" w:hAnsi="Trebuchet MS" w:cs="Calibri"/>
                <w:b/>
                <w:bCs/>
                <w:color w:val="000000"/>
                <w:sz w:val="18"/>
                <w:szCs w:val="18"/>
                <w:lang w:eastAsia="es-CO"/>
              </w:rPr>
              <w:t>Valor ejecutado en el año 202</w:t>
            </w:r>
            <w:r w:rsidR="00C205C2">
              <w:rPr>
                <w:rFonts w:ascii="Trebuchet MS" w:eastAsia="Times New Roman" w:hAnsi="Trebuchet MS" w:cs="Calibri"/>
                <w:b/>
                <w:bCs/>
                <w:color w:val="000000"/>
                <w:sz w:val="18"/>
                <w:szCs w:val="18"/>
                <w:lang w:eastAsia="es-CO"/>
              </w:rPr>
              <w:t>2</w:t>
            </w:r>
            <w:r w:rsidRPr="002946A9">
              <w:rPr>
                <w:rFonts w:ascii="Trebuchet MS" w:eastAsia="Times New Roman" w:hAnsi="Trebuchet MS" w:cs="Calibri"/>
                <w:b/>
                <w:bCs/>
                <w:color w:val="000000"/>
                <w:sz w:val="18"/>
                <w:szCs w:val="18"/>
                <w:lang w:eastAsia="es-CO"/>
              </w:rPr>
              <w:t>*</w:t>
            </w:r>
          </w:p>
        </w:tc>
      </w:tr>
      <w:tr w:rsidR="00680B73" w:rsidRPr="002946A9" w14:paraId="52D2032F" w14:textId="77777777" w:rsidTr="00C82FFA">
        <w:trPr>
          <w:trHeight w:val="20"/>
          <w:jc w:val="center"/>
        </w:trPr>
        <w:tc>
          <w:tcPr>
            <w:tcW w:w="699" w:type="dxa"/>
            <w:tcBorders>
              <w:top w:val="nil"/>
              <w:left w:val="single" w:sz="8" w:space="0" w:color="FFFFFF"/>
              <w:bottom w:val="single" w:sz="8" w:space="0" w:color="FFFFFF"/>
              <w:right w:val="single" w:sz="8" w:space="0" w:color="FFFFFF"/>
            </w:tcBorders>
            <w:shd w:val="clear" w:color="000000" w:fill="BFE2A8"/>
            <w:noWrap/>
            <w:vAlign w:val="center"/>
            <w:hideMark/>
          </w:tcPr>
          <w:p w14:paraId="07F716F1" w14:textId="77777777" w:rsidR="00680B73" w:rsidRPr="002946A9" w:rsidRDefault="00680B73" w:rsidP="00C82FFA">
            <w:pPr>
              <w:spacing w:after="0" w:line="240" w:lineRule="auto"/>
              <w:jc w:val="center"/>
              <w:rPr>
                <w:rFonts w:ascii="Trebuchet MS" w:eastAsia="Times New Roman" w:hAnsi="Trebuchet MS" w:cs="Calibri"/>
                <w:b/>
                <w:bCs/>
                <w:color w:val="000000"/>
                <w:sz w:val="18"/>
                <w:szCs w:val="18"/>
                <w:lang w:eastAsia="es-CO"/>
              </w:rPr>
            </w:pPr>
            <w:r w:rsidRPr="002946A9">
              <w:rPr>
                <w:rFonts w:ascii="Trebuchet MS" w:eastAsia="Times New Roman" w:hAnsi="Trebuchet MS" w:cs="Calibri"/>
                <w:b/>
                <w:bCs/>
                <w:color w:val="000000"/>
                <w:sz w:val="18"/>
                <w:szCs w:val="18"/>
                <w:lang w:eastAsia="es-CO"/>
              </w:rPr>
              <w:t>N0P16</w:t>
            </w:r>
          </w:p>
        </w:tc>
        <w:tc>
          <w:tcPr>
            <w:tcW w:w="6237" w:type="dxa"/>
            <w:tcBorders>
              <w:top w:val="nil"/>
              <w:left w:val="nil"/>
              <w:bottom w:val="single" w:sz="8" w:space="0" w:color="FFFFFF"/>
              <w:right w:val="single" w:sz="8" w:space="0" w:color="FFFFFF"/>
            </w:tcBorders>
            <w:shd w:val="clear" w:color="000000" w:fill="EAF4D7"/>
            <w:noWrap/>
            <w:vAlign w:val="center"/>
            <w:hideMark/>
          </w:tcPr>
          <w:p w14:paraId="2D37D552" w14:textId="77777777" w:rsidR="00680B73" w:rsidRPr="006B36C7" w:rsidRDefault="00680B73" w:rsidP="00C82FFA">
            <w:pPr>
              <w:spacing w:after="0" w:line="240" w:lineRule="auto"/>
              <w:rPr>
                <w:rFonts w:ascii="Trebuchet MS" w:eastAsia="Times New Roman" w:hAnsi="Trebuchet MS" w:cs="Calibri"/>
                <w:color w:val="000000"/>
                <w:sz w:val="18"/>
                <w:szCs w:val="18"/>
                <w:lang w:val="en-US" w:eastAsia="es-CO"/>
              </w:rPr>
            </w:pPr>
            <w:r w:rsidRPr="006B36C7">
              <w:rPr>
                <w:rFonts w:ascii="Trebuchet MS" w:eastAsia="Times New Roman" w:hAnsi="Trebuchet MS" w:cs="Calibri"/>
                <w:color w:val="000000"/>
                <w:sz w:val="18"/>
                <w:szCs w:val="18"/>
                <w:lang w:val="en-US" w:eastAsia="es-CO"/>
              </w:rPr>
              <w:t>Activos SGA EPM - Business Intelligence (BI)</w:t>
            </w:r>
          </w:p>
        </w:tc>
        <w:tc>
          <w:tcPr>
            <w:tcW w:w="1559" w:type="dxa"/>
            <w:tcBorders>
              <w:top w:val="nil"/>
              <w:left w:val="nil"/>
              <w:bottom w:val="single" w:sz="8" w:space="0" w:color="FFFFFF"/>
              <w:right w:val="single" w:sz="8" w:space="0" w:color="FFFFFF"/>
            </w:tcBorders>
            <w:shd w:val="clear" w:color="000000" w:fill="EAF4D7"/>
            <w:noWrap/>
            <w:vAlign w:val="center"/>
            <w:hideMark/>
          </w:tcPr>
          <w:p w14:paraId="51FF865A" w14:textId="23823D16" w:rsidR="00680B73" w:rsidRPr="002946A9" w:rsidRDefault="00680B73" w:rsidP="00C82FFA">
            <w:pPr>
              <w:spacing w:after="0" w:line="240" w:lineRule="auto"/>
              <w:jc w:val="right"/>
              <w:rPr>
                <w:rFonts w:ascii="Trebuchet MS" w:eastAsia="Times New Roman" w:hAnsi="Trebuchet MS" w:cs="Calibri"/>
                <w:color w:val="000000"/>
                <w:sz w:val="18"/>
                <w:szCs w:val="18"/>
                <w:lang w:eastAsia="es-CO"/>
              </w:rPr>
            </w:pPr>
            <w:r w:rsidRPr="002946A9">
              <w:rPr>
                <w:rFonts w:ascii="Trebuchet MS" w:eastAsia="Times New Roman" w:hAnsi="Trebuchet MS" w:cs="Calibri"/>
                <w:color w:val="000000"/>
                <w:sz w:val="18"/>
                <w:szCs w:val="18"/>
                <w:lang w:eastAsia="es-CO"/>
              </w:rPr>
              <w:t xml:space="preserve">$ </w:t>
            </w:r>
            <w:r w:rsidR="008D227E">
              <w:rPr>
                <w:rFonts w:ascii="Trebuchet MS" w:eastAsia="Times New Roman" w:hAnsi="Trebuchet MS" w:cs="Calibri"/>
                <w:color w:val="000000"/>
                <w:sz w:val="18"/>
                <w:szCs w:val="18"/>
                <w:lang w:eastAsia="es-CO"/>
              </w:rPr>
              <w:t>201,726,504</w:t>
            </w:r>
          </w:p>
        </w:tc>
      </w:tr>
      <w:tr w:rsidR="00680B73" w:rsidRPr="002946A9" w14:paraId="73EDFCE7" w14:textId="77777777" w:rsidTr="00C82FFA">
        <w:trPr>
          <w:trHeight w:val="20"/>
          <w:jc w:val="center"/>
        </w:trPr>
        <w:tc>
          <w:tcPr>
            <w:tcW w:w="699" w:type="dxa"/>
            <w:tcBorders>
              <w:top w:val="nil"/>
              <w:left w:val="single" w:sz="8" w:space="0" w:color="FFFFFF"/>
              <w:bottom w:val="single" w:sz="8" w:space="0" w:color="FFFFFF"/>
              <w:right w:val="single" w:sz="8" w:space="0" w:color="FFFFFF"/>
            </w:tcBorders>
            <w:shd w:val="clear" w:color="000000" w:fill="BFE2A8"/>
            <w:noWrap/>
            <w:vAlign w:val="center"/>
            <w:hideMark/>
          </w:tcPr>
          <w:p w14:paraId="5DD10FC5" w14:textId="77777777" w:rsidR="00680B73" w:rsidRPr="002946A9" w:rsidRDefault="00680B73" w:rsidP="00C82FFA">
            <w:pPr>
              <w:spacing w:after="0" w:line="240" w:lineRule="auto"/>
              <w:jc w:val="center"/>
              <w:rPr>
                <w:rFonts w:ascii="Trebuchet MS" w:eastAsia="Times New Roman" w:hAnsi="Trebuchet MS" w:cs="Calibri"/>
                <w:b/>
                <w:bCs/>
                <w:color w:val="000000"/>
                <w:sz w:val="18"/>
                <w:szCs w:val="18"/>
                <w:lang w:eastAsia="es-CO"/>
              </w:rPr>
            </w:pPr>
            <w:r w:rsidRPr="002946A9">
              <w:rPr>
                <w:rFonts w:ascii="Trebuchet MS" w:eastAsia="Times New Roman" w:hAnsi="Trebuchet MS" w:cs="Calibri"/>
                <w:b/>
                <w:bCs/>
                <w:color w:val="000000"/>
                <w:sz w:val="18"/>
                <w:szCs w:val="18"/>
                <w:lang w:eastAsia="es-CO"/>
              </w:rPr>
              <w:t>N0P17</w:t>
            </w:r>
          </w:p>
        </w:tc>
        <w:tc>
          <w:tcPr>
            <w:tcW w:w="6237" w:type="dxa"/>
            <w:tcBorders>
              <w:top w:val="nil"/>
              <w:left w:val="nil"/>
              <w:bottom w:val="single" w:sz="8" w:space="0" w:color="FFFFFF"/>
              <w:right w:val="single" w:sz="8" w:space="0" w:color="FFFFFF"/>
            </w:tcBorders>
            <w:shd w:val="clear" w:color="000000" w:fill="D6EAAF"/>
            <w:noWrap/>
            <w:vAlign w:val="center"/>
            <w:hideMark/>
          </w:tcPr>
          <w:p w14:paraId="3856CF69" w14:textId="77777777" w:rsidR="00680B73" w:rsidRPr="002946A9" w:rsidRDefault="00680B73" w:rsidP="00C82FFA">
            <w:pPr>
              <w:spacing w:after="0" w:line="240" w:lineRule="auto"/>
              <w:rPr>
                <w:rFonts w:ascii="Trebuchet MS" w:eastAsia="Times New Roman" w:hAnsi="Trebuchet MS" w:cs="Calibri"/>
                <w:color w:val="000000"/>
                <w:sz w:val="18"/>
                <w:szCs w:val="18"/>
                <w:lang w:eastAsia="es-CO"/>
              </w:rPr>
            </w:pPr>
            <w:r w:rsidRPr="002946A9">
              <w:rPr>
                <w:rFonts w:ascii="Trebuchet MS" w:eastAsia="Times New Roman" w:hAnsi="Trebuchet MS" w:cs="Calibri"/>
                <w:color w:val="000000"/>
                <w:sz w:val="18"/>
                <w:szCs w:val="18"/>
                <w:lang w:eastAsia="es-CO"/>
              </w:rPr>
              <w:t>Activos SGA EPM - Asset Performance Management (APM) para activos críticos</w:t>
            </w:r>
          </w:p>
        </w:tc>
        <w:tc>
          <w:tcPr>
            <w:tcW w:w="1559" w:type="dxa"/>
            <w:tcBorders>
              <w:top w:val="nil"/>
              <w:left w:val="nil"/>
              <w:bottom w:val="single" w:sz="8" w:space="0" w:color="FFFFFF"/>
              <w:right w:val="single" w:sz="8" w:space="0" w:color="FFFFFF"/>
            </w:tcBorders>
            <w:shd w:val="clear" w:color="000000" w:fill="D6EAAF"/>
            <w:noWrap/>
            <w:vAlign w:val="center"/>
            <w:hideMark/>
          </w:tcPr>
          <w:p w14:paraId="755FB6A0" w14:textId="1D6D96B5" w:rsidR="00680B73" w:rsidRPr="002946A9" w:rsidRDefault="00680B73" w:rsidP="00C82FFA">
            <w:pPr>
              <w:spacing w:after="0" w:line="240" w:lineRule="auto"/>
              <w:jc w:val="right"/>
              <w:rPr>
                <w:rFonts w:ascii="Trebuchet MS" w:eastAsia="Times New Roman" w:hAnsi="Trebuchet MS" w:cs="Calibri"/>
                <w:color w:val="000000"/>
                <w:sz w:val="18"/>
                <w:szCs w:val="18"/>
                <w:lang w:eastAsia="es-CO"/>
              </w:rPr>
            </w:pPr>
            <w:r w:rsidRPr="002946A9">
              <w:rPr>
                <w:rFonts w:ascii="Trebuchet MS" w:eastAsia="Times New Roman" w:hAnsi="Trebuchet MS" w:cs="Calibri"/>
                <w:color w:val="000000"/>
                <w:sz w:val="18"/>
                <w:szCs w:val="18"/>
                <w:lang w:eastAsia="es-CO"/>
              </w:rPr>
              <w:t xml:space="preserve">$ </w:t>
            </w:r>
            <w:r w:rsidR="008D227E">
              <w:rPr>
                <w:rFonts w:ascii="Trebuchet MS" w:eastAsia="Times New Roman" w:hAnsi="Trebuchet MS" w:cs="Calibri"/>
                <w:color w:val="000000"/>
                <w:sz w:val="18"/>
                <w:szCs w:val="18"/>
                <w:lang w:eastAsia="es-CO"/>
              </w:rPr>
              <w:t>295,159,805</w:t>
            </w:r>
          </w:p>
        </w:tc>
      </w:tr>
      <w:tr w:rsidR="00680B73" w:rsidRPr="002946A9" w14:paraId="7A7F8E38" w14:textId="77777777" w:rsidTr="00C82FFA">
        <w:trPr>
          <w:trHeight w:val="20"/>
          <w:jc w:val="center"/>
        </w:trPr>
        <w:tc>
          <w:tcPr>
            <w:tcW w:w="6936" w:type="dxa"/>
            <w:gridSpan w:val="2"/>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33E2BC4E" w14:textId="77777777" w:rsidR="00680B73" w:rsidRPr="002946A9" w:rsidRDefault="00680B73" w:rsidP="00C82FFA">
            <w:pPr>
              <w:spacing w:after="0" w:line="240" w:lineRule="auto"/>
              <w:jc w:val="center"/>
              <w:rPr>
                <w:rFonts w:ascii="Trebuchet MS" w:eastAsia="Times New Roman" w:hAnsi="Trebuchet MS" w:cs="Calibri"/>
                <w:b/>
                <w:bCs/>
                <w:color w:val="000000"/>
                <w:sz w:val="18"/>
                <w:szCs w:val="18"/>
                <w:lang w:eastAsia="es-CO"/>
              </w:rPr>
            </w:pPr>
            <w:r w:rsidRPr="002946A9">
              <w:rPr>
                <w:rFonts w:ascii="Trebuchet MS" w:eastAsia="Times New Roman" w:hAnsi="Trebuchet MS" w:cs="Calibri"/>
                <w:b/>
                <w:bCs/>
                <w:color w:val="000000"/>
                <w:sz w:val="18"/>
                <w:szCs w:val="18"/>
                <w:lang w:eastAsia="es-CO"/>
              </w:rPr>
              <w:t>TOTAL</w:t>
            </w:r>
          </w:p>
        </w:tc>
        <w:tc>
          <w:tcPr>
            <w:tcW w:w="1559" w:type="dxa"/>
            <w:tcBorders>
              <w:top w:val="nil"/>
              <w:left w:val="nil"/>
              <w:bottom w:val="single" w:sz="8" w:space="0" w:color="FFFFFF"/>
              <w:right w:val="single" w:sz="8" w:space="0" w:color="FFFFFF"/>
            </w:tcBorders>
            <w:shd w:val="clear" w:color="000000" w:fill="BFE2A8"/>
            <w:noWrap/>
            <w:vAlign w:val="center"/>
            <w:hideMark/>
          </w:tcPr>
          <w:p w14:paraId="1C5EC385" w14:textId="7D04F6A2" w:rsidR="00680B73" w:rsidRPr="002946A9" w:rsidRDefault="00680B73" w:rsidP="00C82FFA">
            <w:pPr>
              <w:spacing w:after="0" w:line="240" w:lineRule="auto"/>
              <w:jc w:val="right"/>
              <w:rPr>
                <w:rFonts w:ascii="Trebuchet MS" w:eastAsia="Times New Roman" w:hAnsi="Trebuchet MS" w:cs="Calibri"/>
                <w:b/>
                <w:bCs/>
                <w:color w:val="000000"/>
                <w:sz w:val="18"/>
                <w:szCs w:val="18"/>
                <w:lang w:eastAsia="es-CO"/>
              </w:rPr>
            </w:pPr>
            <w:r w:rsidRPr="002946A9">
              <w:rPr>
                <w:rFonts w:ascii="Trebuchet MS" w:eastAsia="Times New Roman" w:hAnsi="Trebuchet MS" w:cs="Calibri"/>
                <w:b/>
                <w:bCs/>
                <w:color w:val="000000"/>
                <w:sz w:val="18"/>
                <w:szCs w:val="18"/>
                <w:lang w:eastAsia="es-CO"/>
              </w:rPr>
              <w:t xml:space="preserve">$ </w:t>
            </w:r>
            <w:r w:rsidR="00816CF5">
              <w:rPr>
                <w:rFonts w:ascii="Trebuchet MS" w:eastAsia="Times New Roman" w:hAnsi="Trebuchet MS" w:cs="Calibri"/>
                <w:b/>
                <w:bCs/>
                <w:color w:val="000000"/>
                <w:sz w:val="18"/>
                <w:szCs w:val="18"/>
                <w:lang w:eastAsia="es-CO"/>
              </w:rPr>
              <w:t>496,886,310</w:t>
            </w:r>
          </w:p>
        </w:tc>
      </w:tr>
      <w:tr w:rsidR="00680B73" w:rsidRPr="002946A9" w14:paraId="69378FFD" w14:textId="77777777" w:rsidTr="00C82FFA">
        <w:trPr>
          <w:trHeight w:val="20"/>
          <w:jc w:val="center"/>
        </w:trPr>
        <w:tc>
          <w:tcPr>
            <w:tcW w:w="8495" w:type="dxa"/>
            <w:gridSpan w:val="3"/>
            <w:tcBorders>
              <w:top w:val="single" w:sz="8" w:space="0" w:color="FFFFFF"/>
              <w:left w:val="single" w:sz="8" w:space="0" w:color="FFFFFF"/>
              <w:bottom w:val="single" w:sz="8" w:space="0" w:color="FFFFFF"/>
              <w:right w:val="single" w:sz="8" w:space="0" w:color="FFFFFF"/>
            </w:tcBorders>
            <w:shd w:val="clear" w:color="000000" w:fill="DFF0D3"/>
            <w:noWrap/>
            <w:vAlign w:val="center"/>
            <w:hideMark/>
          </w:tcPr>
          <w:p w14:paraId="0A7FF06F" w14:textId="77777777" w:rsidR="00680B73" w:rsidRPr="002946A9" w:rsidRDefault="00680B73" w:rsidP="00C82FFA">
            <w:pPr>
              <w:spacing w:after="0" w:line="240" w:lineRule="auto"/>
              <w:rPr>
                <w:rFonts w:ascii="Trebuchet MS" w:eastAsia="Times New Roman" w:hAnsi="Trebuchet MS" w:cs="Calibri"/>
                <w:i/>
                <w:iCs/>
                <w:color w:val="000000"/>
                <w:sz w:val="18"/>
                <w:szCs w:val="18"/>
                <w:lang w:eastAsia="es-CO"/>
              </w:rPr>
            </w:pPr>
            <w:r w:rsidRPr="002946A9">
              <w:rPr>
                <w:rFonts w:ascii="Trebuchet MS" w:eastAsia="Times New Roman" w:hAnsi="Trebuchet MS" w:cs="Calibri"/>
                <w:i/>
                <w:iCs/>
                <w:color w:val="000000"/>
                <w:sz w:val="18"/>
                <w:szCs w:val="18"/>
                <w:lang w:eastAsia="es-CO"/>
              </w:rPr>
              <w:t>* Todos los valores están en pesos a diciembre del 2017</w:t>
            </w:r>
          </w:p>
        </w:tc>
      </w:tr>
    </w:tbl>
    <w:p w14:paraId="058017F6" w14:textId="77777777" w:rsidR="00680B73" w:rsidRPr="002946A9" w:rsidRDefault="00680B73" w:rsidP="00DF29CB">
      <w:pPr>
        <w:ind w:left="360"/>
        <w:jc w:val="both"/>
        <w:rPr>
          <w:rFonts w:ascii="Trebuchet MS" w:hAnsi="Trebuchet MS"/>
          <w:szCs w:val="24"/>
        </w:rPr>
      </w:pPr>
    </w:p>
    <w:p w14:paraId="30185B54" w14:textId="56BD3DD7" w:rsidR="00EB2E8E" w:rsidRPr="002946A9" w:rsidRDefault="001A04EE" w:rsidP="00DF29CB">
      <w:pPr>
        <w:ind w:left="360"/>
        <w:jc w:val="both"/>
        <w:rPr>
          <w:rFonts w:ascii="Trebuchet MS" w:hAnsi="Trebuchet MS"/>
          <w:szCs w:val="24"/>
        </w:rPr>
      </w:pPr>
      <w:r w:rsidRPr="00122A2E">
        <w:rPr>
          <w:rFonts w:ascii="Trebuchet MS" w:hAnsi="Trebuchet MS"/>
          <w:szCs w:val="24"/>
        </w:rPr>
        <w:t xml:space="preserve">Para el año </w:t>
      </w:r>
      <w:r w:rsidR="002631E7" w:rsidRPr="00122A2E">
        <w:rPr>
          <w:rFonts w:ascii="Trebuchet MS" w:hAnsi="Trebuchet MS"/>
          <w:szCs w:val="24"/>
        </w:rPr>
        <w:t xml:space="preserve">2022 </w:t>
      </w:r>
      <w:r w:rsidRPr="00122A2E">
        <w:rPr>
          <w:rFonts w:ascii="Trebuchet MS" w:hAnsi="Trebuchet MS"/>
          <w:szCs w:val="24"/>
        </w:rPr>
        <w:t>se reportó un</w:t>
      </w:r>
      <w:r w:rsidR="0097675E" w:rsidRPr="00122A2E">
        <w:rPr>
          <w:rFonts w:ascii="Trebuchet MS" w:hAnsi="Trebuchet MS"/>
          <w:szCs w:val="24"/>
        </w:rPr>
        <w:t>a invers</w:t>
      </w:r>
      <w:r w:rsidR="00AF5A31" w:rsidRPr="00122A2E">
        <w:rPr>
          <w:rFonts w:ascii="Trebuchet MS" w:hAnsi="Trebuchet MS"/>
          <w:szCs w:val="24"/>
        </w:rPr>
        <w:t xml:space="preserve">ión total ejecutada de </w:t>
      </w:r>
      <w:r w:rsidR="0097675E" w:rsidRPr="00122A2E">
        <w:rPr>
          <w:rFonts w:ascii="Trebuchet MS" w:hAnsi="Trebuchet MS"/>
          <w:szCs w:val="24"/>
        </w:rPr>
        <w:t xml:space="preserve">$ </w:t>
      </w:r>
      <w:r w:rsidR="00122A2E" w:rsidRPr="00EF3F98">
        <w:rPr>
          <w:rFonts w:ascii="Trebuchet MS" w:hAnsi="Trebuchet MS"/>
          <w:szCs w:val="24"/>
        </w:rPr>
        <w:t>496,886,310</w:t>
      </w:r>
      <w:r w:rsidR="00AF5A31" w:rsidRPr="00F860C9">
        <w:rPr>
          <w:rFonts w:ascii="Trebuchet MS" w:hAnsi="Trebuchet MS"/>
          <w:szCs w:val="24"/>
        </w:rPr>
        <w:t>.</w:t>
      </w:r>
      <w:r w:rsidR="00EB2E8E" w:rsidRPr="00F860C9">
        <w:rPr>
          <w:rFonts w:ascii="Trebuchet MS" w:hAnsi="Trebuchet MS"/>
          <w:szCs w:val="24"/>
        </w:rPr>
        <w:t xml:space="preserve"> </w:t>
      </w:r>
      <w:r w:rsidR="003D25B1" w:rsidRPr="00F860C9">
        <w:rPr>
          <w:rFonts w:ascii="Trebuchet MS" w:hAnsi="Trebuchet MS"/>
          <w:szCs w:val="24"/>
        </w:rPr>
        <w:t xml:space="preserve">En </w:t>
      </w:r>
      <w:r w:rsidR="005E4C66" w:rsidRPr="00F860C9">
        <w:rPr>
          <w:rFonts w:ascii="Trebuchet MS" w:hAnsi="Trebuchet MS"/>
          <w:szCs w:val="24"/>
        </w:rPr>
        <w:t xml:space="preserve">el Anexo 8, </w:t>
      </w:r>
      <w:r w:rsidR="003D25B1" w:rsidRPr="00F860C9">
        <w:rPr>
          <w:rFonts w:ascii="Trebuchet MS" w:hAnsi="Trebuchet MS"/>
          <w:szCs w:val="24"/>
        </w:rPr>
        <w:t>se presenta</w:t>
      </w:r>
      <w:r w:rsidR="006C2D72" w:rsidRPr="00F860C9">
        <w:rPr>
          <w:rFonts w:ascii="Trebuchet MS" w:hAnsi="Trebuchet MS"/>
          <w:szCs w:val="24"/>
        </w:rPr>
        <w:t xml:space="preserve"> la documentación relacionada </w:t>
      </w:r>
      <w:r w:rsidR="00EB2E8E" w:rsidRPr="00F860C9">
        <w:rPr>
          <w:rFonts w:ascii="Trebuchet MS" w:hAnsi="Trebuchet MS"/>
          <w:szCs w:val="24"/>
        </w:rPr>
        <w:t>con el avance</w:t>
      </w:r>
      <w:r w:rsidR="00EB2E8E" w:rsidRPr="00122A2E">
        <w:rPr>
          <w:rFonts w:ascii="Trebuchet MS" w:hAnsi="Trebuchet MS"/>
          <w:szCs w:val="24"/>
        </w:rPr>
        <w:t xml:space="preserve"> en la implementación del sistema de gestión de activos.</w:t>
      </w:r>
      <w:r w:rsidR="00816AEE">
        <w:rPr>
          <w:rFonts w:ascii="Trebuchet MS" w:hAnsi="Trebuchet MS"/>
          <w:szCs w:val="24"/>
        </w:rPr>
        <w:t xml:space="preserve"> </w:t>
      </w:r>
    </w:p>
    <w:p w14:paraId="1E9A3889" w14:textId="77777777" w:rsidR="005411D8" w:rsidRPr="002946A9" w:rsidRDefault="005411D8" w:rsidP="00C359FF">
      <w:pPr>
        <w:spacing w:after="0"/>
        <w:ind w:left="360"/>
        <w:jc w:val="both"/>
        <w:rPr>
          <w:rFonts w:ascii="Trebuchet MS" w:hAnsi="Trebuchet MS"/>
          <w:szCs w:val="24"/>
        </w:rPr>
      </w:pPr>
    </w:p>
    <w:p w14:paraId="0ACCABA1" w14:textId="06FF4878" w:rsidR="002757A6" w:rsidRPr="002946A9" w:rsidRDefault="002757A6" w:rsidP="00DF29CB">
      <w:pPr>
        <w:numPr>
          <w:ilvl w:val="2"/>
          <w:numId w:val="2"/>
        </w:numPr>
        <w:jc w:val="both"/>
        <w:outlineLvl w:val="2"/>
        <w:rPr>
          <w:rFonts w:ascii="Trebuchet MS" w:hAnsi="Trebuchet MS"/>
          <w:b/>
          <w:bCs/>
          <w:szCs w:val="24"/>
        </w:rPr>
      </w:pPr>
      <w:bookmarkStart w:id="200" w:name="_Toc131109363"/>
      <w:r w:rsidRPr="002946A9">
        <w:rPr>
          <w:rFonts w:ascii="Trebuchet MS" w:hAnsi="Trebuchet MS"/>
          <w:b/>
          <w:bCs/>
          <w:szCs w:val="24"/>
        </w:rPr>
        <w:t>Inversiones e</w:t>
      </w:r>
      <w:r w:rsidR="007B6DF7" w:rsidRPr="002946A9">
        <w:rPr>
          <w:rFonts w:ascii="Trebuchet MS" w:hAnsi="Trebuchet MS"/>
          <w:b/>
          <w:bCs/>
          <w:szCs w:val="24"/>
        </w:rPr>
        <w:t>n unidades constructivas especiales</w:t>
      </w:r>
      <w:bookmarkEnd w:id="200"/>
      <w:r w:rsidRPr="002946A9">
        <w:rPr>
          <w:rFonts w:ascii="Trebuchet MS" w:hAnsi="Trebuchet MS"/>
          <w:b/>
          <w:bCs/>
          <w:szCs w:val="24"/>
        </w:rPr>
        <w:t xml:space="preserve">  </w:t>
      </w:r>
    </w:p>
    <w:p w14:paraId="68E0FE33" w14:textId="15F70942" w:rsidR="002757A6" w:rsidRPr="00122A2E" w:rsidRDefault="003C164F" w:rsidP="00DF29CB">
      <w:pPr>
        <w:ind w:left="360"/>
        <w:jc w:val="both"/>
        <w:rPr>
          <w:rFonts w:ascii="Trebuchet MS" w:hAnsi="Trebuchet MS"/>
          <w:szCs w:val="24"/>
        </w:rPr>
      </w:pPr>
      <w:r w:rsidRPr="00122A2E">
        <w:rPr>
          <w:rFonts w:ascii="Trebuchet MS" w:hAnsi="Trebuchet MS"/>
          <w:szCs w:val="24"/>
        </w:rPr>
        <w:t xml:space="preserve">Para </w:t>
      </w:r>
      <w:r w:rsidR="007628E4" w:rsidRPr="00122A2E">
        <w:rPr>
          <w:rFonts w:ascii="Trebuchet MS" w:hAnsi="Trebuchet MS"/>
          <w:szCs w:val="24"/>
        </w:rPr>
        <w:t xml:space="preserve">el año </w:t>
      </w:r>
      <w:r w:rsidR="00122A2E" w:rsidRPr="00122A2E">
        <w:rPr>
          <w:rFonts w:ascii="Trebuchet MS" w:hAnsi="Trebuchet MS"/>
          <w:szCs w:val="24"/>
        </w:rPr>
        <w:t>202</w:t>
      </w:r>
      <w:r w:rsidR="00122A2E">
        <w:rPr>
          <w:rFonts w:ascii="Trebuchet MS" w:hAnsi="Trebuchet MS"/>
          <w:szCs w:val="24"/>
        </w:rPr>
        <w:t>2</w:t>
      </w:r>
      <w:r w:rsidR="00122A2E" w:rsidRPr="00122A2E">
        <w:rPr>
          <w:rFonts w:ascii="Trebuchet MS" w:hAnsi="Trebuchet MS"/>
          <w:szCs w:val="24"/>
        </w:rPr>
        <w:t xml:space="preserve"> </w:t>
      </w:r>
      <w:r w:rsidR="007628E4" w:rsidRPr="00122A2E">
        <w:rPr>
          <w:rFonts w:ascii="Trebuchet MS" w:hAnsi="Trebuchet MS"/>
          <w:szCs w:val="24"/>
        </w:rPr>
        <w:t>fue necesaria la creación de unidades constructivas especiales</w:t>
      </w:r>
      <w:r w:rsidR="009C681A" w:rsidRPr="00122A2E">
        <w:rPr>
          <w:rFonts w:ascii="Trebuchet MS" w:hAnsi="Trebuchet MS"/>
          <w:szCs w:val="24"/>
        </w:rPr>
        <w:t xml:space="preserve"> las cuales fueron aprobadas en el plan de inversiones 2020 – 2025. Las cantidades y valores finalmente </w:t>
      </w:r>
      <w:r w:rsidR="002D5026" w:rsidRPr="00122A2E">
        <w:rPr>
          <w:rFonts w:ascii="Trebuchet MS" w:hAnsi="Trebuchet MS"/>
          <w:szCs w:val="24"/>
        </w:rPr>
        <w:t>ejecutad</w:t>
      </w:r>
      <w:r w:rsidR="009C681A" w:rsidRPr="00122A2E">
        <w:rPr>
          <w:rFonts w:ascii="Trebuchet MS" w:hAnsi="Trebuchet MS"/>
          <w:szCs w:val="24"/>
        </w:rPr>
        <w:t>os</w:t>
      </w:r>
      <w:r w:rsidR="002D5026" w:rsidRPr="00122A2E">
        <w:rPr>
          <w:rFonts w:ascii="Trebuchet MS" w:hAnsi="Trebuchet MS"/>
          <w:szCs w:val="24"/>
        </w:rPr>
        <w:t xml:space="preserve"> se presentan en la </w:t>
      </w:r>
      <w:r w:rsidR="002D5026" w:rsidRPr="00122A2E">
        <w:rPr>
          <w:rFonts w:ascii="Trebuchet MS" w:hAnsi="Trebuchet MS"/>
          <w:szCs w:val="24"/>
        </w:rPr>
        <w:fldChar w:fldCharType="begin"/>
      </w:r>
      <w:r w:rsidR="002D5026" w:rsidRPr="00122A2E">
        <w:rPr>
          <w:rFonts w:ascii="Trebuchet MS" w:hAnsi="Trebuchet MS"/>
          <w:szCs w:val="24"/>
        </w:rPr>
        <w:instrText xml:space="preserve"> REF _Ref67768368 \h </w:instrText>
      </w:r>
      <w:r w:rsidR="002946A9" w:rsidRPr="00122A2E">
        <w:rPr>
          <w:rFonts w:ascii="Trebuchet MS" w:hAnsi="Trebuchet MS"/>
          <w:szCs w:val="24"/>
        </w:rPr>
        <w:instrText xml:space="preserve"> \* MERGEFORMAT </w:instrText>
      </w:r>
      <w:r w:rsidR="002D5026" w:rsidRPr="00122A2E">
        <w:rPr>
          <w:rFonts w:ascii="Trebuchet MS" w:hAnsi="Trebuchet MS"/>
          <w:szCs w:val="24"/>
        </w:rPr>
      </w:r>
      <w:r w:rsidR="002D5026" w:rsidRPr="00122A2E">
        <w:rPr>
          <w:rFonts w:ascii="Trebuchet MS" w:hAnsi="Trebuchet MS"/>
          <w:szCs w:val="24"/>
        </w:rPr>
        <w:fldChar w:fldCharType="separate"/>
      </w:r>
      <w:r w:rsidR="00C944CB" w:rsidRPr="00122A2E">
        <w:rPr>
          <w:rFonts w:ascii="Trebuchet MS" w:hAnsi="Trebuchet MS"/>
        </w:rPr>
        <w:t xml:space="preserve">Tabla </w:t>
      </w:r>
      <w:r w:rsidR="00C944CB">
        <w:rPr>
          <w:rFonts w:ascii="Trebuchet MS" w:hAnsi="Trebuchet MS"/>
          <w:noProof/>
        </w:rPr>
        <w:t>3</w:t>
      </w:r>
      <w:r w:rsidR="00C944CB" w:rsidRPr="00122A2E">
        <w:rPr>
          <w:rFonts w:ascii="Trebuchet MS" w:hAnsi="Trebuchet MS"/>
          <w:noProof/>
        </w:rPr>
        <w:t>.</w:t>
      </w:r>
      <w:r w:rsidR="00C944CB">
        <w:rPr>
          <w:rFonts w:ascii="Trebuchet MS" w:hAnsi="Trebuchet MS"/>
          <w:noProof/>
        </w:rPr>
        <w:t>7</w:t>
      </w:r>
      <w:r w:rsidR="002D5026" w:rsidRPr="00122A2E">
        <w:rPr>
          <w:rFonts w:ascii="Trebuchet MS" w:hAnsi="Trebuchet MS"/>
          <w:szCs w:val="24"/>
        </w:rPr>
        <w:fldChar w:fldCharType="end"/>
      </w:r>
      <w:r w:rsidR="002D5026" w:rsidRPr="00122A2E">
        <w:rPr>
          <w:rFonts w:ascii="Trebuchet MS" w:hAnsi="Trebuchet MS"/>
          <w:szCs w:val="24"/>
        </w:rPr>
        <w:t>.</w:t>
      </w:r>
      <w:r w:rsidR="003F5A37" w:rsidRPr="00122A2E">
        <w:rPr>
          <w:rFonts w:ascii="Trebuchet MS" w:hAnsi="Trebuchet MS"/>
          <w:szCs w:val="24"/>
        </w:rPr>
        <w:t xml:space="preserve"> Considerando también los valores </w:t>
      </w:r>
      <w:r w:rsidR="009E05CC" w:rsidRPr="00122A2E">
        <w:rPr>
          <w:rFonts w:ascii="Trebuchet MS" w:hAnsi="Trebuchet MS"/>
          <w:szCs w:val="24"/>
        </w:rPr>
        <w:t>invertidos en las UC de gestión de activos, las cuales, son también UC especiales,</w:t>
      </w:r>
      <w:r w:rsidR="00966CAA" w:rsidRPr="00122A2E">
        <w:rPr>
          <w:rFonts w:ascii="Trebuchet MS" w:hAnsi="Trebuchet MS"/>
          <w:szCs w:val="24"/>
        </w:rPr>
        <w:t xml:space="preserve"> se ejecutó una inversión de</w:t>
      </w:r>
      <w:r w:rsidR="00FC7EF3" w:rsidRPr="00122A2E">
        <w:rPr>
          <w:rFonts w:ascii="Trebuchet MS" w:hAnsi="Trebuchet MS"/>
          <w:szCs w:val="24"/>
        </w:rPr>
        <w:t xml:space="preserve"> </w:t>
      </w:r>
      <w:r w:rsidR="00400ED2" w:rsidRPr="00400ED2">
        <w:rPr>
          <w:rFonts w:ascii="Trebuchet MS" w:hAnsi="Trebuchet MS"/>
          <w:szCs w:val="24"/>
        </w:rPr>
        <w:t>$ 9,674,130,340.97</w:t>
      </w:r>
      <w:r w:rsidR="00966CAA" w:rsidRPr="00400ED2">
        <w:rPr>
          <w:rFonts w:ascii="Trebuchet MS" w:hAnsi="Trebuchet MS"/>
          <w:szCs w:val="24"/>
        </w:rPr>
        <w:t>,</w:t>
      </w:r>
      <w:r w:rsidR="00966CAA" w:rsidRPr="00122A2E">
        <w:rPr>
          <w:rFonts w:ascii="Trebuchet MS" w:hAnsi="Trebuchet MS"/>
          <w:szCs w:val="24"/>
        </w:rPr>
        <w:t xml:space="preserve"> lo que corresponde a</w:t>
      </w:r>
      <w:r w:rsidR="00AC498A" w:rsidRPr="00122A2E">
        <w:rPr>
          <w:rFonts w:ascii="Trebuchet MS" w:hAnsi="Trebuchet MS"/>
          <w:szCs w:val="24"/>
        </w:rPr>
        <w:t xml:space="preserve">l </w:t>
      </w:r>
      <w:r w:rsidR="00374ED4" w:rsidRPr="00374ED4">
        <w:rPr>
          <w:rFonts w:ascii="Trebuchet MS" w:hAnsi="Trebuchet MS"/>
          <w:szCs w:val="24"/>
        </w:rPr>
        <w:t>3.23</w:t>
      </w:r>
      <w:r w:rsidR="005A36FD" w:rsidRPr="00374ED4">
        <w:rPr>
          <w:rFonts w:ascii="Trebuchet MS" w:hAnsi="Trebuchet MS"/>
          <w:szCs w:val="24"/>
        </w:rPr>
        <w:t>%</w:t>
      </w:r>
      <w:r w:rsidR="005A36FD" w:rsidRPr="00122A2E">
        <w:rPr>
          <w:rFonts w:ascii="Trebuchet MS" w:hAnsi="Trebuchet MS"/>
          <w:szCs w:val="24"/>
        </w:rPr>
        <w:t xml:space="preserve"> del </w:t>
      </w:r>
      <w:r w:rsidR="00E9525F" w:rsidRPr="00122A2E">
        <w:rPr>
          <w:rFonts w:ascii="Trebuchet MS" w:hAnsi="Trebuchet MS"/>
          <w:szCs w:val="24"/>
        </w:rPr>
        <w:t xml:space="preserve">total del </w:t>
      </w:r>
      <w:r w:rsidR="005A36FD" w:rsidRPr="00122A2E">
        <w:rPr>
          <w:rFonts w:ascii="Trebuchet MS" w:hAnsi="Trebuchet MS"/>
          <w:szCs w:val="24"/>
        </w:rPr>
        <w:t xml:space="preserve">plan </w:t>
      </w:r>
      <w:r w:rsidR="00122A2E" w:rsidRPr="00122A2E">
        <w:rPr>
          <w:rFonts w:ascii="Trebuchet MS" w:hAnsi="Trebuchet MS"/>
          <w:szCs w:val="24"/>
        </w:rPr>
        <w:t>202</w:t>
      </w:r>
      <w:r w:rsidR="00122A2E">
        <w:rPr>
          <w:rFonts w:ascii="Trebuchet MS" w:hAnsi="Trebuchet MS"/>
          <w:szCs w:val="24"/>
        </w:rPr>
        <w:t>2</w:t>
      </w:r>
      <w:r w:rsidR="00122A2E" w:rsidRPr="00122A2E">
        <w:rPr>
          <w:rFonts w:ascii="Trebuchet MS" w:hAnsi="Trebuchet MS"/>
          <w:szCs w:val="24"/>
        </w:rPr>
        <w:t xml:space="preserve"> </w:t>
      </w:r>
      <w:r w:rsidR="00A71887" w:rsidRPr="00122A2E">
        <w:rPr>
          <w:rFonts w:ascii="Trebuchet MS" w:hAnsi="Trebuchet MS"/>
          <w:szCs w:val="24"/>
        </w:rPr>
        <w:t xml:space="preserve">y </w:t>
      </w:r>
      <w:r w:rsidR="00A71887" w:rsidRPr="00E4406C">
        <w:rPr>
          <w:rFonts w:ascii="Trebuchet MS" w:hAnsi="Trebuchet MS"/>
          <w:szCs w:val="24"/>
        </w:rPr>
        <w:t xml:space="preserve">al </w:t>
      </w:r>
      <w:r w:rsidR="00E4406C" w:rsidRPr="00E4406C">
        <w:rPr>
          <w:rFonts w:ascii="Trebuchet MS" w:hAnsi="Trebuchet MS"/>
          <w:szCs w:val="24"/>
        </w:rPr>
        <w:t>2.69</w:t>
      </w:r>
      <w:r w:rsidR="00D1736F" w:rsidRPr="00E4406C">
        <w:rPr>
          <w:rFonts w:ascii="Trebuchet MS" w:hAnsi="Trebuchet MS"/>
          <w:szCs w:val="24"/>
        </w:rPr>
        <w:t>% de</w:t>
      </w:r>
      <w:r w:rsidR="00E9525F" w:rsidRPr="00122A2E">
        <w:rPr>
          <w:rFonts w:ascii="Trebuchet MS" w:hAnsi="Trebuchet MS"/>
          <w:szCs w:val="24"/>
        </w:rPr>
        <w:t xml:space="preserve"> la </w:t>
      </w:r>
      <w:r w:rsidR="00D1736F" w:rsidRPr="00122A2E">
        <w:rPr>
          <w:rFonts w:ascii="Trebuchet MS" w:hAnsi="Trebuchet MS"/>
          <w:szCs w:val="24"/>
        </w:rPr>
        <w:t>ejecución</w:t>
      </w:r>
      <w:r w:rsidR="00E9525F" w:rsidRPr="00122A2E">
        <w:rPr>
          <w:rFonts w:ascii="Trebuchet MS" w:hAnsi="Trebuchet MS"/>
          <w:szCs w:val="24"/>
        </w:rPr>
        <w:t xml:space="preserve"> total sin acotar en el </w:t>
      </w:r>
      <w:r w:rsidR="008165F8" w:rsidRPr="00122A2E">
        <w:rPr>
          <w:rFonts w:ascii="Trebuchet MS" w:hAnsi="Trebuchet MS"/>
          <w:szCs w:val="24"/>
        </w:rPr>
        <w:t xml:space="preserve">año </w:t>
      </w:r>
      <w:r w:rsidR="00E9525F" w:rsidRPr="00122A2E">
        <w:rPr>
          <w:rFonts w:ascii="Trebuchet MS" w:hAnsi="Trebuchet MS"/>
          <w:szCs w:val="24"/>
        </w:rPr>
        <w:t>202</w:t>
      </w:r>
      <w:r w:rsidR="00F860C9">
        <w:rPr>
          <w:rFonts w:ascii="Trebuchet MS" w:hAnsi="Trebuchet MS"/>
          <w:szCs w:val="24"/>
        </w:rPr>
        <w:t>2</w:t>
      </w:r>
      <w:r w:rsidR="005A36FD" w:rsidRPr="00122A2E">
        <w:rPr>
          <w:rFonts w:ascii="Trebuchet MS" w:hAnsi="Trebuchet MS"/>
          <w:szCs w:val="24"/>
        </w:rPr>
        <w:t>.</w:t>
      </w:r>
      <w:r w:rsidR="00966CAA" w:rsidRPr="00122A2E">
        <w:rPr>
          <w:rFonts w:ascii="Trebuchet MS" w:hAnsi="Trebuchet MS"/>
          <w:szCs w:val="24"/>
        </w:rPr>
        <w:t xml:space="preserve"> </w:t>
      </w:r>
      <w:r w:rsidR="00A62A76" w:rsidRPr="00122A2E">
        <w:rPr>
          <w:rFonts w:ascii="Trebuchet MS" w:hAnsi="Trebuchet MS"/>
          <w:szCs w:val="24"/>
        </w:rPr>
        <w:t>Esta inversión fue incluida en el valor de la variable INVR</w:t>
      </w:r>
      <w:r w:rsidR="00A62A76" w:rsidRPr="00122A2E">
        <w:rPr>
          <w:rFonts w:ascii="Trebuchet MS" w:hAnsi="Trebuchet MS"/>
          <w:szCs w:val="24"/>
          <w:vertAlign w:val="subscript"/>
        </w:rPr>
        <w:t>j,n,l,</w:t>
      </w:r>
      <w:r w:rsidR="003A367E">
        <w:rPr>
          <w:rFonts w:ascii="Trebuchet MS" w:hAnsi="Trebuchet MS"/>
          <w:szCs w:val="24"/>
          <w:vertAlign w:val="subscript"/>
        </w:rPr>
        <w:t>4</w:t>
      </w:r>
      <w:r w:rsidR="00A62A76" w:rsidRPr="00122A2E">
        <w:rPr>
          <w:rFonts w:ascii="Trebuchet MS" w:hAnsi="Trebuchet MS"/>
          <w:szCs w:val="24"/>
          <w:vertAlign w:val="subscript"/>
        </w:rPr>
        <w:t xml:space="preserve"> </w:t>
      </w:r>
      <w:r w:rsidR="00A62A76" w:rsidRPr="00122A2E">
        <w:rPr>
          <w:rFonts w:ascii="Trebuchet MS" w:hAnsi="Trebuchet MS"/>
          <w:szCs w:val="24"/>
        </w:rPr>
        <w:t xml:space="preserve">presentado en la </w:t>
      </w:r>
      <w:r w:rsidR="00A62A76" w:rsidRPr="00122A2E">
        <w:rPr>
          <w:rFonts w:ascii="Trebuchet MS" w:hAnsi="Trebuchet MS"/>
          <w:szCs w:val="24"/>
        </w:rPr>
        <w:fldChar w:fldCharType="begin"/>
      </w:r>
      <w:r w:rsidR="00A62A76" w:rsidRPr="00122A2E">
        <w:rPr>
          <w:rFonts w:ascii="Trebuchet MS" w:hAnsi="Trebuchet MS"/>
          <w:szCs w:val="24"/>
        </w:rPr>
        <w:instrText xml:space="preserve"> REF _Ref67390194 \h  \* MERGEFORMAT </w:instrText>
      </w:r>
      <w:r w:rsidR="00A62A76" w:rsidRPr="00122A2E">
        <w:rPr>
          <w:rFonts w:ascii="Trebuchet MS" w:hAnsi="Trebuchet MS"/>
          <w:szCs w:val="24"/>
        </w:rPr>
      </w:r>
      <w:r w:rsidR="00A62A76" w:rsidRPr="00122A2E">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1</w:t>
      </w:r>
      <w:r w:rsidR="00A62A76" w:rsidRPr="00122A2E">
        <w:rPr>
          <w:rFonts w:ascii="Trebuchet MS" w:hAnsi="Trebuchet MS"/>
          <w:szCs w:val="24"/>
        </w:rPr>
        <w:fldChar w:fldCharType="end"/>
      </w:r>
      <w:r w:rsidR="00A62A76" w:rsidRPr="00122A2E">
        <w:rPr>
          <w:rFonts w:ascii="Trebuchet MS" w:hAnsi="Trebuchet MS"/>
          <w:szCs w:val="24"/>
        </w:rPr>
        <w:t>.</w:t>
      </w:r>
    </w:p>
    <w:p w14:paraId="63454685" w14:textId="6768D0B1" w:rsidR="008A6778" w:rsidRPr="00122A2E" w:rsidRDefault="00546A28" w:rsidP="00DF29CB">
      <w:pPr>
        <w:ind w:left="360"/>
        <w:jc w:val="both"/>
        <w:rPr>
          <w:rFonts w:ascii="Trebuchet MS" w:hAnsi="Trebuchet MS"/>
          <w:szCs w:val="24"/>
        </w:rPr>
      </w:pPr>
      <w:r w:rsidRPr="00122A2E">
        <w:rPr>
          <w:rFonts w:ascii="Trebuchet MS" w:hAnsi="Trebuchet MS"/>
          <w:szCs w:val="24"/>
        </w:rPr>
        <w:t xml:space="preserve">Los </w:t>
      </w:r>
      <w:r w:rsidR="002B3532" w:rsidRPr="00122A2E">
        <w:rPr>
          <w:rFonts w:ascii="Trebuchet MS" w:hAnsi="Trebuchet MS"/>
          <w:szCs w:val="24"/>
        </w:rPr>
        <w:t xml:space="preserve">soportes que </w:t>
      </w:r>
      <w:r w:rsidR="002B3532" w:rsidRPr="00400ED2">
        <w:rPr>
          <w:rFonts w:ascii="Trebuchet MS" w:hAnsi="Trebuchet MS"/>
          <w:szCs w:val="24"/>
        </w:rPr>
        <w:t>justifican la creación de las UC especiales y los valores solicitados se presentan en el Anexo</w:t>
      </w:r>
      <w:r w:rsidR="00943940" w:rsidRPr="00400ED2">
        <w:rPr>
          <w:rFonts w:ascii="Trebuchet MS" w:hAnsi="Trebuchet MS"/>
          <w:szCs w:val="24"/>
        </w:rPr>
        <w:t xml:space="preserve"> 12.</w:t>
      </w:r>
    </w:p>
    <w:p w14:paraId="0AF9B58E" w14:textId="28B6BC5D" w:rsidR="00B70CA1" w:rsidRPr="00122A2E" w:rsidRDefault="00B70CA1" w:rsidP="00BA1379">
      <w:pPr>
        <w:spacing w:after="0"/>
        <w:ind w:left="360"/>
        <w:jc w:val="both"/>
        <w:rPr>
          <w:rFonts w:ascii="Trebuchet MS" w:hAnsi="Trebuchet MS"/>
          <w:szCs w:val="24"/>
        </w:rPr>
      </w:pPr>
    </w:p>
    <w:p w14:paraId="2CE3BEE3" w14:textId="3D9332DF" w:rsidR="007628E4" w:rsidRPr="00122A2E" w:rsidRDefault="007628E4" w:rsidP="007628E4">
      <w:pPr>
        <w:ind w:left="1416" w:hanging="1056"/>
        <w:jc w:val="both"/>
        <w:rPr>
          <w:rFonts w:ascii="Trebuchet MS" w:hAnsi="Trebuchet MS"/>
        </w:rPr>
      </w:pPr>
      <w:bookmarkStart w:id="201" w:name="_Ref67768368"/>
      <w:bookmarkStart w:id="202" w:name="_Toc131032797"/>
      <w:r w:rsidRPr="00122A2E">
        <w:rPr>
          <w:rFonts w:ascii="Trebuchet MS" w:hAnsi="Trebuchet MS"/>
        </w:rPr>
        <w:t xml:space="preserve">Tabla </w:t>
      </w:r>
      <w:r w:rsidRPr="00122A2E">
        <w:rPr>
          <w:rFonts w:ascii="Trebuchet MS" w:hAnsi="Trebuchet MS"/>
        </w:rPr>
        <w:fldChar w:fldCharType="begin"/>
      </w:r>
      <w:r w:rsidRPr="00122A2E">
        <w:rPr>
          <w:rFonts w:ascii="Trebuchet MS" w:hAnsi="Trebuchet MS"/>
        </w:rPr>
        <w:instrText xml:space="preserve"> STYLEREF 1 \s </w:instrText>
      </w:r>
      <w:r w:rsidRPr="00122A2E">
        <w:rPr>
          <w:rFonts w:ascii="Trebuchet MS" w:hAnsi="Trebuchet MS"/>
        </w:rPr>
        <w:fldChar w:fldCharType="separate"/>
      </w:r>
      <w:r w:rsidR="00C944CB">
        <w:rPr>
          <w:rFonts w:ascii="Trebuchet MS" w:hAnsi="Trebuchet MS"/>
          <w:noProof/>
        </w:rPr>
        <w:t>3</w:t>
      </w:r>
      <w:r w:rsidRPr="00122A2E">
        <w:rPr>
          <w:rFonts w:ascii="Trebuchet MS" w:hAnsi="Trebuchet MS"/>
        </w:rPr>
        <w:fldChar w:fldCharType="end"/>
      </w:r>
      <w:r w:rsidRPr="00122A2E">
        <w:rPr>
          <w:rFonts w:ascii="Trebuchet MS" w:hAnsi="Trebuchet MS"/>
        </w:rPr>
        <w:t>.</w:t>
      </w:r>
      <w:r w:rsidRPr="00122A2E">
        <w:rPr>
          <w:rFonts w:ascii="Trebuchet MS" w:hAnsi="Trebuchet MS"/>
        </w:rPr>
        <w:fldChar w:fldCharType="begin"/>
      </w:r>
      <w:r w:rsidRPr="00122A2E">
        <w:rPr>
          <w:rFonts w:ascii="Trebuchet MS" w:hAnsi="Trebuchet MS"/>
        </w:rPr>
        <w:instrText xml:space="preserve"> SEQ Tabla \* ARABIC \s 1 </w:instrText>
      </w:r>
      <w:r w:rsidRPr="00122A2E">
        <w:rPr>
          <w:rFonts w:ascii="Trebuchet MS" w:hAnsi="Trebuchet MS"/>
        </w:rPr>
        <w:fldChar w:fldCharType="separate"/>
      </w:r>
      <w:r w:rsidR="00C944CB">
        <w:rPr>
          <w:rFonts w:ascii="Trebuchet MS" w:hAnsi="Trebuchet MS"/>
          <w:noProof/>
        </w:rPr>
        <w:t>7</w:t>
      </w:r>
      <w:r w:rsidRPr="00122A2E">
        <w:rPr>
          <w:rFonts w:ascii="Trebuchet MS" w:hAnsi="Trebuchet MS"/>
        </w:rPr>
        <w:fldChar w:fldCharType="end"/>
      </w:r>
      <w:bookmarkEnd w:id="201"/>
      <w:r w:rsidRPr="00122A2E">
        <w:rPr>
          <w:rFonts w:ascii="Trebuchet MS" w:hAnsi="Trebuchet MS"/>
        </w:rPr>
        <w:t xml:space="preserve">  Inversiones </w:t>
      </w:r>
      <w:r w:rsidR="008E4BB2" w:rsidRPr="00122A2E">
        <w:rPr>
          <w:rFonts w:ascii="Trebuchet MS" w:hAnsi="Trebuchet MS"/>
        </w:rPr>
        <w:t xml:space="preserve">ejecutadas </w:t>
      </w:r>
      <w:r w:rsidRPr="00122A2E">
        <w:rPr>
          <w:rFonts w:ascii="Trebuchet MS" w:hAnsi="Trebuchet MS"/>
        </w:rPr>
        <w:t xml:space="preserve">en </w:t>
      </w:r>
      <w:r w:rsidR="002D5026" w:rsidRPr="00122A2E">
        <w:rPr>
          <w:rFonts w:ascii="Trebuchet MS" w:hAnsi="Trebuchet MS"/>
        </w:rPr>
        <w:t xml:space="preserve">UC especiales </w:t>
      </w:r>
      <w:r w:rsidRPr="00122A2E">
        <w:rPr>
          <w:rFonts w:ascii="Trebuchet MS" w:hAnsi="Trebuchet MS"/>
        </w:rPr>
        <w:t xml:space="preserve">en el año </w:t>
      </w:r>
      <w:r w:rsidR="00122A2E" w:rsidRPr="00122A2E">
        <w:rPr>
          <w:rFonts w:ascii="Trebuchet MS" w:hAnsi="Trebuchet MS"/>
        </w:rPr>
        <w:t>202</w:t>
      </w:r>
      <w:r w:rsidR="00122A2E">
        <w:rPr>
          <w:rFonts w:ascii="Trebuchet MS" w:hAnsi="Trebuchet MS"/>
        </w:rPr>
        <w:t>2</w:t>
      </w:r>
      <w:r w:rsidRPr="00122A2E">
        <w:rPr>
          <w:rFonts w:ascii="Trebuchet MS" w:hAnsi="Trebuchet MS"/>
        </w:rPr>
        <w:t>.</w:t>
      </w:r>
      <w:r w:rsidR="00D6613D" w:rsidRPr="00122A2E">
        <w:rPr>
          <w:rFonts w:ascii="Trebuchet MS" w:hAnsi="Trebuchet MS"/>
        </w:rPr>
        <w:t xml:space="preserve"> UC</w:t>
      </w:r>
      <w:r w:rsidR="00CF3ECC" w:rsidRPr="00122A2E">
        <w:rPr>
          <w:rFonts w:ascii="Trebuchet MS" w:hAnsi="Trebuchet MS"/>
        </w:rPr>
        <w:t>s</w:t>
      </w:r>
      <w:r w:rsidR="00D6613D" w:rsidRPr="00122A2E">
        <w:rPr>
          <w:rFonts w:ascii="Trebuchet MS" w:hAnsi="Trebuchet MS"/>
        </w:rPr>
        <w:t xml:space="preserve"> aprobadas en el plan de inversiones.</w:t>
      </w:r>
      <w:bookmarkEnd w:id="202"/>
      <w:r w:rsidR="00D6613D" w:rsidRPr="00122A2E">
        <w:rPr>
          <w:rFonts w:ascii="Trebuchet MS" w:hAnsi="Trebuchet MS"/>
        </w:rPr>
        <w:t xml:space="preserve"> </w:t>
      </w:r>
    </w:p>
    <w:tbl>
      <w:tblPr>
        <w:tblStyle w:val="Tablaconcuadrcula5oscura-nfasis1"/>
        <w:tblW w:w="8784" w:type="dxa"/>
        <w:tblLayout w:type="fixed"/>
        <w:tblLook w:val="04A0" w:firstRow="1" w:lastRow="0" w:firstColumn="1" w:lastColumn="0" w:noHBand="0" w:noVBand="1"/>
      </w:tblPr>
      <w:tblGrid>
        <w:gridCol w:w="855"/>
        <w:gridCol w:w="2684"/>
        <w:gridCol w:w="425"/>
        <w:gridCol w:w="709"/>
        <w:gridCol w:w="1559"/>
        <w:gridCol w:w="993"/>
        <w:gridCol w:w="1559"/>
      </w:tblGrid>
      <w:tr w:rsidR="00C56B63" w:rsidRPr="00C56B63" w14:paraId="4CEC02C5" w14:textId="77777777" w:rsidTr="00A56601">
        <w:trPr>
          <w:cnfStyle w:val="100000000000" w:firstRow="1" w:lastRow="0" w:firstColumn="0" w:lastColumn="0" w:oddVBand="0" w:evenVBand="0" w:oddHBand="0" w:evenHBand="0" w:firstRowFirstColumn="0" w:firstRowLastColumn="0" w:lastRowFirstColumn="0" w:lastRowLastColumn="0"/>
          <w:trHeight w:val="241"/>
          <w:tblHeader/>
        </w:trPr>
        <w:tc>
          <w:tcPr>
            <w:cnfStyle w:val="001000000000" w:firstRow="0" w:lastRow="0" w:firstColumn="1" w:lastColumn="0" w:oddVBand="0" w:evenVBand="0" w:oddHBand="0" w:evenHBand="0" w:firstRowFirstColumn="0" w:firstRowLastColumn="0" w:lastRowFirstColumn="0" w:lastRowLastColumn="0"/>
            <w:tcW w:w="855" w:type="dxa"/>
            <w:noWrap/>
            <w:hideMark/>
          </w:tcPr>
          <w:p w14:paraId="46563731" w14:textId="77777777" w:rsidR="00122A2E" w:rsidRPr="00EF3F98" w:rsidRDefault="00122A2E" w:rsidP="00C82FFA">
            <w:pPr>
              <w:rPr>
                <w:rFonts w:eastAsia="Times New Roman" w:cs="Times New Roman"/>
                <w:b w:val="0"/>
                <w:bCs w:val="0"/>
                <w:color w:val="000000"/>
                <w:sz w:val="18"/>
                <w:szCs w:val="18"/>
                <w:lang w:eastAsia="es-CO"/>
              </w:rPr>
            </w:pPr>
            <w:r w:rsidRPr="00EF3F98">
              <w:rPr>
                <w:rFonts w:eastAsia="Times New Roman" w:cs="Times New Roman"/>
                <w:color w:val="000000"/>
                <w:sz w:val="18"/>
                <w:szCs w:val="18"/>
                <w:lang w:eastAsia="es-CO"/>
              </w:rPr>
              <w:t>UC</w:t>
            </w:r>
          </w:p>
          <w:p w14:paraId="74904031" w14:textId="77777777" w:rsidR="00122A2E" w:rsidRPr="00EF3F98" w:rsidRDefault="00122A2E" w:rsidP="00C82FFA">
            <w:pPr>
              <w:rPr>
                <w:rFonts w:eastAsia="Times New Roman" w:cs="Times New Roman"/>
                <w:color w:val="000000"/>
                <w:sz w:val="18"/>
                <w:szCs w:val="18"/>
                <w:lang w:eastAsia="es-CO"/>
              </w:rPr>
            </w:pPr>
            <w:r w:rsidRPr="00EF3F98">
              <w:rPr>
                <w:rFonts w:eastAsia="Times New Roman" w:cs="Times New Roman"/>
                <w:color w:val="000000"/>
                <w:sz w:val="18"/>
                <w:szCs w:val="18"/>
                <w:lang w:eastAsia="es-CO"/>
              </w:rPr>
              <w:t>Especial</w:t>
            </w:r>
          </w:p>
        </w:tc>
        <w:tc>
          <w:tcPr>
            <w:tcW w:w="2684" w:type="dxa"/>
            <w:noWrap/>
            <w:hideMark/>
          </w:tcPr>
          <w:p w14:paraId="5CFB9F7F" w14:textId="77777777" w:rsidR="00122A2E" w:rsidRPr="00EF3F98" w:rsidRDefault="00122A2E" w:rsidP="00C82FF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s-CO"/>
              </w:rPr>
            </w:pPr>
            <w:r w:rsidRPr="00EF3F98">
              <w:rPr>
                <w:rFonts w:eastAsia="Times New Roman" w:cs="Times New Roman"/>
                <w:color w:val="000000"/>
                <w:sz w:val="18"/>
                <w:szCs w:val="18"/>
                <w:lang w:eastAsia="es-CO"/>
              </w:rPr>
              <w:t>Descripción UC Especial</w:t>
            </w:r>
          </w:p>
        </w:tc>
        <w:tc>
          <w:tcPr>
            <w:tcW w:w="425" w:type="dxa"/>
            <w:hideMark/>
          </w:tcPr>
          <w:p w14:paraId="3C22A32E" w14:textId="77777777" w:rsidR="00122A2E" w:rsidRPr="00EF3F98" w:rsidRDefault="00122A2E" w:rsidP="00C82FFA">
            <w:pPr>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18"/>
                <w:szCs w:val="18"/>
                <w:lang w:eastAsia="es-CO"/>
              </w:rPr>
            </w:pPr>
            <w:r w:rsidRPr="00EF3F98">
              <w:rPr>
                <w:rFonts w:eastAsia="Times New Roman" w:cs="Times New Roman"/>
                <w:i/>
                <w:iCs/>
                <w:color w:val="000000"/>
                <w:sz w:val="18"/>
                <w:szCs w:val="18"/>
                <w:lang w:eastAsia="es-CO"/>
              </w:rPr>
              <w:t>l</w:t>
            </w:r>
          </w:p>
        </w:tc>
        <w:tc>
          <w:tcPr>
            <w:tcW w:w="709" w:type="dxa"/>
            <w:noWrap/>
            <w:hideMark/>
          </w:tcPr>
          <w:p w14:paraId="17DADF99" w14:textId="77777777" w:rsidR="00122A2E" w:rsidRPr="00EF3F98" w:rsidRDefault="00122A2E" w:rsidP="00C82FF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s-CO"/>
              </w:rPr>
            </w:pPr>
            <w:r w:rsidRPr="00EF3F98">
              <w:rPr>
                <w:rFonts w:eastAsia="Times New Roman" w:cs="Times New Roman"/>
                <w:color w:val="000000"/>
                <w:sz w:val="18"/>
                <w:szCs w:val="18"/>
                <w:lang w:eastAsia="es-CO"/>
              </w:rPr>
              <w:t>Vida útil</w:t>
            </w:r>
          </w:p>
        </w:tc>
        <w:tc>
          <w:tcPr>
            <w:tcW w:w="1559" w:type="dxa"/>
            <w:hideMark/>
          </w:tcPr>
          <w:p w14:paraId="42C0B9CA" w14:textId="77777777" w:rsidR="00122A2E" w:rsidRPr="00EF3F98" w:rsidRDefault="00122A2E" w:rsidP="00C82FF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s-CO"/>
              </w:rPr>
            </w:pPr>
            <w:r w:rsidRPr="00EF3F98">
              <w:rPr>
                <w:rFonts w:eastAsia="Times New Roman" w:cs="Times New Roman"/>
                <w:color w:val="000000"/>
                <w:sz w:val="18"/>
                <w:szCs w:val="18"/>
                <w:lang w:eastAsia="es-CO"/>
              </w:rPr>
              <w:t>Valor UC*</w:t>
            </w:r>
          </w:p>
        </w:tc>
        <w:tc>
          <w:tcPr>
            <w:tcW w:w="993" w:type="dxa"/>
            <w:hideMark/>
          </w:tcPr>
          <w:p w14:paraId="76A43F9D" w14:textId="77777777" w:rsidR="00122A2E" w:rsidRPr="00EF3F98" w:rsidRDefault="00122A2E" w:rsidP="00C82FF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s-CO"/>
              </w:rPr>
            </w:pPr>
            <w:r w:rsidRPr="00EF3F98">
              <w:rPr>
                <w:rFonts w:eastAsia="Times New Roman" w:cs="Times New Roman"/>
                <w:color w:val="000000"/>
                <w:sz w:val="18"/>
                <w:szCs w:val="18"/>
                <w:lang w:eastAsia="es-CO"/>
              </w:rPr>
              <w:t>Cantidad ejecutada</w:t>
            </w:r>
          </w:p>
        </w:tc>
        <w:tc>
          <w:tcPr>
            <w:tcW w:w="1559" w:type="dxa"/>
            <w:hideMark/>
          </w:tcPr>
          <w:p w14:paraId="162963F2" w14:textId="77777777" w:rsidR="00122A2E" w:rsidRPr="00EF3F98" w:rsidRDefault="00122A2E" w:rsidP="00C82FFA">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sz w:val="18"/>
                <w:szCs w:val="18"/>
                <w:lang w:eastAsia="es-CO"/>
              </w:rPr>
            </w:pPr>
            <w:r w:rsidRPr="00EF3F98">
              <w:rPr>
                <w:rFonts w:eastAsia="Times New Roman" w:cs="Times New Roman"/>
                <w:color w:val="000000"/>
                <w:sz w:val="18"/>
                <w:szCs w:val="18"/>
                <w:lang w:eastAsia="es-CO"/>
              </w:rPr>
              <w:t>Valor Total Ejecutado*</w:t>
            </w:r>
          </w:p>
        </w:tc>
      </w:tr>
      <w:tr w:rsidR="00C56B63" w:rsidRPr="00C56B63" w14:paraId="03F8FBB4" w14:textId="77777777" w:rsidTr="00A5660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855" w:type="dxa"/>
            <w:noWrap/>
            <w:hideMark/>
          </w:tcPr>
          <w:p w14:paraId="153320D4" w14:textId="54352DDB" w:rsidR="00122A2E" w:rsidRPr="00EF3F98" w:rsidRDefault="00122A2E" w:rsidP="00C82FFA">
            <w:pPr>
              <w:rPr>
                <w:rFonts w:eastAsia="Times New Roman" w:cs="Times New Roman"/>
                <w:color w:val="000000"/>
                <w:sz w:val="18"/>
                <w:szCs w:val="18"/>
                <w:lang w:eastAsia="es-CO"/>
              </w:rPr>
            </w:pPr>
            <w:r w:rsidRPr="00EF3F98">
              <w:rPr>
                <w:rFonts w:eastAsia="Times New Roman" w:cs="Times New Roman"/>
                <w:color w:val="000000"/>
                <w:sz w:val="18"/>
                <w:szCs w:val="18"/>
                <w:lang w:eastAsia="es-CO"/>
              </w:rPr>
              <w:t>N</w:t>
            </w:r>
            <w:r w:rsidR="00A44699" w:rsidRPr="00EF3F98">
              <w:rPr>
                <w:rFonts w:eastAsia="Times New Roman" w:cs="Times New Roman"/>
                <w:color w:val="000000"/>
                <w:sz w:val="18"/>
                <w:szCs w:val="18"/>
                <w:lang w:eastAsia="es-CO"/>
              </w:rPr>
              <w:t>1T77</w:t>
            </w:r>
          </w:p>
        </w:tc>
        <w:tc>
          <w:tcPr>
            <w:tcW w:w="2684" w:type="dxa"/>
            <w:noWrap/>
            <w:hideMark/>
          </w:tcPr>
          <w:p w14:paraId="657F0FA6" w14:textId="3153794C" w:rsidR="00122A2E" w:rsidRPr="00EF3F98" w:rsidRDefault="00492D75" w:rsidP="00C82FFA">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sidRPr="00EF3F98">
              <w:rPr>
                <w:rFonts w:eastAsia="Times New Roman" w:cs="Times New Roman"/>
                <w:color w:val="000000"/>
                <w:sz w:val="18"/>
                <w:szCs w:val="18"/>
                <w:lang w:eastAsia="es-CO"/>
              </w:rPr>
              <w:t>Transformador Subterráneo Trifásico Urbano Sumergible de 750 kVA</w:t>
            </w:r>
          </w:p>
        </w:tc>
        <w:tc>
          <w:tcPr>
            <w:tcW w:w="425" w:type="dxa"/>
            <w:noWrap/>
            <w:hideMark/>
          </w:tcPr>
          <w:p w14:paraId="56883AB4" w14:textId="4156B098" w:rsidR="00122A2E" w:rsidRPr="00EF3F98" w:rsidRDefault="00C647D3" w:rsidP="00C82FF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Pr>
                <w:rFonts w:eastAsia="Times New Roman" w:cs="Times New Roman"/>
                <w:color w:val="000000"/>
                <w:sz w:val="18"/>
                <w:szCs w:val="18"/>
                <w:lang w:eastAsia="es-CO"/>
              </w:rPr>
              <w:t>11</w:t>
            </w:r>
          </w:p>
        </w:tc>
        <w:tc>
          <w:tcPr>
            <w:tcW w:w="709" w:type="dxa"/>
            <w:noWrap/>
            <w:hideMark/>
          </w:tcPr>
          <w:p w14:paraId="4340FEB5" w14:textId="584D099A" w:rsidR="00122A2E" w:rsidRPr="00EF3F98" w:rsidRDefault="00B4369C" w:rsidP="00C82FF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Pr>
                <w:rFonts w:eastAsia="Times New Roman" w:cs="Times New Roman"/>
                <w:color w:val="000000"/>
                <w:sz w:val="18"/>
                <w:szCs w:val="18"/>
                <w:lang w:eastAsia="es-CO"/>
              </w:rPr>
              <w:t>25</w:t>
            </w:r>
          </w:p>
        </w:tc>
        <w:tc>
          <w:tcPr>
            <w:tcW w:w="1559" w:type="dxa"/>
            <w:noWrap/>
            <w:hideMark/>
          </w:tcPr>
          <w:p w14:paraId="2F782E23" w14:textId="4B74A450" w:rsidR="00122A2E" w:rsidRPr="00EF3F98" w:rsidRDefault="001D4DC0" w:rsidP="00C82FF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sidRPr="00EF3F98">
              <w:rPr>
                <w:rFonts w:eastAsia="Times New Roman" w:cs="Times New Roman"/>
                <w:color w:val="000000"/>
                <w:sz w:val="18"/>
                <w:szCs w:val="18"/>
                <w:lang w:eastAsia="es-CO"/>
              </w:rPr>
              <w:t>416,388,544</w:t>
            </w:r>
          </w:p>
        </w:tc>
        <w:tc>
          <w:tcPr>
            <w:tcW w:w="993" w:type="dxa"/>
            <w:noWrap/>
            <w:hideMark/>
          </w:tcPr>
          <w:p w14:paraId="308EBA06" w14:textId="2A62EEFB" w:rsidR="00122A2E" w:rsidRPr="00EF3F98" w:rsidRDefault="001D4DC0" w:rsidP="00C82FF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sidRPr="00EF3F98">
              <w:rPr>
                <w:rFonts w:eastAsia="Times New Roman" w:cs="Times New Roman"/>
                <w:color w:val="000000"/>
                <w:sz w:val="18"/>
                <w:szCs w:val="18"/>
                <w:lang w:eastAsia="es-CO"/>
              </w:rPr>
              <w:t>3</w:t>
            </w:r>
          </w:p>
        </w:tc>
        <w:tc>
          <w:tcPr>
            <w:tcW w:w="1559" w:type="dxa"/>
            <w:noWrap/>
            <w:hideMark/>
          </w:tcPr>
          <w:p w14:paraId="6E8352B1" w14:textId="21EE26B3" w:rsidR="00122A2E" w:rsidRPr="00EF3F98" w:rsidRDefault="001D4DC0" w:rsidP="00C82FF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sidRPr="00EF3F98">
              <w:rPr>
                <w:rFonts w:eastAsia="Times New Roman" w:cs="Times New Roman"/>
                <w:color w:val="000000"/>
                <w:sz w:val="18"/>
                <w:szCs w:val="18"/>
                <w:lang w:eastAsia="es-CO"/>
              </w:rPr>
              <w:t>1,249,16</w:t>
            </w:r>
            <w:r w:rsidR="00F72B19" w:rsidRPr="00EF3F98">
              <w:rPr>
                <w:rFonts w:eastAsia="Times New Roman" w:cs="Times New Roman"/>
                <w:color w:val="000000"/>
                <w:sz w:val="18"/>
                <w:szCs w:val="18"/>
                <w:lang w:eastAsia="es-CO"/>
              </w:rPr>
              <w:t>5,632</w:t>
            </w:r>
          </w:p>
        </w:tc>
      </w:tr>
      <w:tr w:rsidR="00C56B63" w:rsidRPr="00C56B63" w14:paraId="49DC3FFF" w14:textId="77777777" w:rsidTr="00A56601">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855" w:type="dxa"/>
            <w:noWrap/>
            <w:hideMark/>
          </w:tcPr>
          <w:p w14:paraId="39B25CE4" w14:textId="0BD276DD" w:rsidR="00122A2E" w:rsidRPr="00EF3F98" w:rsidRDefault="00122A2E" w:rsidP="00C82FFA">
            <w:pPr>
              <w:rPr>
                <w:rFonts w:eastAsia="Times New Roman" w:cs="Times New Roman"/>
                <w:color w:val="000000"/>
                <w:sz w:val="18"/>
                <w:szCs w:val="18"/>
                <w:lang w:eastAsia="es-CO"/>
              </w:rPr>
            </w:pPr>
            <w:r w:rsidRPr="00EF3F98">
              <w:rPr>
                <w:rFonts w:eastAsia="Times New Roman" w:cs="Times New Roman"/>
                <w:color w:val="000000"/>
                <w:sz w:val="18"/>
                <w:szCs w:val="18"/>
                <w:lang w:eastAsia="es-CO"/>
              </w:rPr>
              <w:t>N</w:t>
            </w:r>
            <w:r w:rsidR="00F72B19" w:rsidRPr="00EF3F98">
              <w:rPr>
                <w:rFonts w:eastAsia="Times New Roman" w:cs="Times New Roman"/>
                <w:color w:val="000000"/>
                <w:sz w:val="18"/>
                <w:szCs w:val="18"/>
                <w:lang w:eastAsia="es-CO"/>
              </w:rPr>
              <w:t>2P2</w:t>
            </w:r>
          </w:p>
        </w:tc>
        <w:tc>
          <w:tcPr>
            <w:tcW w:w="2684" w:type="dxa"/>
            <w:noWrap/>
            <w:hideMark/>
          </w:tcPr>
          <w:p w14:paraId="0AA26F66" w14:textId="5F0C3B71" w:rsidR="00122A2E" w:rsidRPr="00EF3F98" w:rsidRDefault="005C7624" w:rsidP="00C82FFA">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eastAsia="es-CO"/>
              </w:rPr>
            </w:pPr>
            <w:r w:rsidRPr="00EF3F98">
              <w:rPr>
                <w:rFonts w:eastAsia="Times New Roman" w:cs="Times New Roman"/>
                <w:color w:val="000000"/>
                <w:sz w:val="18"/>
                <w:szCs w:val="18"/>
                <w:lang w:val="es-ES" w:eastAsia="es-CO"/>
              </w:rPr>
              <w:t>Protección Diferencial de Barras - N2</w:t>
            </w:r>
          </w:p>
        </w:tc>
        <w:tc>
          <w:tcPr>
            <w:tcW w:w="425" w:type="dxa"/>
            <w:noWrap/>
            <w:hideMark/>
          </w:tcPr>
          <w:p w14:paraId="149843FF" w14:textId="57C78ED7" w:rsidR="00122A2E" w:rsidRPr="00EF3F98" w:rsidRDefault="00C647D3" w:rsidP="00C82FFA">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eastAsia="es-CO"/>
              </w:rPr>
            </w:pPr>
            <w:r>
              <w:rPr>
                <w:rFonts w:eastAsia="Times New Roman" w:cs="Times New Roman"/>
                <w:color w:val="000000"/>
                <w:sz w:val="18"/>
                <w:szCs w:val="18"/>
                <w:lang w:eastAsia="es-CO"/>
              </w:rPr>
              <w:t>4</w:t>
            </w:r>
          </w:p>
        </w:tc>
        <w:tc>
          <w:tcPr>
            <w:tcW w:w="709" w:type="dxa"/>
            <w:noWrap/>
            <w:hideMark/>
          </w:tcPr>
          <w:p w14:paraId="307539FF" w14:textId="2A302353" w:rsidR="00122A2E" w:rsidRPr="00EF3F98" w:rsidRDefault="00C647D3" w:rsidP="00C82FFA">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eastAsia="es-CO"/>
              </w:rPr>
            </w:pPr>
            <w:r>
              <w:rPr>
                <w:rFonts w:eastAsia="Times New Roman" w:cs="Times New Roman"/>
                <w:color w:val="000000"/>
                <w:sz w:val="18"/>
                <w:szCs w:val="18"/>
                <w:lang w:eastAsia="es-CO"/>
              </w:rPr>
              <w:t>10</w:t>
            </w:r>
          </w:p>
        </w:tc>
        <w:tc>
          <w:tcPr>
            <w:tcW w:w="1559" w:type="dxa"/>
            <w:noWrap/>
            <w:hideMark/>
          </w:tcPr>
          <w:p w14:paraId="1C3EB37F" w14:textId="3257D8EB" w:rsidR="00122A2E" w:rsidRPr="00EF3F98" w:rsidRDefault="005C7624" w:rsidP="00C82FFA">
            <w:pP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eastAsia="es-CO"/>
              </w:rPr>
            </w:pPr>
            <w:r w:rsidRPr="00EF3F98">
              <w:rPr>
                <w:rFonts w:eastAsia="Times New Roman" w:cs="Times New Roman"/>
                <w:color w:val="000000"/>
                <w:sz w:val="18"/>
                <w:szCs w:val="18"/>
                <w:lang w:eastAsia="es-CO"/>
              </w:rPr>
              <w:t>169,735,534</w:t>
            </w:r>
          </w:p>
        </w:tc>
        <w:tc>
          <w:tcPr>
            <w:tcW w:w="993" w:type="dxa"/>
            <w:noWrap/>
            <w:hideMark/>
          </w:tcPr>
          <w:p w14:paraId="2C78CA08" w14:textId="0C89FC26" w:rsidR="00122A2E" w:rsidRPr="00EF3F98" w:rsidRDefault="002964AF" w:rsidP="00C82FFA">
            <w:pP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eastAsia="es-CO"/>
              </w:rPr>
            </w:pPr>
            <w:r w:rsidRPr="00EF3F98">
              <w:rPr>
                <w:rFonts w:eastAsia="Times New Roman" w:cs="Times New Roman"/>
                <w:color w:val="000000"/>
                <w:sz w:val="18"/>
                <w:szCs w:val="18"/>
                <w:lang w:eastAsia="es-CO"/>
              </w:rPr>
              <w:t>2</w:t>
            </w:r>
          </w:p>
        </w:tc>
        <w:tc>
          <w:tcPr>
            <w:tcW w:w="1559" w:type="dxa"/>
            <w:noWrap/>
            <w:hideMark/>
          </w:tcPr>
          <w:p w14:paraId="30EB65E8" w14:textId="3FCC0C29" w:rsidR="00122A2E" w:rsidRPr="00EF3F98" w:rsidRDefault="002964AF" w:rsidP="00C82FFA">
            <w:pP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eastAsia="es-CO"/>
              </w:rPr>
            </w:pPr>
            <w:r w:rsidRPr="00EF3F98">
              <w:rPr>
                <w:rFonts w:eastAsia="Times New Roman" w:cs="Times New Roman"/>
                <w:color w:val="000000"/>
                <w:sz w:val="18"/>
                <w:szCs w:val="18"/>
                <w:lang w:eastAsia="es-CO"/>
              </w:rPr>
              <w:t>339,471,068</w:t>
            </w:r>
          </w:p>
        </w:tc>
      </w:tr>
      <w:tr w:rsidR="00485306" w:rsidRPr="004878A9" w14:paraId="7CD4498D" w14:textId="77777777" w:rsidTr="00A5660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855" w:type="dxa"/>
            <w:noWrap/>
          </w:tcPr>
          <w:p w14:paraId="6FF0F41E" w14:textId="483C6C00" w:rsidR="00485306" w:rsidRPr="00EF3F98" w:rsidRDefault="00EA0A3F" w:rsidP="00C82FFA">
            <w:pPr>
              <w:rPr>
                <w:rFonts w:eastAsia="Times New Roman" w:cs="Times New Roman"/>
                <w:color w:val="000000"/>
                <w:sz w:val="18"/>
                <w:szCs w:val="18"/>
                <w:lang w:eastAsia="es-CO"/>
              </w:rPr>
            </w:pPr>
            <w:r w:rsidRPr="00EF3F98">
              <w:rPr>
                <w:rFonts w:eastAsia="Times New Roman" w:cs="Times New Roman"/>
                <w:color w:val="000000"/>
                <w:sz w:val="18"/>
                <w:szCs w:val="18"/>
                <w:lang w:eastAsia="es-CO"/>
              </w:rPr>
              <w:t>N0P89</w:t>
            </w:r>
          </w:p>
        </w:tc>
        <w:tc>
          <w:tcPr>
            <w:tcW w:w="2684" w:type="dxa"/>
            <w:noWrap/>
          </w:tcPr>
          <w:p w14:paraId="09D21BC3" w14:textId="7B26BFC7" w:rsidR="00485306" w:rsidRPr="00EF3F98" w:rsidRDefault="00EA0A3F" w:rsidP="00EF3F98">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eastAsia="es-CO"/>
              </w:rPr>
            </w:pPr>
            <w:r w:rsidRPr="00EF3F98">
              <w:rPr>
                <w:rFonts w:eastAsia="Times New Roman" w:cs="Times New Roman"/>
                <w:color w:val="000000"/>
                <w:sz w:val="18"/>
                <w:szCs w:val="18"/>
                <w:lang w:val="es-ES" w:eastAsia="es-CO"/>
              </w:rPr>
              <w:t>Casa de control para el Centro de control ($/m2)</w:t>
            </w:r>
          </w:p>
        </w:tc>
        <w:tc>
          <w:tcPr>
            <w:tcW w:w="425" w:type="dxa"/>
            <w:noWrap/>
          </w:tcPr>
          <w:p w14:paraId="5C7FBADD" w14:textId="3D35FE1D" w:rsidR="00485306" w:rsidRPr="00EF3F98" w:rsidRDefault="00C647D3" w:rsidP="00C82FF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Pr>
                <w:rFonts w:eastAsia="Times New Roman" w:cs="Times New Roman"/>
                <w:color w:val="000000"/>
                <w:sz w:val="18"/>
                <w:szCs w:val="18"/>
                <w:lang w:eastAsia="es-CO"/>
              </w:rPr>
              <w:t>6</w:t>
            </w:r>
          </w:p>
        </w:tc>
        <w:tc>
          <w:tcPr>
            <w:tcW w:w="709" w:type="dxa"/>
            <w:noWrap/>
          </w:tcPr>
          <w:p w14:paraId="2B30A4E0" w14:textId="000B98A4" w:rsidR="00485306" w:rsidRPr="00EF3F98" w:rsidRDefault="00C647D3" w:rsidP="00C82FFA">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Pr>
                <w:rFonts w:eastAsia="Times New Roman" w:cs="Times New Roman"/>
                <w:color w:val="000000"/>
                <w:sz w:val="18"/>
                <w:szCs w:val="18"/>
                <w:lang w:eastAsia="es-CO"/>
              </w:rPr>
              <w:t>45</w:t>
            </w:r>
          </w:p>
        </w:tc>
        <w:tc>
          <w:tcPr>
            <w:tcW w:w="1559" w:type="dxa"/>
            <w:noWrap/>
          </w:tcPr>
          <w:p w14:paraId="0431F122" w14:textId="587DA0DC" w:rsidR="00485306" w:rsidRPr="00EF3F98" w:rsidRDefault="006C258A" w:rsidP="00C82FF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sidRPr="00EF3F98">
              <w:rPr>
                <w:rFonts w:eastAsia="Times New Roman" w:cs="Times New Roman"/>
                <w:color w:val="000000"/>
                <w:sz w:val="18"/>
                <w:szCs w:val="18"/>
                <w:lang w:eastAsia="es-CO"/>
              </w:rPr>
              <w:t>6,513,815,565</w:t>
            </w:r>
          </w:p>
        </w:tc>
        <w:tc>
          <w:tcPr>
            <w:tcW w:w="993" w:type="dxa"/>
            <w:noWrap/>
          </w:tcPr>
          <w:p w14:paraId="0AFC4AF8" w14:textId="01344CCA" w:rsidR="00485306" w:rsidRPr="00EF3F98" w:rsidRDefault="006C258A" w:rsidP="00C82FF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sidRPr="00EF3F98">
              <w:rPr>
                <w:rFonts w:eastAsia="Times New Roman" w:cs="Times New Roman"/>
                <w:color w:val="000000"/>
                <w:sz w:val="18"/>
                <w:szCs w:val="18"/>
                <w:lang w:eastAsia="es-CO"/>
              </w:rPr>
              <w:t>1</w:t>
            </w:r>
          </w:p>
        </w:tc>
        <w:tc>
          <w:tcPr>
            <w:tcW w:w="1559" w:type="dxa"/>
            <w:noWrap/>
          </w:tcPr>
          <w:p w14:paraId="0BD4C69E" w14:textId="64C8734C" w:rsidR="00485306" w:rsidRPr="00EF3F98" w:rsidRDefault="006C258A" w:rsidP="00C82FF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sidRPr="00EF3F98">
              <w:rPr>
                <w:rFonts w:eastAsia="Times New Roman" w:cs="Times New Roman"/>
                <w:color w:val="000000"/>
                <w:sz w:val="18"/>
                <w:szCs w:val="18"/>
                <w:lang w:eastAsia="es-CO"/>
              </w:rPr>
              <w:t>6,513,815,565</w:t>
            </w:r>
          </w:p>
        </w:tc>
      </w:tr>
      <w:tr w:rsidR="00F53EE8" w:rsidRPr="00F53EE8" w14:paraId="5FAB5B57" w14:textId="77777777" w:rsidTr="00EF3F98">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7225" w:type="dxa"/>
            <w:gridSpan w:val="6"/>
            <w:noWrap/>
          </w:tcPr>
          <w:p w14:paraId="1CD5B173" w14:textId="13119547" w:rsidR="00F53EE8" w:rsidRPr="00F53EE8" w:rsidRDefault="00F53EE8" w:rsidP="00EF3F98">
            <w:pPr>
              <w:jc w:val="center"/>
              <w:rPr>
                <w:rFonts w:eastAsia="Times New Roman" w:cs="Times New Roman"/>
                <w:color w:val="000000"/>
                <w:sz w:val="18"/>
                <w:szCs w:val="18"/>
                <w:lang w:eastAsia="es-CO"/>
              </w:rPr>
            </w:pPr>
            <w:r w:rsidRPr="00C82FFA">
              <w:rPr>
                <w:rFonts w:eastAsia="Times New Roman" w:cs="Times New Roman"/>
                <w:sz w:val="18"/>
                <w:szCs w:val="18"/>
                <w:lang w:eastAsia="es-CO"/>
              </w:rPr>
              <w:t>SUBTOTAL</w:t>
            </w:r>
            <w:r w:rsidR="00F940EB">
              <w:rPr>
                <w:rFonts w:eastAsia="Times New Roman" w:cs="Times New Roman"/>
                <w:sz w:val="18"/>
                <w:szCs w:val="18"/>
                <w:lang w:eastAsia="es-CO"/>
              </w:rPr>
              <w:t xml:space="preserve"> UC Planeadas</w:t>
            </w:r>
          </w:p>
        </w:tc>
        <w:tc>
          <w:tcPr>
            <w:tcW w:w="1559" w:type="dxa"/>
            <w:noWrap/>
          </w:tcPr>
          <w:p w14:paraId="4D054EC3" w14:textId="5AE66724" w:rsidR="00F53EE8" w:rsidRPr="00F53EE8" w:rsidRDefault="00F53EE8" w:rsidP="00F53EE8">
            <w:pP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eastAsia="es-CO"/>
              </w:rPr>
            </w:pPr>
            <w:r w:rsidRPr="00C82FFA">
              <w:rPr>
                <w:rFonts w:eastAsia="Times New Roman" w:cs="Times New Roman"/>
                <w:b/>
                <w:bCs/>
                <w:color w:val="000000"/>
                <w:sz w:val="18"/>
                <w:szCs w:val="18"/>
                <w:lang w:eastAsia="es-CO"/>
              </w:rPr>
              <w:t>8,102,452,265</w:t>
            </w:r>
          </w:p>
        </w:tc>
      </w:tr>
      <w:tr w:rsidR="00F53EE8" w:rsidRPr="00F53EE8" w14:paraId="3F10A1D7" w14:textId="77777777" w:rsidTr="00A5660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855" w:type="dxa"/>
            <w:noWrap/>
          </w:tcPr>
          <w:p w14:paraId="4BDC03E7" w14:textId="3FA09BFB" w:rsidR="00F53EE8" w:rsidRPr="00F53EE8" w:rsidRDefault="002C711B" w:rsidP="00F53EE8">
            <w:pPr>
              <w:rPr>
                <w:rFonts w:eastAsia="Times New Roman" w:cs="Times New Roman"/>
                <w:color w:val="000000"/>
                <w:sz w:val="18"/>
                <w:szCs w:val="18"/>
                <w:lang w:eastAsia="es-CO"/>
              </w:rPr>
            </w:pPr>
            <w:r>
              <w:rPr>
                <w:rFonts w:eastAsia="Times New Roman" w:cs="Times New Roman"/>
                <w:color w:val="000000"/>
                <w:sz w:val="18"/>
                <w:szCs w:val="18"/>
                <w:lang w:eastAsia="es-CO"/>
              </w:rPr>
              <w:t>N0P88</w:t>
            </w:r>
          </w:p>
        </w:tc>
        <w:tc>
          <w:tcPr>
            <w:tcW w:w="2684" w:type="dxa"/>
            <w:noWrap/>
          </w:tcPr>
          <w:p w14:paraId="528E92F4" w14:textId="43E70ABD" w:rsidR="00F53EE8" w:rsidRPr="00F53EE8" w:rsidRDefault="008C071A" w:rsidP="00EF3F98">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eastAsia="es-CO"/>
              </w:rPr>
            </w:pPr>
            <w:r w:rsidRPr="008C071A">
              <w:rPr>
                <w:rFonts w:eastAsia="Times New Roman" w:cs="Times New Roman"/>
                <w:color w:val="000000"/>
                <w:sz w:val="18"/>
                <w:szCs w:val="18"/>
                <w:lang w:val="es-ES" w:eastAsia="es-CO"/>
              </w:rPr>
              <w:t>Centro de control tipo 4 (SCADA+EMS-Completo+DMS Completo+OMS+CMS)</w:t>
            </w:r>
          </w:p>
        </w:tc>
        <w:tc>
          <w:tcPr>
            <w:tcW w:w="425" w:type="dxa"/>
            <w:noWrap/>
          </w:tcPr>
          <w:p w14:paraId="42A872E8" w14:textId="74900A53" w:rsidR="00F53EE8" w:rsidRPr="00F53EE8" w:rsidRDefault="00E0517D" w:rsidP="00F53EE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Pr>
                <w:rFonts w:eastAsia="Times New Roman" w:cs="Times New Roman"/>
                <w:color w:val="000000"/>
                <w:sz w:val="18"/>
                <w:szCs w:val="18"/>
                <w:lang w:eastAsia="es-CO"/>
              </w:rPr>
              <w:t>10</w:t>
            </w:r>
          </w:p>
        </w:tc>
        <w:tc>
          <w:tcPr>
            <w:tcW w:w="709" w:type="dxa"/>
            <w:noWrap/>
          </w:tcPr>
          <w:p w14:paraId="534D0712" w14:textId="25AF7E49" w:rsidR="00F53EE8" w:rsidRPr="00F53EE8" w:rsidRDefault="00E0517D" w:rsidP="00F53EE8">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Pr>
                <w:rFonts w:eastAsia="Times New Roman" w:cs="Times New Roman"/>
                <w:color w:val="000000"/>
                <w:sz w:val="18"/>
                <w:szCs w:val="18"/>
                <w:lang w:eastAsia="es-CO"/>
              </w:rPr>
              <w:t>10</w:t>
            </w:r>
          </w:p>
        </w:tc>
        <w:tc>
          <w:tcPr>
            <w:tcW w:w="1559" w:type="dxa"/>
            <w:noWrap/>
          </w:tcPr>
          <w:p w14:paraId="4D1520BE" w14:textId="2788FCA0" w:rsidR="00F53EE8" w:rsidRPr="009D0507" w:rsidRDefault="009D0507" w:rsidP="00F940EB">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sidRPr="00A56601">
              <w:rPr>
                <w:rFonts w:eastAsia="Times New Roman" w:cs="Times New Roman"/>
                <w:color w:val="000000"/>
                <w:sz w:val="18"/>
                <w:szCs w:val="18"/>
                <w:lang w:eastAsia="es-CO"/>
              </w:rPr>
              <w:t>15,411,241,000</w:t>
            </w:r>
          </w:p>
        </w:tc>
        <w:tc>
          <w:tcPr>
            <w:tcW w:w="993" w:type="dxa"/>
            <w:noWrap/>
          </w:tcPr>
          <w:p w14:paraId="3E9605BF" w14:textId="03C03137" w:rsidR="00F53EE8" w:rsidRPr="009D0507" w:rsidRDefault="00F940EB" w:rsidP="00F53EE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sidRPr="009D0507">
              <w:rPr>
                <w:rFonts w:eastAsia="Times New Roman" w:cs="Times New Roman"/>
                <w:color w:val="000000"/>
                <w:sz w:val="18"/>
                <w:szCs w:val="18"/>
                <w:lang w:eastAsia="es-CO"/>
              </w:rPr>
              <w:t>0.0</w:t>
            </w:r>
            <w:r w:rsidR="009D0507" w:rsidRPr="00EF3F98">
              <w:rPr>
                <w:rFonts w:eastAsia="Times New Roman" w:cs="Times New Roman"/>
                <w:color w:val="000000"/>
                <w:sz w:val="18"/>
                <w:szCs w:val="18"/>
                <w:lang w:eastAsia="es-CO"/>
              </w:rPr>
              <w:t>367</w:t>
            </w:r>
          </w:p>
        </w:tc>
        <w:tc>
          <w:tcPr>
            <w:tcW w:w="1559" w:type="dxa"/>
            <w:noWrap/>
          </w:tcPr>
          <w:p w14:paraId="1C67395F" w14:textId="45BF5A01" w:rsidR="00F53EE8" w:rsidRPr="00F53EE8" w:rsidRDefault="00E0517D" w:rsidP="00F53EE8">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sidRPr="0096060B">
              <w:rPr>
                <w:rFonts w:eastAsia="Times New Roman" w:cs="Times New Roman"/>
                <w:color w:val="000000"/>
                <w:sz w:val="18"/>
                <w:szCs w:val="18"/>
                <w:lang w:eastAsia="es-CO"/>
              </w:rPr>
              <w:t>565</w:t>
            </w:r>
            <w:r>
              <w:rPr>
                <w:rFonts w:eastAsia="Times New Roman" w:cs="Times New Roman"/>
                <w:color w:val="000000"/>
                <w:sz w:val="18"/>
                <w:szCs w:val="18"/>
                <w:lang w:eastAsia="es-CO"/>
              </w:rPr>
              <w:t>,</w:t>
            </w:r>
            <w:r w:rsidRPr="0096060B">
              <w:rPr>
                <w:rFonts w:eastAsia="Times New Roman" w:cs="Times New Roman"/>
                <w:color w:val="000000"/>
                <w:sz w:val="18"/>
                <w:szCs w:val="18"/>
                <w:lang w:eastAsia="es-CO"/>
              </w:rPr>
              <w:t>585</w:t>
            </w:r>
            <w:r>
              <w:rPr>
                <w:rFonts w:eastAsia="Times New Roman" w:cs="Times New Roman"/>
                <w:color w:val="000000"/>
                <w:sz w:val="18"/>
                <w:szCs w:val="18"/>
                <w:lang w:eastAsia="es-CO"/>
              </w:rPr>
              <w:t>,</w:t>
            </w:r>
            <w:r w:rsidRPr="0096060B">
              <w:rPr>
                <w:rFonts w:eastAsia="Times New Roman" w:cs="Times New Roman"/>
                <w:color w:val="000000"/>
                <w:sz w:val="18"/>
                <w:szCs w:val="18"/>
                <w:lang w:eastAsia="es-CO"/>
              </w:rPr>
              <w:t>162</w:t>
            </w:r>
          </w:p>
        </w:tc>
      </w:tr>
      <w:tr w:rsidR="008A4562" w:rsidRPr="00F53EE8" w14:paraId="6AD58F02" w14:textId="77777777" w:rsidTr="00A56601">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855" w:type="dxa"/>
            <w:noWrap/>
          </w:tcPr>
          <w:p w14:paraId="7C1D9503" w14:textId="1B7C2112" w:rsidR="008A4562" w:rsidRPr="00F53EE8" w:rsidRDefault="008A4562" w:rsidP="008A4562">
            <w:pPr>
              <w:rPr>
                <w:rFonts w:eastAsia="Times New Roman" w:cs="Times New Roman"/>
                <w:color w:val="000000"/>
                <w:sz w:val="18"/>
                <w:szCs w:val="18"/>
                <w:lang w:eastAsia="es-CO"/>
              </w:rPr>
            </w:pPr>
            <w:r w:rsidRPr="008C071A">
              <w:rPr>
                <w:rFonts w:eastAsia="Times New Roman" w:cs="Times New Roman"/>
                <w:color w:val="000000"/>
                <w:sz w:val="18"/>
                <w:szCs w:val="18"/>
                <w:lang w:eastAsia="es-CO"/>
              </w:rPr>
              <w:t>N2P2</w:t>
            </w:r>
          </w:p>
        </w:tc>
        <w:tc>
          <w:tcPr>
            <w:tcW w:w="2684" w:type="dxa"/>
            <w:noWrap/>
          </w:tcPr>
          <w:p w14:paraId="15EA811D" w14:textId="002E38A5" w:rsidR="008A4562" w:rsidRPr="00F53EE8" w:rsidRDefault="008A4562" w:rsidP="00EF3F98">
            <w:pPr>
              <w:jc w:val="left"/>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val="es-ES" w:eastAsia="es-CO"/>
              </w:rPr>
            </w:pPr>
            <w:r w:rsidRPr="00570796">
              <w:rPr>
                <w:rFonts w:eastAsia="Times New Roman" w:cs="Times New Roman"/>
                <w:color w:val="000000"/>
                <w:sz w:val="18"/>
                <w:szCs w:val="18"/>
                <w:lang w:val="es-ES" w:eastAsia="es-CO"/>
              </w:rPr>
              <w:t>Protección Diferencial de Barras - N2</w:t>
            </w:r>
          </w:p>
        </w:tc>
        <w:tc>
          <w:tcPr>
            <w:tcW w:w="425" w:type="dxa"/>
            <w:noWrap/>
          </w:tcPr>
          <w:p w14:paraId="6067F419" w14:textId="0C010542" w:rsidR="008A4562" w:rsidRPr="00F53EE8" w:rsidRDefault="008A4562" w:rsidP="008A456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eastAsia="es-CO"/>
              </w:rPr>
            </w:pPr>
            <w:r>
              <w:rPr>
                <w:rFonts w:eastAsia="Times New Roman" w:cs="Times New Roman"/>
                <w:color w:val="000000"/>
                <w:sz w:val="18"/>
                <w:szCs w:val="18"/>
                <w:lang w:eastAsia="es-CO"/>
              </w:rPr>
              <w:t>4</w:t>
            </w:r>
          </w:p>
        </w:tc>
        <w:tc>
          <w:tcPr>
            <w:tcW w:w="709" w:type="dxa"/>
            <w:noWrap/>
          </w:tcPr>
          <w:p w14:paraId="0F0C56A0" w14:textId="1E337CC3" w:rsidR="008A4562" w:rsidRPr="00F53EE8" w:rsidRDefault="008A4562" w:rsidP="008A4562">
            <w:pPr>
              <w:jc w:val="cente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eastAsia="es-CO"/>
              </w:rPr>
            </w:pPr>
            <w:r>
              <w:rPr>
                <w:rFonts w:eastAsia="Times New Roman" w:cs="Times New Roman"/>
                <w:color w:val="000000"/>
                <w:sz w:val="18"/>
                <w:szCs w:val="18"/>
                <w:lang w:eastAsia="es-CO"/>
              </w:rPr>
              <w:t>10</w:t>
            </w:r>
          </w:p>
        </w:tc>
        <w:tc>
          <w:tcPr>
            <w:tcW w:w="1559" w:type="dxa"/>
            <w:noWrap/>
          </w:tcPr>
          <w:p w14:paraId="6763EF0C" w14:textId="60ABC399" w:rsidR="008A4562" w:rsidRPr="00844409" w:rsidRDefault="008A4562" w:rsidP="008A4562">
            <w:pP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eastAsia="es-CO"/>
              </w:rPr>
            </w:pPr>
            <w:r w:rsidRPr="00844409">
              <w:rPr>
                <w:rFonts w:eastAsia="Times New Roman" w:cs="Times New Roman"/>
                <w:color w:val="000000"/>
                <w:sz w:val="18"/>
                <w:szCs w:val="18"/>
                <w:lang w:eastAsia="es-CO"/>
              </w:rPr>
              <w:t>169,735,534</w:t>
            </w:r>
          </w:p>
        </w:tc>
        <w:tc>
          <w:tcPr>
            <w:tcW w:w="993" w:type="dxa"/>
            <w:noWrap/>
          </w:tcPr>
          <w:p w14:paraId="7FD67EAA" w14:textId="387BB8F2" w:rsidR="008A4562" w:rsidRPr="00844409" w:rsidRDefault="008A4562" w:rsidP="008A4562">
            <w:pP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eastAsia="es-CO"/>
              </w:rPr>
            </w:pPr>
            <w:r w:rsidRPr="00844409">
              <w:rPr>
                <w:rFonts w:eastAsia="Times New Roman" w:cs="Times New Roman"/>
                <w:color w:val="000000"/>
                <w:sz w:val="18"/>
                <w:szCs w:val="18"/>
                <w:lang w:eastAsia="es-CO"/>
              </w:rPr>
              <w:t>3</w:t>
            </w:r>
          </w:p>
        </w:tc>
        <w:tc>
          <w:tcPr>
            <w:tcW w:w="1559" w:type="dxa"/>
            <w:noWrap/>
          </w:tcPr>
          <w:p w14:paraId="62C641C2" w14:textId="19B6BF71" w:rsidR="008A4562" w:rsidRPr="00844409" w:rsidRDefault="00E635C5" w:rsidP="008A4562">
            <w:pPr>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 w:val="18"/>
                <w:szCs w:val="18"/>
                <w:lang w:eastAsia="es-CO"/>
              </w:rPr>
            </w:pPr>
            <w:r w:rsidRPr="00844409">
              <w:rPr>
                <w:rFonts w:eastAsia="Times New Roman" w:cs="Times New Roman"/>
                <w:color w:val="000000"/>
                <w:sz w:val="18"/>
                <w:szCs w:val="18"/>
                <w:lang w:eastAsia="es-CO"/>
              </w:rPr>
              <w:t>509,206,602</w:t>
            </w:r>
          </w:p>
        </w:tc>
      </w:tr>
      <w:tr w:rsidR="00D15240" w:rsidRPr="00F53EE8" w14:paraId="10D74CD1" w14:textId="77777777" w:rsidTr="00A56601">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855" w:type="dxa"/>
            <w:noWrap/>
          </w:tcPr>
          <w:p w14:paraId="517A58FA" w14:textId="4AC8C64C" w:rsidR="00D15240" w:rsidRDefault="00D15240" w:rsidP="008A4562">
            <w:pPr>
              <w:rPr>
                <w:rFonts w:eastAsia="Times New Roman" w:cs="Times New Roman"/>
                <w:b w:val="0"/>
                <w:bCs w:val="0"/>
                <w:color w:val="000000"/>
                <w:sz w:val="18"/>
                <w:szCs w:val="18"/>
                <w:lang w:eastAsia="es-CO"/>
              </w:rPr>
            </w:pPr>
            <w:r>
              <w:rPr>
                <w:rFonts w:eastAsia="Times New Roman" w:cs="Times New Roman"/>
                <w:color w:val="000000"/>
                <w:sz w:val="18"/>
                <w:szCs w:val="18"/>
                <w:lang w:eastAsia="es-CO"/>
              </w:rPr>
              <w:t>N0P16</w:t>
            </w:r>
          </w:p>
          <w:p w14:paraId="015AAEB3" w14:textId="30FFBE92" w:rsidR="00D15240" w:rsidRPr="008C071A" w:rsidRDefault="00D15240" w:rsidP="008A4562">
            <w:pPr>
              <w:rPr>
                <w:rFonts w:eastAsia="Times New Roman" w:cs="Times New Roman"/>
                <w:color w:val="000000"/>
                <w:sz w:val="18"/>
                <w:szCs w:val="18"/>
                <w:lang w:eastAsia="es-CO"/>
              </w:rPr>
            </w:pPr>
            <w:r>
              <w:rPr>
                <w:rFonts w:eastAsia="Times New Roman" w:cs="Times New Roman"/>
                <w:color w:val="000000"/>
                <w:sz w:val="18"/>
                <w:szCs w:val="18"/>
                <w:lang w:eastAsia="es-CO"/>
              </w:rPr>
              <w:t>N0P17</w:t>
            </w:r>
          </w:p>
        </w:tc>
        <w:tc>
          <w:tcPr>
            <w:tcW w:w="2684" w:type="dxa"/>
            <w:noWrap/>
          </w:tcPr>
          <w:p w14:paraId="0EECB90F" w14:textId="66EFB760" w:rsidR="00D15240" w:rsidRPr="00570796" w:rsidRDefault="00D15240" w:rsidP="00EF3F98">
            <w:pPr>
              <w:jc w:val="lef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val="es-ES" w:eastAsia="es-CO"/>
              </w:rPr>
            </w:pPr>
            <w:r>
              <w:rPr>
                <w:rFonts w:eastAsia="Times New Roman" w:cs="Times New Roman"/>
                <w:color w:val="000000"/>
                <w:sz w:val="18"/>
                <w:szCs w:val="18"/>
                <w:lang w:val="es-ES" w:eastAsia="es-CO"/>
              </w:rPr>
              <w:t xml:space="preserve">UC Gestión de Activos </w:t>
            </w:r>
          </w:p>
        </w:tc>
        <w:tc>
          <w:tcPr>
            <w:tcW w:w="425" w:type="dxa"/>
            <w:noWrap/>
          </w:tcPr>
          <w:p w14:paraId="2A84387D" w14:textId="7B9908BB" w:rsidR="00D15240" w:rsidRDefault="00D15240" w:rsidP="008A45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Pr>
                <w:rFonts w:eastAsia="Times New Roman" w:cs="Times New Roman"/>
                <w:color w:val="000000"/>
                <w:sz w:val="18"/>
                <w:szCs w:val="18"/>
                <w:lang w:eastAsia="es-CO"/>
              </w:rPr>
              <w:t>10</w:t>
            </w:r>
          </w:p>
        </w:tc>
        <w:tc>
          <w:tcPr>
            <w:tcW w:w="709" w:type="dxa"/>
            <w:noWrap/>
          </w:tcPr>
          <w:p w14:paraId="2D77CFB1" w14:textId="272DAB16" w:rsidR="00D15240" w:rsidRDefault="00D15240" w:rsidP="008A456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Pr>
                <w:rFonts w:eastAsia="Times New Roman" w:cs="Times New Roman"/>
                <w:color w:val="000000"/>
                <w:sz w:val="18"/>
                <w:szCs w:val="18"/>
                <w:lang w:eastAsia="es-CO"/>
              </w:rPr>
              <w:t>10</w:t>
            </w:r>
          </w:p>
        </w:tc>
        <w:tc>
          <w:tcPr>
            <w:tcW w:w="1559" w:type="dxa"/>
            <w:noWrap/>
          </w:tcPr>
          <w:p w14:paraId="686784F0" w14:textId="1002E75B" w:rsidR="00D15240" w:rsidRPr="00844409" w:rsidRDefault="00844409" w:rsidP="008A456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sidRPr="00EF3F98">
              <w:rPr>
                <w:rFonts w:eastAsia="Times New Roman" w:cs="Calibri"/>
                <w:color w:val="000000"/>
                <w:sz w:val="18"/>
                <w:szCs w:val="18"/>
                <w:lang w:eastAsia="es-CO"/>
              </w:rPr>
              <w:t>496,886,310</w:t>
            </w:r>
          </w:p>
        </w:tc>
        <w:tc>
          <w:tcPr>
            <w:tcW w:w="993" w:type="dxa"/>
            <w:noWrap/>
          </w:tcPr>
          <w:p w14:paraId="6663E641" w14:textId="3A9841E5" w:rsidR="00D15240" w:rsidRPr="00844409" w:rsidRDefault="00844409" w:rsidP="008A456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sidRPr="00844409">
              <w:rPr>
                <w:rFonts w:eastAsia="Times New Roman" w:cs="Times New Roman"/>
                <w:color w:val="000000"/>
                <w:sz w:val="18"/>
                <w:szCs w:val="18"/>
                <w:lang w:eastAsia="es-CO"/>
              </w:rPr>
              <w:t>-</w:t>
            </w:r>
          </w:p>
        </w:tc>
        <w:tc>
          <w:tcPr>
            <w:tcW w:w="1559" w:type="dxa"/>
            <w:noWrap/>
          </w:tcPr>
          <w:p w14:paraId="218545E6" w14:textId="049AFD20" w:rsidR="00D15240" w:rsidRPr="00844409" w:rsidRDefault="00844409" w:rsidP="008A456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8"/>
                <w:szCs w:val="18"/>
                <w:lang w:eastAsia="es-CO"/>
              </w:rPr>
            </w:pPr>
            <w:r w:rsidRPr="00EF3F98">
              <w:rPr>
                <w:rFonts w:eastAsia="Times New Roman" w:cs="Calibri"/>
                <w:color w:val="000000"/>
                <w:sz w:val="18"/>
                <w:szCs w:val="18"/>
                <w:lang w:eastAsia="es-CO"/>
              </w:rPr>
              <w:t>496,886,310</w:t>
            </w:r>
          </w:p>
        </w:tc>
      </w:tr>
      <w:tr w:rsidR="008A4562" w:rsidRPr="004878A9" w14:paraId="5B554C17" w14:textId="77777777" w:rsidTr="00EF3F98">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7225" w:type="dxa"/>
            <w:gridSpan w:val="6"/>
            <w:noWrap/>
            <w:hideMark/>
          </w:tcPr>
          <w:p w14:paraId="167DB4BE" w14:textId="2732B6A0" w:rsidR="008A4562" w:rsidRPr="00EF3F98" w:rsidRDefault="008A4562" w:rsidP="008A4562">
            <w:pPr>
              <w:jc w:val="center"/>
              <w:rPr>
                <w:rFonts w:eastAsia="Times New Roman" w:cs="Times New Roman"/>
                <w:color w:val="000000"/>
                <w:sz w:val="18"/>
                <w:szCs w:val="18"/>
                <w:lang w:eastAsia="es-CO"/>
              </w:rPr>
            </w:pPr>
            <w:r w:rsidRPr="00EF3F98">
              <w:rPr>
                <w:rFonts w:eastAsia="Times New Roman" w:cs="Times New Roman"/>
                <w:sz w:val="18"/>
                <w:szCs w:val="18"/>
                <w:lang w:eastAsia="es-CO"/>
              </w:rPr>
              <w:t>SUBTOTAL</w:t>
            </w:r>
            <w:r w:rsidR="00F940EB">
              <w:rPr>
                <w:rFonts w:eastAsia="Times New Roman" w:cs="Times New Roman"/>
                <w:sz w:val="18"/>
                <w:szCs w:val="18"/>
                <w:lang w:eastAsia="es-CO"/>
              </w:rPr>
              <w:t xml:space="preserve"> UC Desviación</w:t>
            </w:r>
          </w:p>
        </w:tc>
        <w:tc>
          <w:tcPr>
            <w:tcW w:w="1559" w:type="dxa"/>
            <w:shd w:val="clear" w:color="auto" w:fill="BFE2A8" w:themeFill="accent2" w:themeFillTint="66"/>
            <w:noWrap/>
            <w:hideMark/>
          </w:tcPr>
          <w:p w14:paraId="6F8BA567" w14:textId="3324477B" w:rsidR="008A4562" w:rsidRPr="00EF3F98" w:rsidRDefault="00E635C5" w:rsidP="008A4562">
            <w:pPr>
              <w:cnfStyle w:val="000000010000" w:firstRow="0" w:lastRow="0" w:firstColumn="0" w:lastColumn="0" w:oddVBand="0" w:evenVBand="0" w:oddHBand="0" w:evenHBand="1" w:firstRowFirstColumn="0" w:firstRowLastColumn="0" w:lastRowFirstColumn="0" w:lastRowLastColumn="0"/>
              <w:rPr>
                <w:rFonts w:eastAsia="Times New Roman" w:cs="Times New Roman"/>
                <w:b/>
                <w:bCs/>
                <w:color w:val="000000"/>
                <w:sz w:val="18"/>
                <w:szCs w:val="18"/>
                <w:lang w:eastAsia="es-CO"/>
              </w:rPr>
            </w:pPr>
            <w:r>
              <w:rPr>
                <w:rFonts w:eastAsia="Times New Roman" w:cs="Times New Roman"/>
                <w:b/>
                <w:bCs/>
                <w:color w:val="000000"/>
                <w:sz w:val="18"/>
                <w:szCs w:val="18"/>
                <w:lang w:eastAsia="es-CO"/>
              </w:rPr>
              <w:t>1,</w:t>
            </w:r>
            <w:r w:rsidR="000972F0">
              <w:rPr>
                <w:rFonts w:eastAsia="Times New Roman" w:cs="Times New Roman"/>
                <w:b/>
                <w:bCs/>
                <w:color w:val="000000"/>
                <w:sz w:val="18"/>
                <w:szCs w:val="18"/>
                <w:lang w:eastAsia="es-CO"/>
              </w:rPr>
              <w:t>571</w:t>
            </w:r>
            <w:r>
              <w:rPr>
                <w:rFonts w:eastAsia="Times New Roman" w:cs="Times New Roman"/>
                <w:b/>
                <w:bCs/>
                <w:color w:val="000000"/>
                <w:sz w:val="18"/>
                <w:szCs w:val="18"/>
                <w:lang w:eastAsia="es-CO"/>
              </w:rPr>
              <w:t>,</w:t>
            </w:r>
            <w:r w:rsidR="000972F0">
              <w:rPr>
                <w:rFonts w:eastAsia="Times New Roman" w:cs="Times New Roman"/>
                <w:b/>
                <w:bCs/>
                <w:color w:val="000000"/>
                <w:sz w:val="18"/>
                <w:szCs w:val="18"/>
                <w:lang w:eastAsia="es-CO"/>
              </w:rPr>
              <w:t>678</w:t>
            </w:r>
            <w:r>
              <w:rPr>
                <w:rFonts w:eastAsia="Times New Roman" w:cs="Times New Roman"/>
                <w:b/>
                <w:bCs/>
                <w:color w:val="000000"/>
                <w:sz w:val="18"/>
                <w:szCs w:val="18"/>
                <w:lang w:eastAsia="es-CO"/>
              </w:rPr>
              <w:t>,</w:t>
            </w:r>
            <w:r w:rsidR="000972F0">
              <w:rPr>
                <w:rFonts w:eastAsia="Times New Roman" w:cs="Times New Roman"/>
                <w:b/>
                <w:bCs/>
                <w:color w:val="000000"/>
                <w:sz w:val="18"/>
                <w:szCs w:val="18"/>
                <w:lang w:eastAsia="es-CO"/>
              </w:rPr>
              <w:t>075</w:t>
            </w:r>
          </w:p>
        </w:tc>
      </w:tr>
      <w:tr w:rsidR="008A4562" w:rsidRPr="004878A9" w14:paraId="693EEA8D" w14:textId="77777777" w:rsidTr="00C82FFA">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8784" w:type="dxa"/>
            <w:gridSpan w:val="7"/>
            <w:shd w:val="clear" w:color="auto" w:fill="DFF0D3" w:themeFill="accent2" w:themeFillTint="33"/>
            <w:noWrap/>
          </w:tcPr>
          <w:p w14:paraId="7903E01D" w14:textId="77777777" w:rsidR="008A4562" w:rsidRPr="004878A9" w:rsidRDefault="008A4562" w:rsidP="008A4562">
            <w:pPr>
              <w:jc w:val="both"/>
              <w:rPr>
                <w:rFonts w:eastAsia="Times New Roman" w:cs="Times New Roman"/>
                <w:color w:val="000000"/>
                <w:sz w:val="18"/>
                <w:szCs w:val="18"/>
                <w:lang w:eastAsia="es-CO"/>
              </w:rPr>
            </w:pPr>
            <w:r w:rsidRPr="004878A9">
              <w:rPr>
                <w:rFonts w:eastAsia="Times New Roman" w:cs="Times New Roman"/>
                <w:color w:val="000000"/>
                <w:sz w:val="18"/>
                <w:szCs w:val="18"/>
                <w:lang w:eastAsia="es-CO"/>
              </w:rPr>
              <w:t>* Todos los valores están en pesos a diciembre del 2017.</w:t>
            </w:r>
          </w:p>
          <w:p w14:paraId="24B9BB23" w14:textId="77777777" w:rsidR="008A4562" w:rsidRPr="004878A9" w:rsidRDefault="008A4562" w:rsidP="008A4562">
            <w:pPr>
              <w:jc w:val="both"/>
              <w:rPr>
                <w:rFonts w:eastAsia="Times New Roman" w:cs="Times New Roman"/>
                <w:color w:val="000000"/>
                <w:sz w:val="18"/>
                <w:szCs w:val="18"/>
                <w:lang w:eastAsia="es-CO"/>
              </w:rPr>
            </w:pPr>
            <w:r w:rsidRPr="004878A9">
              <w:rPr>
                <w:rFonts w:eastAsia="Times New Roman" w:cs="Times New Roman"/>
                <w:i/>
                <w:iCs/>
                <w:color w:val="000000"/>
                <w:sz w:val="18"/>
                <w:szCs w:val="18"/>
                <w:lang w:eastAsia="es-CO"/>
              </w:rPr>
              <w:t>l</w:t>
            </w:r>
            <w:r w:rsidRPr="004878A9">
              <w:rPr>
                <w:rFonts w:eastAsia="Times New Roman" w:cs="Times New Roman"/>
                <w:color w:val="000000"/>
                <w:sz w:val="18"/>
                <w:szCs w:val="18"/>
                <w:lang w:eastAsia="es-CO"/>
              </w:rPr>
              <w:t>: categoría de activo</w:t>
            </w:r>
          </w:p>
          <w:p w14:paraId="044CF846" w14:textId="77777777" w:rsidR="008A4562" w:rsidRPr="004878A9" w:rsidRDefault="008A4562" w:rsidP="008A4562">
            <w:pPr>
              <w:jc w:val="both"/>
              <w:rPr>
                <w:rFonts w:eastAsia="Times New Roman" w:cs="Times New Roman"/>
                <w:color w:val="000000"/>
                <w:sz w:val="18"/>
                <w:szCs w:val="18"/>
                <w:lang w:eastAsia="es-CO"/>
              </w:rPr>
            </w:pPr>
            <w:r w:rsidRPr="004878A9">
              <w:rPr>
                <w:rFonts w:eastAsia="Times New Roman" w:cs="Times New Roman"/>
                <w:color w:val="000000"/>
                <w:sz w:val="18"/>
                <w:szCs w:val="18"/>
                <w:lang w:eastAsia="es-CO"/>
              </w:rPr>
              <w:t>vida útil en años</w:t>
            </w:r>
          </w:p>
          <w:p w14:paraId="17DD3EA5" w14:textId="77777777" w:rsidR="008A4562" w:rsidRPr="004878A9" w:rsidRDefault="008A4562" w:rsidP="008A4562">
            <w:pPr>
              <w:jc w:val="both"/>
              <w:rPr>
                <w:rFonts w:eastAsia="Times New Roman" w:cs="Times New Roman"/>
                <w:color w:val="000000"/>
                <w:sz w:val="18"/>
                <w:szCs w:val="18"/>
                <w:lang w:eastAsia="es-CO"/>
              </w:rPr>
            </w:pPr>
            <w:r w:rsidRPr="004878A9">
              <w:rPr>
                <w:rFonts w:eastAsia="Times New Roman" w:cs="Times New Roman"/>
                <w:color w:val="000000"/>
                <w:sz w:val="18"/>
                <w:szCs w:val="18"/>
                <w:lang w:eastAsia="es-CO"/>
              </w:rPr>
              <w:t>Notas:</w:t>
            </w:r>
          </w:p>
          <w:p w14:paraId="1DB8EFAC" w14:textId="54711EA5" w:rsidR="008A4562" w:rsidRDefault="008A4562" w:rsidP="008A4562">
            <w:pPr>
              <w:jc w:val="both"/>
              <w:rPr>
                <w:rFonts w:eastAsia="Times New Roman" w:cs="Times New Roman"/>
                <w:b w:val="0"/>
                <w:bCs w:val="0"/>
                <w:color w:val="000000"/>
                <w:sz w:val="18"/>
                <w:szCs w:val="18"/>
                <w:lang w:eastAsia="es-CO"/>
              </w:rPr>
            </w:pPr>
            <w:r w:rsidRPr="004878A9">
              <w:rPr>
                <w:rFonts w:eastAsia="Times New Roman" w:cs="Times New Roman"/>
                <w:color w:val="000000"/>
                <w:sz w:val="18"/>
                <w:szCs w:val="18"/>
                <w:lang w:eastAsia="es-CO"/>
              </w:rPr>
              <w:t>- El valor total se obtiene al multiplicar el valor de la UC por la cantidad.</w:t>
            </w:r>
          </w:p>
          <w:p w14:paraId="12B18A7E" w14:textId="25D9495A" w:rsidR="006359CD" w:rsidRDefault="006359CD" w:rsidP="008A4562">
            <w:pPr>
              <w:jc w:val="both"/>
              <w:rPr>
                <w:rFonts w:eastAsia="Times New Roman" w:cs="Times New Roman"/>
                <w:b w:val="0"/>
                <w:bCs w:val="0"/>
                <w:color w:val="000000"/>
                <w:sz w:val="18"/>
                <w:szCs w:val="18"/>
                <w:lang w:eastAsia="es-CO"/>
              </w:rPr>
            </w:pPr>
            <w:r>
              <w:rPr>
                <w:rFonts w:eastAsia="Times New Roman" w:cs="Times New Roman"/>
                <w:color w:val="000000"/>
                <w:sz w:val="18"/>
                <w:szCs w:val="18"/>
                <w:lang w:eastAsia="es-CO"/>
              </w:rPr>
              <w:t xml:space="preserve">-Las UC </w:t>
            </w:r>
            <w:r w:rsidR="00562B4A">
              <w:rPr>
                <w:rFonts w:eastAsia="Times New Roman" w:cs="Times New Roman"/>
                <w:color w:val="000000"/>
                <w:sz w:val="18"/>
                <w:szCs w:val="18"/>
                <w:lang w:eastAsia="es-CO"/>
              </w:rPr>
              <w:t xml:space="preserve">especiales </w:t>
            </w:r>
            <w:r>
              <w:rPr>
                <w:rFonts w:eastAsia="Times New Roman" w:cs="Times New Roman"/>
                <w:color w:val="000000"/>
                <w:sz w:val="18"/>
                <w:szCs w:val="18"/>
                <w:lang w:eastAsia="es-CO"/>
              </w:rPr>
              <w:t xml:space="preserve">que se pasan como desviación ya fueron aprobadas </w:t>
            </w:r>
            <w:r w:rsidR="00562B4A">
              <w:rPr>
                <w:rFonts w:eastAsia="Times New Roman" w:cs="Times New Roman"/>
                <w:color w:val="000000"/>
                <w:sz w:val="18"/>
                <w:szCs w:val="18"/>
                <w:lang w:eastAsia="es-CO"/>
              </w:rPr>
              <w:t>para otros años en resoluciones de aprobación de inversiones.</w:t>
            </w:r>
          </w:p>
          <w:p w14:paraId="7EC11247" w14:textId="3E39BBAD" w:rsidR="008A4562" w:rsidRPr="00122A2E" w:rsidRDefault="008A4562" w:rsidP="008A4562">
            <w:pPr>
              <w:jc w:val="both"/>
              <w:rPr>
                <w:rFonts w:eastAsia="Times New Roman" w:cs="Times New Roman"/>
                <w:color w:val="000000"/>
                <w:sz w:val="18"/>
                <w:szCs w:val="18"/>
                <w:lang w:eastAsia="es-CO"/>
              </w:rPr>
            </w:pPr>
            <w:r w:rsidRPr="00122A2E">
              <w:rPr>
                <w:rFonts w:eastAsia="Times New Roman" w:cs="Times New Roman"/>
                <w:color w:val="000000"/>
                <w:sz w:val="18"/>
                <w:szCs w:val="18"/>
                <w:lang w:eastAsia="es-CO"/>
              </w:rPr>
              <w:t xml:space="preserve">- En el caso de la UC de centro de control, esta fue aprobada por la CREG bajo el código N0P88, sin </w:t>
            </w:r>
            <w:r w:rsidR="00C56B63" w:rsidRPr="00122A2E">
              <w:rPr>
                <w:rFonts w:eastAsia="Times New Roman" w:cs="Times New Roman"/>
                <w:color w:val="000000"/>
                <w:sz w:val="18"/>
                <w:szCs w:val="18"/>
                <w:lang w:eastAsia="es-CO"/>
              </w:rPr>
              <w:t>embargo,</w:t>
            </w:r>
            <w:r w:rsidRPr="00122A2E">
              <w:rPr>
                <w:rFonts w:eastAsia="Times New Roman" w:cs="Times New Roman"/>
                <w:color w:val="000000"/>
                <w:sz w:val="18"/>
                <w:szCs w:val="18"/>
                <w:lang w:eastAsia="es-CO"/>
              </w:rPr>
              <w:t xml:space="preserve"> acorde con el literal w del numeral 14.1 de la resolución CREG 015/2018, solo se reconoce hasta el doble de la UC definida en la Tabla 21 de dicha resolución. Dado que en la Tabla 21 en mención se encuentra la UC N0P12 y esta se asimila a la N0P88, la cantidad ejecutada para la N0P88 se expresa como un porcentaje del valor de la N0P12, a fin de verificar que no sobrepase el doble del valor de la N0P12.</w:t>
            </w:r>
          </w:p>
          <w:p w14:paraId="5E426D58" w14:textId="77777777" w:rsidR="008A4562" w:rsidRPr="004878A9" w:rsidRDefault="008A4562" w:rsidP="008A4562">
            <w:pPr>
              <w:jc w:val="both"/>
              <w:rPr>
                <w:rFonts w:eastAsia="Times New Roman" w:cs="Times New Roman"/>
                <w:color w:val="000000"/>
                <w:sz w:val="18"/>
                <w:szCs w:val="18"/>
                <w:lang w:eastAsia="es-CO"/>
              </w:rPr>
            </w:pPr>
          </w:p>
          <w:p w14:paraId="61D5FC5A" w14:textId="77777777" w:rsidR="008A4562" w:rsidRPr="004878A9" w:rsidRDefault="008A4562" w:rsidP="008A4562">
            <w:pPr>
              <w:jc w:val="both"/>
              <w:rPr>
                <w:rFonts w:eastAsia="Times New Roman" w:cs="Times New Roman"/>
                <w:b w:val="0"/>
                <w:bCs w:val="0"/>
                <w:color w:val="000000"/>
                <w:sz w:val="18"/>
                <w:szCs w:val="18"/>
                <w:lang w:eastAsia="es-CO"/>
              </w:rPr>
            </w:pPr>
          </w:p>
        </w:tc>
      </w:tr>
    </w:tbl>
    <w:p w14:paraId="377A140D" w14:textId="07FA7AD3" w:rsidR="002757A6" w:rsidRPr="002946A9" w:rsidRDefault="002757A6" w:rsidP="00731A4E">
      <w:pPr>
        <w:jc w:val="both"/>
        <w:rPr>
          <w:rFonts w:ascii="Trebuchet MS" w:hAnsi="Trebuchet MS"/>
          <w:szCs w:val="24"/>
        </w:rPr>
      </w:pPr>
    </w:p>
    <w:p w14:paraId="50CDD95C" w14:textId="4D0595EA" w:rsidR="002757A6" w:rsidRPr="002946A9" w:rsidRDefault="002757A6" w:rsidP="00DF29CB">
      <w:pPr>
        <w:numPr>
          <w:ilvl w:val="2"/>
          <w:numId w:val="2"/>
        </w:numPr>
        <w:jc w:val="both"/>
        <w:outlineLvl w:val="2"/>
        <w:rPr>
          <w:rFonts w:ascii="Trebuchet MS" w:hAnsi="Trebuchet MS"/>
          <w:b/>
          <w:bCs/>
          <w:szCs w:val="24"/>
        </w:rPr>
      </w:pPr>
      <w:bookmarkStart w:id="203" w:name="_Toc131109364"/>
      <w:r w:rsidRPr="002946A9">
        <w:rPr>
          <w:rFonts w:ascii="Trebuchet MS" w:hAnsi="Trebuchet MS"/>
          <w:b/>
          <w:bCs/>
          <w:szCs w:val="24"/>
        </w:rPr>
        <w:t xml:space="preserve">Inversiones </w:t>
      </w:r>
      <w:r w:rsidR="0024627A" w:rsidRPr="002946A9">
        <w:rPr>
          <w:rFonts w:ascii="Trebuchet MS" w:hAnsi="Trebuchet MS"/>
          <w:b/>
          <w:bCs/>
          <w:szCs w:val="24"/>
        </w:rPr>
        <w:t>en componentes socioambientales y de servidumbre asociadas a los</w:t>
      </w:r>
      <w:r w:rsidRPr="002946A9">
        <w:rPr>
          <w:rFonts w:ascii="Trebuchet MS" w:hAnsi="Trebuchet MS"/>
          <w:b/>
          <w:bCs/>
          <w:szCs w:val="24"/>
        </w:rPr>
        <w:t xml:space="preserve"> proyecto</w:t>
      </w:r>
      <w:r w:rsidR="0024627A" w:rsidRPr="002946A9">
        <w:rPr>
          <w:rFonts w:ascii="Trebuchet MS" w:hAnsi="Trebuchet MS"/>
          <w:b/>
          <w:bCs/>
          <w:szCs w:val="24"/>
        </w:rPr>
        <w:t>s</w:t>
      </w:r>
      <w:bookmarkEnd w:id="203"/>
    </w:p>
    <w:p w14:paraId="04188CB8" w14:textId="059649D9" w:rsidR="002757A6" w:rsidRPr="002946A9" w:rsidRDefault="0098268F" w:rsidP="00DF29CB">
      <w:pPr>
        <w:ind w:left="360"/>
        <w:jc w:val="both"/>
        <w:rPr>
          <w:rFonts w:ascii="Trebuchet MS" w:hAnsi="Trebuchet MS"/>
          <w:szCs w:val="24"/>
        </w:rPr>
      </w:pPr>
      <w:r w:rsidRPr="002946A9">
        <w:rPr>
          <w:rFonts w:ascii="Trebuchet MS" w:hAnsi="Trebuchet MS"/>
          <w:szCs w:val="24"/>
        </w:rPr>
        <w:t xml:space="preserve">Para algunos de los proyectos desarrollados en el año </w:t>
      </w:r>
      <w:r w:rsidR="009C1126" w:rsidRPr="002946A9">
        <w:rPr>
          <w:rFonts w:ascii="Trebuchet MS" w:hAnsi="Trebuchet MS"/>
          <w:szCs w:val="24"/>
        </w:rPr>
        <w:t>202</w:t>
      </w:r>
      <w:r w:rsidR="009C1126">
        <w:rPr>
          <w:rFonts w:ascii="Trebuchet MS" w:hAnsi="Trebuchet MS"/>
          <w:szCs w:val="24"/>
        </w:rPr>
        <w:t>2</w:t>
      </w:r>
      <w:r w:rsidRPr="002946A9">
        <w:rPr>
          <w:rFonts w:ascii="Trebuchet MS" w:hAnsi="Trebuchet MS"/>
          <w:szCs w:val="24"/>
        </w:rPr>
        <w:t xml:space="preserve">, </w:t>
      </w:r>
      <w:r w:rsidR="00275A1F" w:rsidRPr="002946A9">
        <w:rPr>
          <w:rFonts w:ascii="Trebuchet MS" w:hAnsi="Trebuchet MS"/>
          <w:szCs w:val="24"/>
        </w:rPr>
        <w:t xml:space="preserve">se </w:t>
      </w:r>
      <w:r w:rsidRPr="002946A9">
        <w:rPr>
          <w:rFonts w:ascii="Trebuchet MS" w:hAnsi="Trebuchet MS"/>
          <w:szCs w:val="24"/>
        </w:rPr>
        <w:t xml:space="preserve">debió incurrir en costos </w:t>
      </w:r>
      <w:r w:rsidR="00751D84" w:rsidRPr="002946A9">
        <w:rPr>
          <w:rFonts w:ascii="Trebuchet MS" w:hAnsi="Trebuchet MS"/>
          <w:szCs w:val="24"/>
        </w:rPr>
        <w:t>socioambientales</w:t>
      </w:r>
      <w:r w:rsidR="0028072C" w:rsidRPr="002946A9">
        <w:rPr>
          <w:rFonts w:ascii="Trebuchet MS" w:hAnsi="Trebuchet MS"/>
          <w:szCs w:val="24"/>
        </w:rPr>
        <w:t xml:space="preserve"> y de servidumbres</w:t>
      </w:r>
      <w:r w:rsidRPr="002946A9">
        <w:rPr>
          <w:rFonts w:ascii="Trebuchet MS" w:hAnsi="Trebuchet MS"/>
          <w:szCs w:val="24"/>
        </w:rPr>
        <w:t xml:space="preserve">, los cuales no son remunerados mediante unidades constructivas de la Resolución CREG 015 del 2018, sino mediante el reporte de los valores ejecutados, según el párrafo 2 del capítulo 14 de la resolución en mención. Para el año </w:t>
      </w:r>
      <w:r w:rsidR="009C1126" w:rsidRPr="002946A9">
        <w:rPr>
          <w:rFonts w:ascii="Trebuchet MS" w:hAnsi="Trebuchet MS"/>
          <w:szCs w:val="24"/>
        </w:rPr>
        <w:t>202</w:t>
      </w:r>
      <w:r w:rsidR="009C1126">
        <w:rPr>
          <w:rFonts w:ascii="Trebuchet MS" w:hAnsi="Trebuchet MS"/>
          <w:szCs w:val="24"/>
        </w:rPr>
        <w:t>2</w:t>
      </w:r>
      <w:r w:rsidR="009C1126" w:rsidRPr="002946A9">
        <w:rPr>
          <w:rFonts w:ascii="Trebuchet MS" w:hAnsi="Trebuchet MS"/>
          <w:szCs w:val="24"/>
        </w:rPr>
        <w:t xml:space="preserve"> </w:t>
      </w:r>
      <w:r w:rsidRPr="002946A9">
        <w:rPr>
          <w:rFonts w:ascii="Trebuchet MS" w:hAnsi="Trebuchet MS"/>
          <w:szCs w:val="24"/>
        </w:rPr>
        <w:t>el resumen de estos costos se presenta en la</w:t>
      </w:r>
      <w:r w:rsidR="00C13C37" w:rsidRPr="002946A9">
        <w:rPr>
          <w:rFonts w:ascii="Trebuchet MS" w:hAnsi="Trebuchet MS"/>
          <w:szCs w:val="24"/>
        </w:rPr>
        <w:t xml:space="preserve"> </w:t>
      </w:r>
      <w:r w:rsidR="00C13C37" w:rsidRPr="002946A9">
        <w:rPr>
          <w:rFonts w:ascii="Trebuchet MS" w:hAnsi="Trebuchet MS"/>
          <w:szCs w:val="24"/>
        </w:rPr>
        <w:fldChar w:fldCharType="begin"/>
      </w:r>
      <w:r w:rsidR="00C13C37" w:rsidRPr="002946A9">
        <w:rPr>
          <w:rFonts w:ascii="Trebuchet MS" w:hAnsi="Trebuchet MS"/>
          <w:szCs w:val="24"/>
        </w:rPr>
        <w:instrText xml:space="preserve"> REF _Ref67486607 \h </w:instrText>
      </w:r>
      <w:r w:rsidR="00DF29CB" w:rsidRPr="002946A9">
        <w:rPr>
          <w:rFonts w:ascii="Trebuchet MS" w:hAnsi="Trebuchet MS"/>
          <w:szCs w:val="24"/>
        </w:rPr>
        <w:instrText xml:space="preserve"> \* MERGEFORMAT </w:instrText>
      </w:r>
      <w:r w:rsidR="00C13C37" w:rsidRPr="002946A9">
        <w:rPr>
          <w:rFonts w:ascii="Trebuchet MS" w:hAnsi="Trebuchet MS"/>
          <w:szCs w:val="24"/>
        </w:rPr>
      </w:r>
      <w:r w:rsidR="00C13C37" w:rsidRPr="002946A9">
        <w:rPr>
          <w:rFonts w:ascii="Trebuchet MS" w:hAnsi="Trebuchet MS"/>
          <w:szCs w:val="24"/>
        </w:rPr>
        <w:fldChar w:fldCharType="separate"/>
      </w:r>
      <w:r w:rsidR="00C944CB" w:rsidRPr="009C1126">
        <w:rPr>
          <w:rFonts w:ascii="Trebuchet MS" w:hAnsi="Trebuchet MS"/>
        </w:rPr>
        <w:t xml:space="preserve">Tabla </w:t>
      </w:r>
      <w:r w:rsidR="00C944CB">
        <w:rPr>
          <w:rFonts w:ascii="Trebuchet MS" w:hAnsi="Trebuchet MS"/>
          <w:noProof/>
        </w:rPr>
        <w:t>3</w:t>
      </w:r>
      <w:r w:rsidR="00C944CB" w:rsidRPr="009C1126">
        <w:rPr>
          <w:rFonts w:ascii="Trebuchet MS" w:hAnsi="Trebuchet MS"/>
          <w:noProof/>
        </w:rPr>
        <w:t>.</w:t>
      </w:r>
      <w:r w:rsidR="00C944CB">
        <w:rPr>
          <w:rFonts w:ascii="Trebuchet MS" w:hAnsi="Trebuchet MS"/>
          <w:noProof/>
        </w:rPr>
        <w:t>8</w:t>
      </w:r>
      <w:r w:rsidR="00C13C37" w:rsidRPr="002946A9">
        <w:rPr>
          <w:rFonts w:ascii="Trebuchet MS" w:hAnsi="Trebuchet MS"/>
          <w:szCs w:val="24"/>
        </w:rPr>
        <w:fldChar w:fldCharType="end"/>
      </w:r>
      <w:r w:rsidR="00C13C37" w:rsidRPr="002946A9">
        <w:rPr>
          <w:rFonts w:ascii="Trebuchet MS" w:hAnsi="Trebuchet MS"/>
          <w:szCs w:val="24"/>
        </w:rPr>
        <w:t>.</w:t>
      </w:r>
      <w:r w:rsidR="000B631F" w:rsidRPr="002946A9">
        <w:rPr>
          <w:rFonts w:ascii="Trebuchet MS" w:hAnsi="Trebuchet MS"/>
          <w:szCs w:val="24"/>
        </w:rPr>
        <w:t xml:space="preserve"> </w:t>
      </w:r>
    </w:p>
    <w:p w14:paraId="52A29AF3" w14:textId="7E87FF59" w:rsidR="002553ED" w:rsidRDefault="002553ED" w:rsidP="00AF5A0A">
      <w:pPr>
        <w:spacing w:after="0"/>
        <w:ind w:left="360"/>
        <w:jc w:val="both"/>
        <w:rPr>
          <w:rFonts w:ascii="Trebuchet MS" w:hAnsi="Trebuchet MS"/>
          <w:szCs w:val="24"/>
        </w:rPr>
      </w:pPr>
    </w:p>
    <w:p w14:paraId="2B6DFE82" w14:textId="77777777" w:rsidR="00731A4E" w:rsidRDefault="00731A4E" w:rsidP="00AF5A0A">
      <w:pPr>
        <w:spacing w:after="0"/>
        <w:ind w:left="360"/>
        <w:jc w:val="both"/>
        <w:rPr>
          <w:rFonts w:ascii="Trebuchet MS" w:hAnsi="Trebuchet MS"/>
          <w:szCs w:val="24"/>
        </w:rPr>
      </w:pPr>
    </w:p>
    <w:p w14:paraId="2E3D5E58" w14:textId="77777777" w:rsidR="00731A4E" w:rsidRDefault="00731A4E" w:rsidP="00AF5A0A">
      <w:pPr>
        <w:spacing w:after="0"/>
        <w:ind w:left="360"/>
        <w:jc w:val="both"/>
        <w:rPr>
          <w:rFonts w:ascii="Trebuchet MS" w:hAnsi="Trebuchet MS"/>
          <w:szCs w:val="24"/>
        </w:rPr>
      </w:pPr>
    </w:p>
    <w:p w14:paraId="6431E6A4" w14:textId="77777777" w:rsidR="00731A4E" w:rsidRDefault="00731A4E" w:rsidP="00AF5A0A">
      <w:pPr>
        <w:spacing w:after="0"/>
        <w:ind w:left="360"/>
        <w:jc w:val="both"/>
        <w:rPr>
          <w:rFonts w:ascii="Trebuchet MS" w:hAnsi="Trebuchet MS"/>
          <w:szCs w:val="24"/>
        </w:rPr>
      </w:pPr>
    </w:p>
    <w:p w14:paraId="14386613" w14:textId="77777777" w:rsidR="00731A4E" w:rsidRPr="002946A9" w:rsidRDefault="00731A4E" w:rsidP="00AF5A0A">
      <w:pPr>
        <w:spacing w:after="0"/>
        <w:ind w:left="360"/>
        <w:jc w:val="both"/>
        <w:rPr>
          <w:rFonts w:ascii="Trebuchet MS" w:hAnsi="Trebuchet MS"/>
          <w:szCs w:val="24"/>
        </w:rPr>
      </w:pPr>
    </w:p>
    <w:p w14:paraId="01458981" w14:textId="0A8572C8" w:rsidR="00E82D56" w:rsidRPr="00731A4E" w:rsidRDefault="000B631F" w:rsidP="00731A4E">
      <w:pPr>
        <w:ind w:left="1416" w:hanging="1056"/>
        <w:jc w:val="both"/>
        <w:rPr>
          <w:rFonts w:ascii="Trebuchet MS" w:hAnsi="Trebuchet MS"/>
        </w:rPr>
      </w:pPr>
      <w:bookmarkStart w:id="204" w:name="_Ref67486607"/>
      <w:bookmarkStart w:id="205" w:name="_Toc131032798"/>
      <w:r w:rsidRPr="009C1126">
        <w:rPr>
          <w:rFonts w:ascii="Trebuchet MS" w:hAnsi="Trebuchet MS"/>
        </w:rPr>
        <w:t xml:space="preserve">Tabla </w:t>
      </w:r>
      <w:r w:rsidRPr="009C1126">
        <w:rPr>
          <w:rFonts w:ascii="Trebuchet MS" w:hAnsi="Trebuchet MS"/>
        </w:rPr>
        <w:fldChar w:fldCharType="begin"/>
      </w:r>
      <w:r w:rsidRPr="009C1126">
        <w:rPr>
          <w:rFonts w:ascii="Trebuchet MS" w:hAnsi="Trebuchet MS"/>
        </w:rPr>
        <w:instrText xml:space="preserve"> STYLEREF 1 \s </w:instrText>
      </w:r>
      <w:r w:rsidRPr="009C1126">
        <w:rPr>
          <w:rFonts w:ascii="Trebuchet MS" w:hAnsi="Trebuchet MS"/>
        </w:rPr>
        <w:fldChar w:fldCharType="separate"/>
      </w:r>
      <w:r w:rsidR="00C944CB">
        <w:rPr>
          <w:rFonts w:ascii="Trebuchet MS" w:hAnsi="Trebuchet MS"/>
          <w:noProof/>
        </w:rPr>
        <w:t>3</w:t>
      </w:r>
      <w:r w:rsidRPr="009C1126">
        <w:rPr>
          <w:rFonts w:ascii="Trebuchet MS" w:hAnsi="Trebuchet MS"/>
        </w:rPr>
        <w:fldChar w:fldCharType="end"/>
      </w:r>
      <w:r w:rsidRPr="009C1126">
        <w:rPr>
          <w:rFonts w:ascii="Trebuchet MS" w:hAnsi="Trebuchet MS"/>
        </w:rPr>
        <w:t>.</w:t>
      </w:r>
      <w:r w:rsidRPr="009C1126">
        <w:rPr>
          <w:rFonts w:ascii="Trebuchet MS" w:hAnsi="Trebuchet MS"/>
        </w:rPr>
        <w:fldChar w:fldCharType="begin"/>
      </w:r>
      <w:r w:rsidRPr="009C1126">
        <w:rPr>
          <w:rFonts w:ascii="Trebuchet MS" w:hAnsi="Trebuchet MS"/>
        </w:rPr>
        <w:instrText xml:space="preserve"> SEQ Tabla \* ARABIC \s 1 </w:instrText>
      </w:r>
      <w:r w:rsidRPr="009C1126">
        <w:rPr>
          <w:rFonts w:ascii="Trebuchet MS" w:hAnsi="Trebuchet MS"/>
        </w:rPr>
        <w:fldChar w:fldCharType="separate"/>
      </w:r>
      <w:r w:rsidR="00C944CB">
        <w:rPr>
          <w:rFonts w:ascii="Trebuchet MS" w:hAnsi="Trebuchet MS"/>
          <w:noProof/>
        </w:rPr>
        <w:t>8</w:t>
      </w:r>
      <w:r w:rsidRPr="009C1126">
        <w:rPr>
          <w:rFonts w:ascii="Trebuchet MS" w:hAnsi="Trebuchet MS"/>
        </w:rPr>
        <w:fldChar w:fldCharType="end"/>
      </w:r>
      <w:bookmarkEnd w:id="204"/>
      <w:r w:rsidRPr="009C1126">
        <w:rPr>
          <w:rFonts w:ascii="Trebuchet MS" w:hAnsi="Trebuchet MS"/>
        </w:rPr>
        <w:t xml:space="preserve">  </w:t>
      </w:r>
      <w:r w:rsidR="000261C1" w:rsidRPr="009C1126">
        <w:rPr>
          <w:rFonts w:ascii="Trebuchet MS" w:hAnsi="Trebuchet MS"/>
        </w:rPr>
        <w:t xml:space="preserve">Costos socioambientales </w:t>
      </w:r>
      <w:r w:rsidR="00081059" w:rsidRPr="009C1126">
        <w:rPr>
          <w:rFonts w:ascii="Trebuchet MS" w:hAnsi="Trebuchet MS"/>
        </w:rPr>
        <w:t xml:space="preserve">y de servidumbre </w:t>
      </w:r>
      <w:r w:rsidR="002E1D2D" w:rsidRPr="009C1126">
        <w:rPr>
          <w:rFonts w:ascii="Trebuchet MS" w:hAnsi="Trebuchet MS"/>
        </w:rPr>
        <w:t xml:space="preserve">ejecutados en proyectos de inversión año </w:t>
      </w:r>
      <w:r w:rsidR="009C1126" w:rsidRPr="009C1126">
        <w:rPr>
          <w:rFonts w:ascii="Trebuchet MS" w:hAnsi="Trebuchet MS"/>
        </w:rPr>
        <w:t>202</w:t>
      </w:r>
      <w:r w:rsidR="009C1126">
        <w:rPr>
          <w:rFonts w:ascii="Trebuchet MS" w:hAnsi="Trebuchet MS"/>
        </w:rPr>
        <w:t>2</w:t>
      </w:r>
      <w:r w:rsidRPr="009C1126">
        <w:rPr>
          <w:rFonts w:ascii="Trebuchet MS" w:hAnsi="Trebuchet MS"/>
        </w:rPr>
        <w:t>.</w:t>
      </w:r>
      <w:bookmarkEnd w:id="205"/>
    </w:p>
    <w:tbl>
      <w:tblPr>
        <w:tblW w:w="8876" w:type="dxa"/>
        <w:tblCellMar>
          <w:left w:w="70" w:type="dxa"/>
          <w:right w:w="70" w:type="dxa"/>
        </w:tblCellMar>
        <w:tblLook w:val="04A0" w:firstRow="1" w:lastRow="0" w:firstColumn="1" w:lastColumn="0" w:noHBand="0" w:noVBand="1"/>
      </w:tblPr>
      <w:tblGrid>
        <w:gridCol w:w="1730"/>
        <w:gridCol w:w="2222"/>
        <w:gridCol w:w="1039"/>
        <w:gridCol w:w="812"/>
        <w:gridCol w:w="795"/>
        <w:gridCol w:w="821"/>
        <w:gridCol w:w="611"/>
        <w:gridCol w:w="846"/>
      </w:tblGrid>
      <w:tr w:rsidR="00812322" w:rsidRPr="00812322" w14:paraId="2D30B586" w14:textId="77777777" w:rsidTr="00EF3F98">
        <w:trPr>
          <w:trHeight w:val="273"/>
        </w:trPr>
        <w:tc>
          <w:tcPr>
            <w:tcW w:w="1730"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38641EF1"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Cód. Proyecto</w:t>
            </w:r>
          </w:p>
        </w:tc>
        <w:tc>
          <w:tcPr>
            <w:tcW w:w="2222"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7403C868"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Nombre del Proyecto</w:t>
            </w:r>
          </w:p>
        </w:tc>
        <w:tc>
          <w:tcPr>
            <w:tcW w:w="1039" w:type="dxa"/>
            <w:vMerge w:val="restart"/>
            <w:tcBorders>
              <w:top w:val="single" w:sz="8" w:space="0" w:color="FFFFFF"/>
              <w:left w:val="single" w:sz="8" w:space="0" w:color="FFFFFF"/>
              <w:bottom w:val="single" w:sz="8" w:space="0" w:color="FFFFFF"/>
              <w:right w:val="single" w:sz="8" w:space="0" w:color="FFFFFF"/>
            </w:tcBorders>
            <w:shd w:val="clear" w:color="000000" w:fill="BFE2A8"/>
            <w:vAlign w:val="center"/>
            <w:hideMark/>
          </w:tcPr>
          <w:p w14:paraId="502C3B36"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Concepto</w:t>
            </w:r>
          </w:p>
        </w:tc>
        <w:tc>
          <w:tcPr>
            <w:tcW w:w="3885" w:type="dxa"/>
            <w:gridSpan w:val="5"/>
            <w:tcBorders>
              <w:top w:val="single" w:sz="8" w:space="0" w:color="FFFFFF"/>
              <w:left w:val="nil"/>
              <w:bottom w:val="single" w:sz="8" w:space="0" w:color="FFFFFF"/>
              <w:right w:val="single" w:sz="8" w:space="0" w:color="FFFFFF"/>
            </w:tcBorders>
            <w:shd w:val="clear" w:color="000000" w:fill="BFE2A8"/>
            <w:vAlign w:val="center"/>
            <w:hideMark/>
          </w:tcPr>
          <w:p w14:paraId="4BE86327"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Valor por nivel de tensión [mill $ - dic 2017]*</w:t>
            </w:r>
          </w:p>
        </w:tc>
      </w:tr>
      <w:tr w:rsidR="00EF3F98" w:rsidRPr="00812322" w14:paraId="7E326E0B" w14:textId="77777777" w:rsidTr="00EF3F98">
        <w:trPr>
          <w:trHeight w:val="273"/>
        </w:trPr>
        <w:tc>
          <w:tcPr>
            <w:tcW w:w="1730" w:type="dxa"/>
            <w:vMerge/>
            <w:tcBorders>
              <w:top w:val="single" w:sz="8" w:space="0" w:color="FFFFFF"/>
              <w:left w:val="single" w:sz="8" w:space="0" w:color="FFFFFF"/>
              <w:bottom w:val="single" w:sz="8" w:space="0" w:color="FFFFFF"/>
              <w:right w:val="single" w:sz="8" w:space="0" w:color="FFFFFF"/>
            </w:tcBorders>
            <w:vAlign w:val="center"/>
            <w:hideMark/>
          </w:tcPr>
          <w:p w14:paraId="40B08DCD"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p>
        </w:tc>
        <w:tc>
          <w:tcPr>
            <w:tcW w:w="2222" w:type="dxa"/>
            <w:vMerge/>
            <w:tcBorders>
              <w:top w:val="single" w:sz="8" w:space="0" w:color="FFFFFF"/>
              <w:left w:val="single" w:sz="8" w:space="0" w:color="FFFFFF"/>
              <w:bottom w:val="single" w:sz="8" w:space="0" w:color="FFFFFF"/>
              <w:right w:val="single" w:sz="8" w:space="0" w:color="FFFFFF"/>
            </w:tcBorders>
            <w:vAlign w:val="center"/>
            <w:hideMark/>
          </w:tcPr>
          <w:p w14:paraId="503CCD2F"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p>
        </w:tc>
        <w:tc>
          <w:tcPr>
            <w:tcW w:w="1039" w:type="dxa"/>
            <w:vMerge/>
            <w:tcBorders>
              <w:top w:val="single" w:sz="8" w:space="0" w:color="FFFFFF"/>
              <w:left w:val="single" w:sz="8" w:space="0" w:color="FFFFFF"/>
              <w:bottom w:val="single" w:sz="8" w:space="0" w:color="FFFFFF"/>
              <w:right w:val="single" w:sz="8" w:space="0" w:color="FFFFFF"/>
            </w:tcBorders>
            <w:vAlign w:val="center"/>
            <w:hideMark/>
          </w:tcPr>
          <w:p w14:paraId="47986A80"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p>
        </w:tc>
        <w:tc>
          <w:tcPr>
            <w:tcW w:w="812" w:type="dxa"/>
            <w:tcBorders>
              <w:top w:val="nil"/>
              <w:left w:val="nil"/>
              <w:bottom w:val="single" w:sz="8" w:space="0" w:color="FFFFFF"/>
              <w:right w:val="single" w:sz="8" w:space="0" w:color="FFFFFF"/>
            </w:tcBorders>
            <w:shd w:val="clear" w:color="000000" w:fill="BFE2A8"/>
            <w:vAlign w:val="center"/>
            <w:hideMark/>
          </w:tcPr>
          <w:p w14:paraId="3D3A95F4"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N4</w:t>
            </w:r>
          </w:p>
        </w:tc>
        <w:tc>
          <w:tcPr>
            <w:tcW w:w="795" w:type="dxa"/>
            <w:tcBorders>
              <w:top w:val="nil"/>
              <w:left w:val="nil"/>
              <w:bottom w:val="single" w:sz="8" w:space="0" w:color="FFFFFF"/>
              <w:right w:val="single" w:sz="8" w:space="0" w:color="FFFFFF"/>
            </w:tcBorders>
            <w:shd w:val="clear" w:color="000000" w:fill="BFE2A8"/>
            <w:vAlign w:val="center"/>
            <w:hideMark/>
          </w:tcPr>
          <w:p w14:paraId="0B97893C"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N3</w:t>
            </w:r>
          </w:p>
        </w:tc>
        <w:tc>
          <w:tcPr>
            <w:tcW w:w="821" w:type="dxa"/>
            <w:tcBorders>
              <w:top w:val="nil"/>
              <w:left w:val="nil"/>
              <w:bottom w:val="single" w:sz="8" w:space="0" w:color="FFFFFF"/>
              <w:right w:val="single" w:sz="8" w:space="0" w:color="FFFFFF"/>
            </w:tcBorders>
            <w:shd w:val="clear" w:color="000000" w:fill="BFE2A8"/>
            <w:vAlign w:val="center"/>
            <w:hideMark/>
          </w:tcPr>
          <w:p w14:paraId="4F78833C"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N2</w:t>
            </w:r>
          </w:p>
        </w:tc>
        <w:tc>
          <w:tcPr>
            <w:tcW w:w="611" w:type="dxa"/>
            <w:tcBorders>
              <w:top w:val="nil"/>
              <w:left w:val="nil"/>
              <w:bottom w:val="single" w:sz="8" w:space="0" w:color="FFFFFF"/>
              <w:right w:val="single" w:sz="8" w:space="0" w:color="FFFFFF"/>
            </w:tcBorders>
            <w:shd w:val="clear" w:color="000000" w:fill="BFE2A8"/>
            <w:vAlign w:val="center"/>
            <w:hideMark/>
          </w:tcPr>
          <w:p w14:paraId="5D4F76BA"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N1</w:t>
            </w:r>
          </w:p>
        </w:tc>
        <w:tc>
          <w:tcPr>
            <w:tcW w:w="846" w:type="dxa"/>
            <w:tcBorders>
              <w:top w:val="nil"/>
              <w:left w:val="nil"/>
              <w:bottom w:val="single" w:sz="8" w:space="0" w:color="FFFFFF"/>
              <w:right w:val="single" w:sz="8" w:space="0" w:color="FFFFFF"/>
            </w:tcBorders>
            <w:shd w:val="clear" w:color="000000" w:fill="BFE2A8"/>
            <w:vAlign w:val="center"/>
            <w:hideMark/>
          </w:tcPr>
          <w:p w14:paraId="4C8AA6EB"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TOTAL</w:t>
            </w:r>
          </w:p>
        </w:tc>
      </w:tr>
      <w:tr w:rsidR="00EF3F98" w:rsidRPr="00812322" w14:paraId="3A8C0B3C" w14:textId="77777777" w:rsidTr="00EF3F98">
        <w:trPr>
          <w:trHeight w:val="273"/>
        </w:trPr>
        <w:tc>
          <w:tcPr>
            <w:tcW w:w="1730"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6FB492AE"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PEI0101TYDCE</w:t>
            </w:r>
          </w:p>
        </w:tc>
        <w:tc>
          <w:tcPr>
            <w:tcW w:w="2222"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7D6C129F"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Nueva subestación Santa Rosa 110 kV</w:t>
            </w:r>
          </w:p>
        </w:tc>
        <w:tc>
          <w:tcPr>
            <w:tcW w:w="1039" w:type="dxa"/>
            <w:tcBorders>
              <w:top w:val="nil"/>
              <w:left w:val="nil"/>
              <w:bottom w:val="single" w:sz="8" w:space="0" w:color="FFFFFF"/>
              <w:right w:val="single" w:sz="8" w:space="0" w:color="FFFFFF"/>
            </w:tcBorders>
            <w:shd w:val="clear" w:color="000000" w:fill="EAF4D7"/>
            <w:vAlign w:val="center"/>
            <w:hideMark/>
          </w:tcPr>
          <w:p w14:paraId="36134FE1" w14:textId="77777777" w:rsidR="00812322" w:rsidRPr="00812322" w:rsidRDefault="00812322" w:rsidP="00812322">
            <w:pPr>
              <w:spacing w:after="0" w:line="240" w:lineRule="auto"/>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Costo Ambiental</w:t>
            </w:r>
          </w:p>
        </w:tc>
        <w:tc>
          <w:tcPr>
            <w:tcW w:w="812" w:type="dxa"/>
            <w:tcBorders>
              <w:top w:val="nil"/>
              <w:left w:val="nil"/>
              <w:bottom w:val="single" w:sz="8" w:space="0" w:color="FFFFFF"/>
              <w:right w:val="single" w:sz="8" w:space="0" w:color="FFFFFF"/>
            </w:tcBorders>
            <w:shd w:val="clear" w:color="000000" w:fill="EAF4D7"/>
            <w:vAlign w:val="center"/>
            <w:hideMark/>
          </w:tcPr>
          <w:p w14:paraId="1DEC36CB"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192.64</w:t>
            </w:r>
          </w:p>
        </w:tc>
        <w:tc>
          <w:tcPr>
            <w:tcW w:w="795" w:type="dxa"/>
            <w:tcBorders>
              <w:top w:val="nil"/>
              <w:left w:val="nil"/>
              <w:bottom w:val="single" w:sz="8" w:space="0" w:color="FFFFFF"/>
              <w:right w:val="single" w:sz="8" w:space="0" w:color="FFFFFF"/>
            </w:tcBorders>
            <w:shd w:val="clear" w:color="000000" w:fill="EAF4D7"/>
            <w:vAlign w:val="center"/>
            <w:hideMark/>
          </w:tcPr>
          <w:p w14:paraId="09FECB3D"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51.17</w:t>
            </w:r>
          </w:p>
        </w:tc>
        <w:tc>
          <w:tcPr>
            <w:tcW w:w="821" w:type="dxa"/>
            <w:tcBorders>
              <w:top w:val="nil"/>
              <w:left w:val="nil"/>
              <w:bottom w:val="single" w:sz="8" w:space="0" w:color="FFFFFF"/>
              <w:right w:val="single" w:sz="8" w:space="0" w:color="FFFFFF"/>
            </w:tcBorders>
            <w:shd w:val="clear" w:color="000000" w:fill="EAF4D7"/>
            <w:vAlign w:val="center"/>
            <w:hideMark/>
          </w:tcPr>
          <w:p w14:paraId="0EC78D33"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57.19</w:t>
            </w:r>
          </w:p>
        </w:tc>
        <w:tc>
          <w:tcPr>
            <w:tcW w:w="611" w:type="dxa"/>
            <w:tcBorders>
              <w:top w:val="nil"/>
              <w:left w:val="nil"/>
              <w:bottom w:val="single" w:sz="8" w:space="0" w:color="FFFFFF"/>
              <w:right w:val="single" w:sz="8" w:space="0" w:color="FFFFFF"/>
            </w:tcBorders>
            <w:shd w:val="clear" w:color="000000" w:fill="EAF4D7"/>
            <w:vAlign w:val="center"/>
            <w:hideMark/>
          </w:tcPr>
          <w:p w14:paraId="18808D2F"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46" w:type="dxa"/>
            <w:tcBorders>
              <w:top w:val="nil"/>
              <w:left w:val="nil"/>
              <w:bottom w:val="single" w:sz="8" w:space="0" w:color="FFFFFF"/>
              <w:right w:val="single" w:sz="8" w:space="0" w:color="FFFFFF"/>
            </w:tcBorders>
            <w:shd w:val="clear" w:color="000000" w:fill="EAF4D7"/>
            <w:vAlign w:val="center"/>
            <w:hideMark/>
          </w:tcPr>
          <w:p w14:paraId="16B50BA2"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301.00</w:t>
            </w:r>
          </w:p>
        </w:tc>
      </w:tr>
      <w:tr w:rsidR="00EF3F98" w:rsidRPr="00812322" w14:paraId="4453B82F" w14:textId="77777777" w:rsidTr="00EF3F98">
        <w:trPr>
          <w:trHeight w:val="273"/>
        </w:trPr>
        <w:tc>
          <w:tcPr>
            <w:tcW w:w="1730" w:type="dxa"/>
            <w:vMerge/>
            <w:tcBorders>
              <w:top w:val="nil"/>
              <w:left w:val="single" w:sz="8" w:space="0" w:color="FFFFFF"/>
              <w:bottom w:val="single" w:sz="8" w:space="0" w:color="FFFFFF"/>
              <w:right w:val="single" w:sz="8" w:space="0" w:color="FFFFFF"/>
            </w:tcBorders>
            <w:vAlign w:val="center"/>
            <w:hideMark/>
          </w:tcPr>
          <w:p w14:paraId="2997DE48"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p>
        </w:tc>
        <w:tc>
          <w:tcPr>
            <w:tcW w:w="2222" w:type="dxa"/>
            <w:vMerge/>
            <w:tcBorders>
              <w:top w:val="nil"/>
              <w:left w:val="single" w:sz="8" w:space="0" w:color="FFFFFF"/>
              <w:bottom w:val="single" w:sz="8" w:space="0" w:color="FFFFFF"/>
              <w:right w:val="single" w:sz="8" w:space="0" w:color="FFFFFF"/>
            </w:tcBorders>
            <w:vAlign w:val="center"/>
            <w:hideMark/>
          </w:tcPr>
          <w:p w14:paraId="42372FB2"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p>
        </w:tc>
        <w:tc>
          <w:tcPr>
            <w:tcW w:w="1039" w:type="dxa"/>
            <w:tcBorders>
              <w:top w:val="nil"/>
              <w:left w:val="nil"/>
              <w:bottom w:val="single" w:sz="8" w:space="0" w:color="FFFFFF"/>
              <w:right w:val="single" w:sz="8" w:space="0" w:color="FFFFFF"/>
            </w:tcBorders>
            <w:shd w:val="clear" w:color="000000" w:fill="D6EAAF"/>
            <w:vAlign w:val="center"/>
            <w:hideMark/>
          </w:tcPr>
          <w:p w14:paraId="5A2D9AB3" w14:textId="77777777" w:rsidR="00812322" w:rsidRPr="00812322" w:rsidRDefault="00812322" w:rsidP="00812322">
            <w:pPr>
              <w:spacing w:after="0" w:line="240" w:lineRule="auto"/>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Costo Servidumbre</w:t>
            </w:r>
          </w:p>
        </w:tc>
        <w:tc>
          <w:tcPr>
            <w:tcW w:w="812" w:type="dxa"/>
            <w:tcBorders>
              <w:top w:val="nil"/>
              <w:left w:val="nil"/>
              <w:bottom w:val="single" w:sz="8" w:space="0" w:color="FFFFFF"/>
              <w:right w:val="single" w:sz="8" w:space="0" w:color="FFFFFF"/>
            </w:tcBorders>
            <w:shd w:val="clear" w:color="000000" w:fill="D6EAAF"/>
            <w:vAlign w:val="center"/>
            <w:hideMark/>
          </w:tcPr>
          <w:p w14:paraId="2294B978"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65.67</w:t>
            </w:r>
          </w:p>
        </w:tc>
        <w:tc>
          <w:tcPr>
            <w:tcW w:w="795" w:type="dxa"/>
            <w:tcBorders>
              <w:top w:val="nil"/>
              <w:left w:val="nil"/>
              <w:bottom w:val="single" w:sz="8" w:space="0" w:color="FFFFFF"/>
              <w:right w:val="single" w:sz="8" w:space="0" w:color="FFFFFF"/>
            </w:tcBorders>
            <w:shd w:val="clear" w:color="000000" w:fill="D6EAAF"/>
            <w:vAlign w:val="center"/>
            <w:hideMark/>
          </w:tcPr>
          <w:p w14:paraId="3E9BEE69"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20.61</w:t>
            </w:r>
          </w:p>
        </w:tc>
        <w:tc>
          <w:tcPr>
            <w:tcW w:w="821" w:type="dxa"/>
            <w:tcBorders>
              <w:top w:val="nil"/>
              <w:left w:val="nil"/>
              <w:bottom w:val="single" w:sz="8" w:space="0" w:color="FFFFFF"/>
              <w:right w:val="single" w:sz="8" w:space="0" w:color="FFFFFF"/>
            </w:tcBorders>
            <w:shd w:val="clear" w:color="000000" w:fill="D6EAAF"/>
            <w:vAlign w:val="center"/>
            <w:hideMark/>
          </w:tcPr>
          <w:p w14:paraId="7F16065C"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611" w:type="dxa"/>
            <w:tcBorders>
              <w:top w:val="nil"/>
              <w:left w:val="nil"/>
              <w:bottom w:val="single" w:sz="8" w:space="0" w:color="FFFFFF"/>
              <w:right w:val="single" w:sz="8" w:space="0" w:color="FFFFFF"/>
            </w:tcBorders>
            <w:shd w:val="clear" w:color="000000" w:fill="D6EAAF"/>
            <w:vAlign w:val="center"/>
            <w:hideMark/>
          </w:tcPr>
          <w:p w14:paraId="0AFEFDEC"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46" w:type="dxa"/>
            <w:tcBorders>
              <w:top w:val="nil"/>
              <w:left w:val="nil"/>
              <w:bottom w:val="single" w:sz="8" w:space="0" w:color="FFFFFF"/>
              <w:right w:val="single" w:sz="8" w:space="0" w:color="FFFFFF"/>
            </w:tcBorders>
            <w:shd w:val="clear" w:color="000000" w:fill="D6EAAF"/>
            <w:vAlign w:val="center"/>
            <w:hideMark/>
          </w:tcPr>
          <w:p w14:paraId="735FFC01"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86.28</w:t>
            </w:r>
          </w:p>
        </w:tc>
      </w:tr>
      <w:tr w:rsidR="00EF3F98" w:rsidRPr="00812322" w14:paraId="511C50BA" w14:textId="77777777" w:rsidTr="00EF3F98">
        <w:trPr>
          <w:trHeight w:val="273"/>
        </w:trPr>
        <w:tc>
          <w:tcPr>
            <w:tcW w:w="1730" w:type="dxa"/>
            <w:tcBorders>
              <w:top w:val="nil"/>
              <w:left w:val="single" w:sz="8" w:space="0" w:color="FFFFFF"/>
              <w:bottom w:val="single" w:sz="8" w:space="0" w:color="FFFFFF"/>
              <w:right w:val="single" w:sz="8" w:space="0" w:color="FFFFFF"/>
            </w:tcBorders>
            <w:shd w:val="clear" w:color="000000" w:fill="BFE2A8"/>
            <w:noWrap/>
            <w:vAlign w:val="center"/>
            <w:hideMark/>
          </w:tcPr>
          <w:p w14:paraId="5ACDCCCC"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PEI0108TYDCE</w:t>
            </w:r>
          </w:p>
        </w:tc>
        <w:tc>
          <w:tcPr>
            <w:tcW w:w="2222" w:type="dxa"/>
            <w:tcBorders>
              <w:top w:val="nil"/>
              <w:left w:val="nil"/>
              <w:bottom w:val="single" w:sz="8" w:space="0" w:color="FFFFFF"/>
              <w:right w:val="single" w:sz="8" w:space="0" w:color="FFFFFF"/>
            </w:tcBorders>
            <w:shd w:val="clear" w:color="000000" w:fill="BFE2A8"/>
            <w:noWrap/>
            <w:vAlign w:val="center"/>
            <w:hideMark/>
          </w:tcPr>
          <w:p w14:paraId="24369344"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Ampliación y normalización subestación Cañasgordas 44/13.2 kV</w:t>
            </w:r>
          </w:p>
        </w:tc>
        <w:tc>
          <w:tcPr>
            <w:tcW w:w="1039" w:type="dxa"/>
            <w:tcBorders>
              <w:top w:val="nil"/>
              <w:left w:val="nil"/>
              <w:bottom w:val="single" w:sz="8" w:space="0" w:color="FFFFFF"/>
              <w:right w:val="single" w:sz="8" w:space="0" w:color="FFFFFF"/>
            </w:tcBorders>
            <w:shd w:val="clear" w:color="000000" w:fill="EAF4D7"/>
            <w:vAlign w:val="center"/>
            <w:hideMark/>
          </w:tcPr>
          <w:p w14:paraId="5CBC536B" w14:textId="77777777" w:rsidR="00812322" w:rsidRPr="00812322" w:rsidRDefault="00812322" w:rsidP="00812322">
            <w:pPr>
              <w:spacing w:after="0" w:line="240" w:lineRule="auto"/>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Costo Ambiental</w:t>
            </w:r>
          </w:p>
        </w:tc>
        <w:tc>
          <w:tcPr>
            <w:tcW w:w="812" w:type="dxa"/>
            <w:tcBorders>
              <w:top w:val="nil"/>
              <w:left w:val="nil"/>
              <w:bottom w:val="single" w:sz="8" w:space="0" w:color="FFFFFF"/>
              <w:right w:val="single" w:sz="8" w:space="0" w:color="FFFFFF"/>
            </w:tcBorders>
            <w:shd w:val="clear" w:color="000000" w:fill="EAF4D7"/>
            <w:vAlign w:val="center"/>
            <w:hideMark/>
          </w:tcPr>
          <w:p w14:paraId="3FD92728"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35.94</w:t>
            </w:r>
          </w:p>
        </w:tc>
        <w:tc>
          <w:tcPr>
            <w:tcW w:w="795" w:type="dxa"/>
            <w:tcBorders>
              <w:top w:val="nil"/>
              <w:left w:val="nil"/>
              <w:bottom w:val="single" w:sz="8" w:space="0" w:color="FFFFFF"/>
              <w:right w:val="single" w:sz="8" w:space="0" w:color="FFFFFF"/>
            </w:tcBorders>
            <w:shd w:val="clear" w:color="000000" w:fill="EAF4D7"/>
            <w:vAlign w:val="center"/>
            <w:hideMark/>
          </w:tcPr>
          <w:p w14:paraId="08C009F8"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63.78</w:t>
            </w:r>
          </w:p>
        </w:tc>
        <w:tc>
          <w:tcPr>
            <w:tcW w:w="821" w:type="dxa"/>
            <w:tcBorders>
              <w:top w:val="nil"/>
              <w:left w:val="nil"/>
              <w:bottom w:val="single" w:sz="8" w:space="0" w:color="FFFFFF"/>
              <w:right w:val="single" w:sz="8" w:space="0" w:color="FFFFFF"/>
            </w:tcBorders>
            <w:shd w:val="clear" w:color="000000" w:fill="EAF4D7"/>
            <w:vAlign w:val="center"/>
            <w:hideMark/>
          </w:tcPr>
          <w:p w14:paraId="4A4B19CD"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42.35</w:t>
            </w:r>
          </w:p>
        </w:tc>
        <w:tc>
          <w:tcPr>
            <w:tcW w:w="611" w:type="dxa"/>
            <w:tcBorders>
              <w:top w:val="nil"/>
              <w:left w:val="nil"/>
              <w:bottom w:val="single" w:sz="8" w:space="0" w:color="FFFFFF"/>
              <w:right w:val="single" w:sz="8" w:space="0" w:color="FFFFFF"/>
            </w:tcBorders>
            <w:shd w:val="clear" w:color="000000" w:fill="EAF4D7"/>
            <w:vAlign w:val="center"/>
            <w:hideMark/>
          </w:tcPr>
          <w:p w14:paraId="3E29BBD8"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46" w:type="dxa"/>
            <w:tcBorders>
              <w:top w:val="nil"/>
              <w:left w:val="nil"/>
              <w:bottom w:val="single" w:sz="8" w:space="0" w:color="FFFFFF"/>
              <w:right w:val="single" w:sz="8" w:space="0" w:color="FFFFFF"/>
            </w:tcBorders>
            <w:shd w:val="clear" w:color="000000" w:fill="EAF4D7"/>
            <w:vAlign w:val="center"/>
            <w:hideMark/>
          </w:tcPr>
          <w:p w14:paraId="6218164C"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142.07</w:t>
            </w:r>
          </w:p>
        </w:tc>
      </w:tr>
      <w:tr w:rsidR="00EF3F98" w:rsidRPr="00812322" w14:paraId="19D41B41" w14:textId="77777777" w:rsidTr="00EF3F98">
        <w:trPr>
          <w:trHeight w:val="273"/>
        </w:trPr>
        <w:tc>
          <w:tcPr>
            <w:tcW w:w="1730" w:type="dxa"/>
            <w:tcBorders>
              <w:top w:val="nil"/>
              <w:left w:val="single" w:sz="8" w:space="0" w:color="FFFFFF"/>
              <w:bottom w:val="single" w:sz="8" w:space="0" w:color="FFFFFF"/>
              <w:right w:val="single" w:sz="8" w:space="0" w:color="FFFFFF"/>
            </w:tcBorders>
            <w:shd w:val="clear" w:color="000000" w:fill="BFE2A8"/>
            <w:noWrap/>
            <w:vAlign w:val="center"/>
            <w:hideMark/>
          </w:tcPr>
          <w:p w14:paraId="4651D7B8"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PEI0609TYDCE</w:t>
            </w:r>
          </w:p>
        </w:tc>
        <w:tc>
          <w:tcPr>
            <w:tcW w:w="2222" w:type="dxa"/>
            <w:tcBorders>
              <w:top w:val="nil"/>
              <w:left w:val="nil"/>
              <w:bottom w:val="single" w:sz="8" w:space="0" w:color="FFFFFF"/>
              <w:right w:val="single" w:sz="8" w:space="0" w:color="FFFFFF"/>
            </w:tcBorders>
            <w:shd w:val="clear" w:color="000000" w:fill="BFE2A8"/>
            <w:noWrap/>
            <w:vAlign w:val="center"/>
            <w:hideMark/>
          </w:tcPr>
          <w:p w14:paraId="4CCD9A1D"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Modernización Subestación Tarazá 44 kV</w:t>
            </w:r>
          </w:p>
        </w:tc>
        <w:tc>
          <w:tcPr>
            <w:tcW w:w="1039" w:type="dxa"/>
            <w:tcBorders>
              <w:top w:val="nil"/>
              <w:left w:val="nil"/>
              <w:bottom w:val="single" w:sz="8" w:space="0" w:color="FFFFFF"/>
              <w:right w:val="single" w:sz="8" w:space="0" w:color="FFFFFF"/>
            </w:tcBorders>
            <w:shd w:val="clear" w:color="000000" w:fill="D6EAAF"/>
            <w:vAlign w:val="center"/>
            <w:hideMark/>
          </w:tcPr>
          <w:p w14:paraId="069E3670" w14:textId="77777777" w:rsidR="00812322" w:rsidRPr="00812322" w:rsidRDefault="00812322" w:rsidP="00812322">
            <w:pPr>
              <w:spacing w:after="0" w:line="240" w:lineRule="auto"/>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Costo Ambiental</w:t>
            </w:r>
          </w:p>
        </w:tc>
        <w:tc>
          <w:tcPr>
            <w:tcW w:w="812" w:type="dxa"/>
            <w:tcBorders>
              <w:top w:val="nil"/>
              <w:left w:val="nil"/>
              <w:bottom w:val="single" w:sz="8" w:space="0" w:color="FFFFFF"/>
              <w:right w:val="single" w:sz="8" w:space="0" w:color="FFFFFF"/>
            </w:tcBorders>
            <w:shd w:val="clear" w:color="000000" w:fill="D6EAAF"/>
            <w:vAlign w:val="center"/>
            <w:hideMark/>
          </w:tcPr>
          <w:p w14:paraId="7E9B0960"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795" w:type="dxa"/>
            <w:tcBorders>
              <w:top w:val="nil"/>
              <w:left w:val="nil"/>
              <w:bottom w:val="single" w:sz="8" w:space="0" w:color="FFFFFF"/>
              <w:right w:val="single" w:sz="8" w:space="0" w:color="FFFFFF"/>
            </w:tcBorders>
            <w:shd w:val="clear" w:color="000000" w:fill="D6EAAF"/>
            <w:vAlign w:val="center"/>
            <w:hideMark/>
          </w:tcPr>
          <w:p w14:paraId="1CC3ABE7"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30.34</w:t>
            </w:r>
          </w:p>
        </w:tc>
        <w:tc>
          <w:tcPr>
            <w:tcW w:w="821" w:type="dxa"/>
            <w:tcBorders>
              <w:top w:val="nil"/>
              <w:left w:val="nil"/>
              <w:bottom w:val="single" w:sz="8" w:space="0" w:color="FFFFFF"/>
              <w:right w:val="single" w:sz="8" w:space="0" w:color="FFFFFF"/>
            </w:tcBorders>
            <w:shd w:val="clear" w:color="000000" w:fill="D6EAAF"/>
            <w:vAlign w:val="center"/>
            <w:hideMark/>
          </w:tcPr>
          <w:p w14:paraId="19A6727F"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611" w:type="dxa"/>
            <w:tcBorders>
              <w:top w:val="nil"/>
              <w:left w:val="nil"/>
              <w:bottom w:val="single" w:sz="8" w:space="0" w:color="FFFFFF"/>
              <w:right w:val="single" w:sz="8" w:space="0" w:color="FFFFFF"/>
            </w:tcBorders>
            <w:shd w:val="clear" w:color="000000" w:fill="D6EAAF"/>
            <w:vAlign w:val="center"/>
            <w:hideMark/>
          </w:tcPr>
          <w:p w14:paraId="218320BF"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46" w:type="dxa"/>
            <w:tcBorders>
              <w:top w:val="nil"/>
              <w:left w:val="nil"/>
              <w:bottom w:val="single" w:sz="8" w:space="0" w:color="FFFFFF"/>
              <w:right w:val="single" w:sz="8" w:space="0" w:color="FFFFFF"/>
            </w:tcBorders>
            <w:shd w:val="clear" w:color="000000" w:fill="D6EAAF"/>
            <w:vAlign w:val="center"/>
            <w:hideMark/>
          </w:tcPr>
          <w:p w14:paraId="3E8BF21D"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30.34</w:t>
            </w:r>
          </w:p>
        </w:tc>
      </w:tr>
      <w:tr w:rsidR="00EF3F98" w:rsidRPr="00812322" w14:paraId="77F1B4BA" w14:textId="77777777" w:rsidTr="00EF3F98">
        <w:trPr>
          <w:trHeight w:val="273"/>
        </w:trPr>
        <w:tc>
          <w:tcPr>
            <w:tcW w:w="1730" w:type="dxa"/>
            <w:tcBorders>
              <w:top w:val="nil"/>
              <w:left w:val="single" w:sz="8" w:space="0" w:color="FFFFFF"/>
              <w:bottom w:val="single" w:sz="8" w:space="0" w:color="FFFFFF"/>
              <w:right w:val="single" w:sz="8" w:space="0" w:color="FFFFFF"/>
            </w:tcBorders>
            <w:shd w:val="clear" w:color="000000" w:fill="BFE2A8"/>
            <w:noWrap/>
            <w:vAlign w:val="center"/>
            <w:hideMark/>
          </w:tcPr>
          <w:p w14:paraId="7926427C"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PEI0555TYDCE</w:t>
            </w:r>
          </w:p>
        </w:tc>
        <w:tc>
          <w:tcPr>
            <w:tcW w:w="2222" w:type="dxa"/>
            <w:tcBorders>
              <w:top w:val="nil"/>
              <w:left w:val="nil"/>
              <w:bottom w:val="single" w:sz="8" w:space="0" w:color="FFFFFF"/>
              <w:right w:val="single" w:sz="8" w:space="0" w:color="FFFFFF"/>
            </w:tcBorders>
            <w:shd w:val="clear" w:color="000000" w:fill="BFE2A8"/>
            <w:noWrap/>
            <w:vAlign w:val="center"/>
            <w:hideMark/>
          </w:tcPr>
          <w:p w14:paraId="4BD17FE3"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Modernización subestación San Jerónimo 110/44/13.2 kV</w:t>
            </w:r>
          </w:p>
        </w:tc>
        <w:tc>
          <w:tcPr>
            <w:tcW w:w="1039" w:type="dxa"/>
            <w:tcBorders>
              <w:top w:val="nil"/>
              <w:left w:val="nil"/>
              <w:bottom w:val="single" w:sz="8" w:space="0" w:color="FFFFFF"/>
              <w:right w:val="single" w:sz="8" w:space="0" w:color="FFFFFF"/>
            </w:tcBorders>
            <w:shd w:val="clear" w:color="000000" w:fill="EAF4D7"/>
            <w:vAlign w:val="center"/>
            <w:hideMark/>
          </w:tcPr>
          <w:p w14:paraId="3F241695" w14:textId="77777777" w:rsidR="00812322" w:rsidRPr="00812322" w:rsidRDefault="00812322" w:rsidP="00812322">
            <w:pPr>
              <w:spacing w:after="0" w:line="240" w:lineRule="auto"/>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Costo Ambiental</w:t>
            </w:r>
          </w:p>
        </w:tc>
        <w:tc>
          <w:tcPr>
            <w:tcW w:w="812" w:type="dxa"/>
            <w:tcBorders>
              <w:top w:val="nil"/>
              <w:left w:val="nil"/>
              <w:bottom w:val="single" w:sz="8" w:space="0" w:color="FFFFFF"/>
              <w:right w:val="single" w:sz="8" w:space="0" w:color="FFFFFF"/>
            </w:tcBorders>
            <w:shd w:val="clear" w:color="000000" w:fill="EAF4D7"/>
            <w:vAlign w:val="center"/>
            <w:hideMark/>
          </w:tcPr>
          <w:p w14:paraId="66833A47"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43.73</w:t>
            </w:r>
          </w:p>
        </w:tc>
        <w:tc>
          <w:tcPr>
            <w:tcW w:w="795" w:type="dxa"/>
            <w:tcBorders>
              <w:top w:val="nil"/>
              <w:left w:val="nil"/>
              <w:bottom w:val="single" w:sz="8" w:space="0" w:color="FFFFFF"/>
              <w:right w:val="single" w:sz="8" w:space="0" w:color="FFFFFF"/>
            </w:tcBorders>
            <w:shd w:val="clear" w:color="000000" w:fill="EAF4D7"/>
            <w:vAlign w:val="center"/>
            <w:hideMark/>
          </w:tcPr>
          <w:p w14:paraId="535FA210"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9.00</w:t>
            </w:r>
          </w:p>
        </w:tc>
        <w:tc>
          <w:tcPr>
            <w:tcW w:w="821" w:type="dxa"/>
            <w:tcBorders>
              <w:top w:val="nil"/>
              <w:left w:val="nil"/>
              <w:bottom w:val="single" w:sz="8" w:space="0" w:color="FFFFFF"/>
              <w:right w:val="single" w:sz="8" w:space="0" w:color="FFFFFF"/>
            </w:tcBorders>
            <w:shd w:val="clear" w:color="000000" w:fill="EAF4D7"/>
            <w:vAlign w:val="center"/>
            <w:hideMark/>
          </w:tcPr>
          <w:p w14:paraId="16D92BB6"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11.58</w:t>
            </w:r>
          </w:p>
        </w:tc>
        <w:tc>
          <w:tcPr>
            <w:tcW w:w="611" w:type="dxa"/>
            <w:tcBorders>
              <w:top w:val="nil"/>
              <w:left w:val="nil"/>
              <w:bottom w:val="single" w:sz="8" w:space="0" w:color="FFFFFF"/>
              <w:right w:val="single" w:sz="8" w:space="0" w:color="FFFFFF"/>
            </w:tcBorders>
            <w:shd w:val="clear" w:color="000000" w:fill="EAF4D7"/>
            <w:vAlign w:val="center"/>
            <w:hideMark/>
          </w:tcPr>
          <w:p w14:paraId="246EAE2D"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46" w:type="dxa"/>
            <w:tcBorders>
              <w:top w:val="nil"/>
              <w:left w:val="nil"/>
              <w:bottom w:val="single" w:sz="8" w:space="0" w:color="FFFFFF"/>
              <w:right w:val="single" w:sz="8" w:space="0" w:color="FFFFFF"/>
            </w:tcBorders>
            <w:shd w:val="clear" w:color="000000" w:fill="EAF4D7"/>
            <w:vAlign w:val="center"/>
            <w:hideMark/>
          </w:tcPr>
          <w:p w14:paraId="451CABA5"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64.31</w:t>
            </w:r>
          </w:p>
        </w:tc>
      </w:tr>
      <w:tr w:rsidR="00EF3F98" w:rsidRPr="00812322" w14:paraId="49994AE9" w14:textId="77777777" w:rsidTr="00EF3F98">
        <w:trPr>
          <w:trHeight w:val="273"/>
        </w:trPr>
        <w:tc>
          <w:tcPr>
            <w:tcW w:w="1730" w:type="dxa"/>
            <w:tcBorders>
              <w:top w:val="nil"/>
              <w:left w:val="single" w:sz="8" w:space="0" w:color="FFFFFF"/>
              <w:bottom w:val="single" w:sz="8" w:space="0" w:color="FFFFFF"/>
              <w:right w:val="single" w:sz="8" w:space="0" w:color="FFFFFF"/>
            </w:tcBorders>
            <w:shd w:val="clear" w:color="000000" w:fill="BFE2A8"/>
            <w:noWrap/>
            <w:vAlign w:val="center"/>
            <w:hideMark/>
          </w:tcPr>
          <w:p w14:paraId="0EAF30F8"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PEI0444TYDCE</w:t>
            </w:r>
          </w:p>
        </w:tc>
        <w:tc>
          <w:tcPr>
            <w:tcW w:w="2222" w:type="dxa"/>
            <w:tcBorders>
              <w:top w:val="nil"/>
              <w:left w:val="nil"/>
              <w:bottom w:val="single" w:sz="8" w:space="0" w:color="FFFFFF"/>
              <w:right w:val="single" w:sz="8" w:space="0" w:color="FFFFFF"/>
            </w:tcBorders>
            <w:shd w:val="clear" w:color="000000" w:fill="BFE2A8"/>
            <w:noWrap/>
            <w:vAlign w:val="center"/>
            <w:hideMark/>
          </w:tcPr>
          <w:p w14:paraId="71F6550F"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Modernización subestación Chigorodó 44/13.2 kV</w:t>
            </w:r>
          </w:p>
        </w:tc>
        <w:tc>
          <w:tcPr>
            <w:tcW w:w="1039" w:type="dxa"/>
            <w:tcBorders>
              <w:top w:val="nil"/>
              <w:left w:val="nil"/>
              <w:bottom w:val="single" w:sz="8" w:space="0" w:color="FFFFFF"/>
              <w:right w:val="single" w:sz="8" w:space="0" w:color="FFFFFF"/>
            </w:tcBorders>
            <w:shd w:val="clear" w:color="000000" w:fill="D6EAAF"/>
            <w:vAlign w:val="center"/>
            <w:hideMark/>
          </w:tcPr>
          <w:p w14:paraId="122A1EC8" w14:textId="77777777" w:rsidR="00812322" w:rsidRPr="00812322" w:rsidRDefault="00812322" w:rsidP="00812322">
            <w:pPr>
              <w:spacing w:after="0" w:line="240" w:lineRule="auto"/>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Costo Ambiental</w:t>
            </w:r>
          </w:p>
        </w:tc>
        <w:tc>
          <w:tcPr>
            <w:tcW w:w="812" w:type="dxa"/>
            <w:tcBorders>
              <w:top w:val="nil"/>
              <w:left w:val="nil"/>
              <w:bottom w:val="single" w:sz="8" w:space="0" w:color="FFFFFF"/>
              <w:right w:val="single" w:sz="8" w:space="0" w:color="FFFFFF"/>
            </w:tcBorders>
            <w:shd w:val="clear" w:color="000000" w:fill="D6EAAF"/>
            <w:vAlign w:val="center"/>
            <w:hideMark/>
          </w:tcPr>
          <w:p w14:paraId="74EB9BB8"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795" w:type="dxa"/>
            <w:tcBorders>
              <w:top w:val="nil"/>
              <w:left w:val="nil"/>
              <w:bottom w:val="single" w:sz="8" w:space="0" w:color="FFFFFF"/>
              <w:right w:val="single" w:sz="8" w:space="0" w:color="FFFFFF"/>
            </w:tcBorders>
            <w:shd w:val="clear" w:color="000000" w:fill="D6EAAF"/>
            <w:vAlign w:val="center"/>
            <w:hideMark/>
          </w:tcPr>
          <w:p w14:paraId="0DC1E379"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20.50</w:t>
            </w:r>
          </w:p>
        </w:tc>
        <w:tc>
          <w:tcPr>
            <w:tcW w:w="821" w:type="dxa"/>
            <w:tcBorders>
              <w:top w:val="nil"/>
              <w:left w:val="nil"/>
              <w:bottom w:val="single" w:sz="8" w:space="0" w:color="FFFFFF"/>
              <w:right w:val="single" w:sz="8" w:space="0" w:color="FFFFFF"/>
            </w:tcBorders>
            <w:shd w:val="clear" w:color="000000" w:fill="D6EAAF"/>
            <w:vAlign w:val="center"/>
            <w:hideMark/>
          </w:tcPr>
          <w:p w14:paraId="624055B9"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22.21</w:t>
            </w:r>
          </w:p>
        </w:tc>
        <w:tc>
          <w:tcPr>
            <w:tcW w:w="611" w:type="dxa"/>
            <w:tcBorders>
              <w:top w:val="nil"/>
              <w:left w:val="nil"/>
              <w:bottom w:val="single" w:sz="8" w:space="0" w:color="FFFFFF"/>
              <w:right w:val="single" w:sz="8" w:space="0" w:color="FFFFFF"/>
            </w:tcBorders>
            <w:shd w:val="clear" w:color="000000" w:fill="D6EAAF"/>
            <w:vAlign w:val="center"/>
            <w:hideMark/>
          </w:tcPr>
          <w:p w14:paraId="59257FF5"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46" w:type="dxa"/>
            <w:tcBorders>
              <w:top w:val="nil"/>
              <w:left w:val="nil"/>
              <w:bottom w:val="single" w:sz="8" w:space="0" w:color="FFFFFF"/>
              <w:right w:val="single" w:sz="8" w:space="0" w:color="FFFFFF"/>
            </w:tcBorders>
            <w:shd w:val="clear" w:color="000000" w:fill="D6EAAF"/>
            <w:vAlign w:val="center"/>
            <w:hideMark/>
          </w:tcPr>
          <w:p w14:paraId="0EAACD79"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42.71</w:t>
            </w:r>
          </w:p>
        </w:tc>
      </w:tr>
      <w:tr w:rsidR="00EF3F98" w:rsidRPr="00812322" w14:paraId="7835FE87" w14:textId="77777777" w:rsidTr="00EF3F98">
        <w:trPr>
          <w:trHeight w:val="273"/>
        </w:trPr>
        <w:tc>
          <w:tcPr>
            <w:tcW w:w="1730" w:type="dxa"/>
            <w:tcBorders>
              <w:top w:val="nil"/>
              <w:left w:val="single" w:sz="8" w:space="0" w:color="FFFFFF"/>
              <w:bottom w:val="single" w:sz="8" w:space="0" w:color="FFFFFF"/>
              <w:right w:val="single" w:sz="8" w:space="0" w:color="FFFFFF"/>
            </w:tcBorders>
            <w:shd w:val="clear" w:color="000000" w:fill="BFE2A8"/>
            <w:noWrap/>
            <w:vAlign w:val="center"/>
            <w:hideMark/>
          </w:tcPr>
          <w:p w14:paraId="18DBB014"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PEI0513TYDCE</w:t>
            </w:r>
          </w:p>
        </w:tc>
        <w:tc>
          <w:tcPr>
            <w:tcW w:w="2222" w:type="dxa"/>
            <w:tcBorders>
              <w:top w:val="nil"/>
              <w:left w:val="nil"/>
              <w:bottom w:val="single" w:sz="8" w:space="0" w:color="FFFFFF"/>
              <w:right w:val="single" w:sz="8" w:space="0" w:color="FFFFFF"/>
            </w:tcBorders>
            <w:shd w:val="clear" w:color="000000" w:fill="BFE2A8"/>
            <w:noWrap/>
            <w:vAlign w:val="center"/>
            <w:hideMark/>
          </w:tcPr>
          <w:p w14:paraId="3EFEA42A"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Modernización subestación Guadalupe IV 220/44/13.2 kV</w:t>
            </w:r>
          </w:p>
        </w:tc>
        <w:tc>
          <w:tcPr>
            <w:tcW w:w="1039" w:type="dxa"/>
            <w:tcBorders>
              <w:top w:val="nil"/>
              <w:left w:val="nil"/>
              <w:bottom w:val="single" w:sz="8" w:space="0" w:color="FFFFFF"/>
              <w:right w:val="single" w:sz="8" w:space="0" w:color="FFFFFF"/>
            </w:tcBorders>
            <w:shd w:val="clear" w:color="000000" w:fill="EAF4D7"/>
            <w:vAlign w:val="center"/>
            <w:hideMark/>
          </w:tcPr>
          <w:p w14:paraId="49ECC23D" w14:textId="77777777" w:rsidR="00812322" w:rsidRPr="00812322" w:rsidRDefault="00812322" w:rsidP="00812322">
            <w:pPr>
              <w:spacing w:after="0" w:line="240" w:lineRule="auto"/>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Costo Ambiental</w:t>
            </w:r>
          </w:p>
        </w:tc>
        <w:tc>
          <w:tcPr>
            <w:tcW w:w="812" w:type="dxa"/>
            <w:tcBorders>
              <w:top w:val="nil"/>
              <w:left w:val="nil"/>
              <w:bottom w:val="single" w:sz="8" w:space="0" w:color="FFFFFF"/>
              <w:right w:val="single" w:sz="8" w:space="0" w:color="FFFFFF"/>
            </w:tcBorders>
            <w:shd w:val="clear" w:color="000000" w:fill="EAF4D7"/>
            <w:vAlign w:val="center"/>
            <w:hideMark/>
          </w:tcPr>
          <w:p w14:paraId="1AE475FB"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11.39</w:t>
            </w:r>
          </w:p>
        </w:tc>
        <w:tc>
          <w:tcPr>
            <w:tcW w:w="795" w:type="dxa"/>
            <w:tcBorders>
              <w:top w:val="nil"/>
              <w:left w:val="nil"/>
              <w:bottom w:val="single" w:sz="8" w:space="0" w:color="FFFFFF"/>
              <w:right w:val="single" w:sz="8" w:space="0" w:color="FFFFFF"/>
            </w:tcBorders>
            <w:shd w:val="clear" w:color="000000" w:fill="EAF4D7"/>
            <w:vAlign w:val="center"/>
            <w:hideMark/>
          </w:tcPr>
          <w:p w14:paraId="498ECD2A"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2.67</w:t>
            </w:r>
          </w:p>
        </w:tc>
        <w:tc>
          <w:tcPr>
            <w:tcW w:w="821" w:type="dxa"/>
            <w:tcBorders>
              <w:top w:val="nil"/>
              <w:left w:val="nil"/>
              <w:bottom w:val="single" w:sz="8" w:space="0" w:color="FFFFFF"/>
              <w:right w:val="single" w:sz="8" w:space="0" w:color="FFFFFF"/>
            </w:tcBorders>
            <w:shd w:val="clear" w:color="000000" w:fill="EAF4D7"/>
            <w:vAlign w:val="center"/>
            <w:hideMark/>
          </w:tcPr>
          <w:p w14:paraId="066199D4"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611" w:type="dxa"/>
            <w:tcBorders>
              <w:top w:val="nil"/>
              <w:left w:val="nil"/>
              <w:bottom w:val="single" w:sz="8" w:space="0" w:color="FFFFFF"/>
              <w:right w:val="single" w:sz="8" w:space="0" w:color="FFFFFF"/>
            </w:tcBorders>
            <w:shd w:val="clear" w:color="000000" w:fill="EAF4D7"/>
            <w:vAlign w:val="center"/>
            <w:hideMark/>
          </w:tcPr>
          <w:p w14:paraId="69571E20"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46" w:type="dxa"/>
            <w:tcBorders>
              <w:top w:val="nil"/>
              <w:left w:val="nil"/>
              <w:bottom w:val="single" w:sz="8" w:space="0" w:color="FFFFFF"/>
              <w:right w:val="single" w:sz="8" w:space="0" w:color="FFFFFF"/>
            </w:tcBorders>
            <w:shd w:val="clear" w:color="000000" w:fill="EAF4D7"/>
            <w:vAlign w:val="center"/>
            <w:hideMark/>
          </w:tcPr>
          <w:p w14:paraId="4E2B8FBC"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14.06</w:t>
            </w:r>
          </w:p>
        </w:tc>
      </w:tr>
      <w:tr w:rsidR="00EF3F98" w:rsidRPr="00812322" w14:paraId="72179ED7" w14:textId="77777777" w:rsidTr="00EF3F98">
        <w:trPr>
          <w:trHeight w:val="273"/>
        </w:trPr>
        <w:tc>
          <w:tcPr>
            <w:tcW w:w="1730" w:type="dxa"/>
            <w:tcBorders>
              <w:top w:val="nil"/>
              <w:left w:val="single" w:sz="8" w:space="0" w:color="FFFFFF"/>
              <w:bottom w:val="single" w:sz="8" w:space="0" w:color="FFFFFF"/>
              <w:right w:val="single" w:sz="8" w:space="0" w:color="FFFFFF"/>
            </w:tcBorders>
            <w:shd w:val="clear" w:color="000000" w:fill="BFE2A8"/>
            <w:noWrap/>
            <w:vAlign w:val="center"/>
            <w:hideMark/>
          </w:tcPr>
          <w:p w14:paraId="4A727C13"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PEI0417TYDCE</w:t>
            </w:r>
          </w:p>
        </w:tc>
        <w:tc>
          <w:tcPr>
            <w:tcW w:w="2222" w:type="dxa"/>
            <w:tcBorders>
              <w:top w:val="nil"/>
              <w:left w:val="nil"/>
              <w:bottom w:val="single" w:sz="8" w:space="0" w:color="FFFFFF"/>
              <w:right w:val="single" w:sz="8" w:space="0" w:color="FFFFFF"/>
            </w:tcBorders>
            <w:shd w:val="clear" w:color="000000" w:fill="BFE2A8"/>
            <w:noWrap/>
            <w:vAlign w:val="center"/>
            <w:hideMark/>
          </w:tcPr>
          <w:p w14:paraId="250EC8A2"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Normalización de la subestación El Limón 44/13.2 kV</w:t>
            </w:r>
          </w:p>
        </w:tc>
        <w:tc>
          <w:tcPr>
            <w:tcW w:w="1039" w:type="dxa"/>
            <w:tcBorders>
              <w:top w:val="nil"/>
              <w:left w:val="nil"/>
              <w:bottom w:val="single" w:sz="8" w:space="0" w:color="FFFFFF"/>
              <w:right w:val="single" w:sz="8" w:space="0" w:color="FFFFFF"/>
            </w:tcBorders>
            <w:shd w:val="clear" w:color="000000" w:fill="D6EAAF"/>
            <w:vAlign w:val="center"/>
            <w:hideMark/>
          </w:tcPr>
          <w:p w14:paraId="4333BFA0" w14:textId="77777777" w:rsidR="00812322" w:rsidRPr="00812322" w:rsidRDefault="00812322" w:rsidP="00812322">
            <w:pPr>
              <w:spacing w:after="0" w:line="240" w:lineRule="auto"/>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Costo Ambiental</w:t>
            </w:r>
          </w:p>
        </w:tc>
        <w:tc>
          <w:tcPr>
            <w:tcW w:w="812" w:type="dxa"/>
            <w:tcBorders>
              <w:top w:val="nil"/>
              <w:left w:val="nil"/>
              <w:bottom w:val="single" w:sz="8" w:space="0" w:color="FFFFFF"/>
              <w:right w:val="single" w:sz="8" w:space="0" w:color="FFFFFF"/>
            </w:tcBorders>
            <w:shd w:val="clear" w:color="000000" w:fill="D6EAAF"/>
            <w:vAlign w:val="center"/>
            <w:hideMark/>
          </w:tcPr>
          <w:p w14:paraId="334B2F9F"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795" w:type="dxa"/>
            <w:tcBorders>
              <w:top w:val="nil"/>
              <w:left w:val="nil"/>
              <w:bottom w:val="single" w:sz="8" w:space="0" w:color="FFFFFF"/>
              <w:right w:val="single" w:sz="8" w:space="0" w:color="FFFFFF"/>
            </w:tcBorders>
            <w:shd w:val="clear" w:color="000000" w:fill="D6EAAF"/>
            <w:vAlign w:val="center"/>
            <w:hideMark/>
          </w:tcPr>
          <w:p w14:paraId="666EC013"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21" w:type="dxa"/>
            <w:tcBorders>
              <w:top w:val="nil"/>
              <w:left w:val="nil"/>
              <w:bottom w:val="single" w:sz="8" w:space="0" w:color="FFFFFF"/>
              <w:right w:val="single" w:sz="8" w:space="0" w:color="FFFFFF"/>
            </w:tcBorders>
            <w:shd w:val="clear" w:color="000000" w:fill="D6EAAF"/>
            <w:vAlign w:val="center"/>
            <w:hideMark/>
          </w:tcPr>
          <w:p w14:paraId="41CB8686"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22.81</w:t>
            </w:r>
          </w:p>
        </w:tc>
        <w:tc>
          <w:tcPr>
            <w:tcW w:w="611" w:type="dxa"/>
            <w:tcBorders>
              <w:top w:val="nil"/>
              <w:left w:val="nil"/>
              <w:bottom w:val="single" w:sz="8" w:space="0" w:color="FFFFFF"/>
              <w:right w:val="single" w:sz="8" w:space="0" w:color="FFFFFF"/>
            </w:tcBorders>
            <w:shd w:val="clear" w:color="000000" w:fill="D6EAAF"/>
            <w:vAlign w:val="center"/>
            <w:hideMark/>
          </w:tcPr>
          <w:p w14:paraId="37F4928E"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46" w:type="dxa"/>
            <w:tcBorders>
              <w:top w:val="nil"/>
              <w:left w:val="nil"/>
              <w:bottom w:val="single" w:sz="8" w:space="0" w:color="FFFFFF"/>
              <w:right w:val="single" w:sz="8" w:space="0" w:color="FFFFFF"/>
            </w:tcBorders>
            <w:shd w:val="clear" w:color="000000" w:fill="D6EAAF"/>
            <w:vAlign w:val="center"/>
            <w:hideMark/>
          </w:tcPr>
          <w:p w14:paraId="3CA71D30"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22.81</w:t>
            </w:r>
          </w:p>
        </w:tc>
      </w:tr>
      <w:tr w:rsidR="00EF3F98" w:rsidRPr="00812322" w14:paraId="53CFFB83" w14:textId="77777777" w:rsidTr="00EF3F98">
        <w:trPr>
          <w:trHeight w:val="273"/>
        </w:trPr>
        <w:tc>
          <w:tcPr>
            <w:tcW w:w="1730" w:type="dxa"/>
            <w:tcBorders>
              <w:top w:val="nil"/>
              <w:left w:val="single" w:sz="8" w:space="0" w:color="FFFFFF"/>
              <w:bottom w:val="single" w:sz="8" w:space="0" w:color="FFFFFF"/>
              <w:right w:val="single" w:sz="8" w:space="0" w:color="FFFFFF"/>
            </w:tcBorders>
            <w:shd w:val="clear" w:color="000000" w:fill="BFE2A8"/>
            <w:noWrap/>
            <w:vAlign w:val="center"/>
            <w:hideMark/>
          </w:tcPr>
          <w:p w14:paraId="0F35873C"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PEI0829TYDCE</w:t>
            </w:r>
          </w:p>
        </w:tc>
        <w:tc>
          <w:tcPr>
            <w:tcW w:w="2222" w:type="dxa"/>
            <w:tcBorders>
              <w:top w:val="nil"/>
              <w:left w:val="nil"/>
              <w:bottom w:val="single" w:sz="8" w:space="0" w:color="FFFFFF"/>
              <w:right w:val="single" w:sz="8" w:space="0" w:color="FFFFFF"/>
            </w:tcBorders>
            <w:shd w:val="clear" w:color="000000" w:fill="BFE2A8"/>
            <w:noWrap/>
            <w:vAlign w:val="center"/>
            <w:hideMark/>
          </w:tcPr>
          <w:p w14:paraId="1391B648"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Plan de choque VP T&amp;D - Subestaciones</w:t>
            </w:r>
          </w:p>
        </w:tc>
        <w:tc>
          <w:tcPr>
            <w:tcW w:w="1039" w:type="dxa"/>
            <w:tcBorders>
              <w:top w:val="nil"/>
              <w:left w:val="nil"/>
              <w:bottom w:val="single" w:sz="8" w:space="0" w:color="FFFFFF"/>
              <w:right w:val="single" w:sz="8" w:space="0" w:color="FFFFFF"/>
            </w:tcBorders>
            <w:shd w:val="clear" w:color="000000" w:fill="EAF4D7"/>
            <w:vAlign w:val="center"/>
            <w:hideMark/>
          </w:tcPr>
          <w:p w14:paraId="580AA572" w14:textId="77777777" w:rsidR="00812322" w:rsidRPr="00812322" w:rsidRDefault="00812322" w:rsidP="00812322">
            <w:pPr>
              <w:spacing w:after="0" w:line="240" w:lineRule="auto"/>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Costo Ambiental</w:t>
            </w:r>
          </w:p>
        </w:tc>
        <w:tc>
          <w:tcPr>
            <w:tcW w:w="812" w:type="dxa"/>
            <w:tcBorders>
              <w:top w:val="nil"/>
              <w:left w:val="nil"/>
              <w:bottom w:val="single" w:sz="8" w:space="0" w:color="FFFFFF"/>
              <w:right w:val="single" w:sz="8" w:space="0" w:color="FFFFFF"/>
            </w:tcBorders>
            <w:shd w:val="clear" w:color="000000" w:fill="EAF4D7"/>
            <w:vAlign w:val="center"/>
            <w:hideMark/>
          </w:tcPr>
          <w:p w14:paraId="2B79F695"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35.44</w:t>
            </w:r>
          </w:p>
        </w:tc>
        <w:tc>
          <w:tcPr>
            <w:tcW w:w="795" w:type="dxa"/>
            <w:tcBorders>
              <w:top w:val="nil"/>
              <w:left w:val="nil"/>
              <w:bottom w:val="single" w:sz="8" w:space="0" w:color="FFFFFF"/>
              <w:right w:val="single" w:sz="8" w:space="0" w:color="FFFFFF"/>
            </w:tcBorders>
            <w:shd w:val="clear" w:color="000000" w:fill="EAF4D7"/>
            <w:vAlign w:val="center"/>
            <w:hideMark/>
          </w:tcPr>
          <w:p w14:paraId="00F588C0"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5.60</w:t>
            </w:r>
          </w:p>
        </w:tc>
        <w:tc>
          <w:tcPr>
            <w:tcW w:w="821" w:type="dxa"/>
            <w:tcBorders>
              <w:top w:val="nil"/>
              <w:left w:val="nil"/>
              <w:bottom w:val="single" w:sz="8" w:space="0" w:color="FFFFFF"/>
              <w:right w:val="single" w:sz="8" w:space="0" w:color="FFFFFF"/>
            </w:tcBorders>
            <w:shd w:val="clear" w:color="000000" w:fill="EAF4D7"/>
            <w:vAlign w:val="center"/>
            <w:hideMark/>
          </w:tcPr>
          <w:p w14:paraId="668BE053"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5.60</w:t>
            </w:r>
          </w:p>
        </w:tc>
        <w:tc>
          <w:tcPr>
            <w:tcW w:w="611" w:type="dxa"/>
            <w:tcBorders>
              <w:top w:val="nil"/>
              <w:left w:val="nil"/>
              <w:bottom w:val="single" w:sz="8" w:space="0" w:color="FFFFFF"/>
              <w:right w:val="single" w:sz="8" w:space="0" w:color="FFFFFF"/>
            </w:tcBorders>
            <w:shd w:val="clear" w:color="000000" w:fill="EAF4D7"/>
            <w:vAlign w:val="center"/>
            <w:hideMark/>
          </w:tcPr>
          <w:p w14:paraId="1F29C14C"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46" w:type="dxa"/>
            <w:tcBorders>
              <w:top w:val="nil"/>
              <w:left w:val="nil"/>
              <w:bottom w:val="single" w:sz="8" w:space="0" w:color="FFFFFF"/>
              <w:right w:val="single" w:sz="8" w:space="0" w:color="FFFFFF"/>
            </w:tcBorders>
            <w:shd w:val="clear" w:color="000000" w:fill="EAF4D7"/>
            <w:vAlign w:val="center"/>
            <w:hideMark/>
          </w:tcPr>
          <w:p w14:paraId="1FE94A31"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46.63</w:t>
            </w:r>
          </w:p>
        </w:tc>
      </w:tr>
      <w:tr w:rsidR="00EF3F98" w:rsidRPr="00812322" w14:paraId="1E0AF1D5" w14:textId="77777777" w:rsidTr="00EF3F98">
        <w:trPr>
          <w:trHeight w:val="273"/>
        </w:trPr>
        <w:tc>
          <w:tcPr>
            <w:tcW w:w="1730" w:type="dxa"/>
            <w:tcBorders>
              <w:top w:val="nil"/>
              <w:left w:val="single" w:sz="8" w:space="0" w:color="FFFFFF"/>
              <w:bottom w:val="single" w:sz="8" w:space="0" w:color="FFFFFF"/>
              <w:right w:val="single" w:sz="8" w:space="0" w:color="FFFFFF"/>
            </w:tcBorders>
            <w:shd w:val="clear" w:color="000000" w:fill="BFE2A8"/>
            <w:noWrap/>
            <w:vAlign w:val="center"/>
            <w:hideMark/>
          </w:tcPr>
          <w:p w14:paraId="6CF0B5E4"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PEI0804GENCE</w:t>
            </w:r>
          </w:p>
        </w:tc>
        <w:tc>
          <w:tcPr>
            <w:tcW w:w="2222" w:type="dxa"/>
            <w:tcBorders>
              <w:top w:val="nil"/>
              <w:left w:val="nil"/>
              <w:bottom w:val="single" w:sz="8" w:space="0" w:color="FFFFFF"/>
              <w:right w:val="single" w:sz="8" w:space="0" w:color="FFFFFF"/>
            </w:tcBorders>
            <w:shd w:val="clear" w:color="000000" w:fill="BFE2A8"/>
            <w:noWrap/>
            <w:vAlign w:val="center"/>
            <w:hideMark/>
          </w:tcPr>
          <w:p w14:paraId="697EDBD8"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Reposición servicios auxiliares subestación El Salto</w:t>
            </w:r>
          </w:p>
        </w:tc>
        <w:tc>
          <w:tcPr>
            <w:tcW w:w="1039" w:type="dxa"/>
            <w:tcBorders>
              <w:top w:val="nil"/>
              <w:left w:val="nil"/>
              <w:bottom w:val="single" w:sz="8" w:space="0" w:color="FFFFFF"/>
              <w:right w:val="single" w:sz="8" w:space="0" w:color="FFFFFF"/>
            </w:tcBorders>
            <w:shd w:val="clear" w:color="000000" w:fill="D6EAAF"/>
            <w:vAlign w:val="center"/>
            <w:hideMark/>
          </w:tcPr>
          <w:p w14:paraId="42C4DC96" w14:textId="77777777" w:rsidR="00812322" w:rsidRPr="00812322" w:rsidRDefault="00812322" w:rsidP="00812322">
            <w:pPr>
              <w:spacing w:after="0" w:line="240" w:lineRule="auto"/>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Costo Ambiental</w:t>
            </w:r>
          </w:p>
        </w:tc>
        <w:tc>
          <w:tcPr>
            <w:tcW w:w="812" w:type="dxa"/>
            <w:tcBorders>
              <w:top w:val="nil"/>
              <w:left w:val="nil"/>
              <w:bottom w:val="single" w:sz="8" w:space="0" w:color="FFFFFF"/>
              <w:right w:val="single" w:sz="8" w:space="0" w:color="FFFFFF"/>
            </w:tcBorders>
            <w:shd w:val="clear" w:color="000000" w:fill="D6EAAF"/>
            <w:vAlign w:val="center"/>
            <w:hideMark/>
          </w:tcPr>
          <w:p w14:paraId="154F4EA5"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5.79</w:t>
            </w:r>
          </w:p>
        </w:tc>
        <w:tc>
          <w:tcPr>
            <w:tcW w:w="795" w:type="dxa"/>
            <w:tcBorders>
              <w:top w:val="nil"/>
              <w:left w:val="nil"/>
              <w:bottom w:val="single" w:sz="8" w:space="0" w:color="FFFFFF"/>
              <w:right w:val="single" w:sz="8" w:space="0" w:color="FFFFFF"/>
            </w:tcBorders>
            <w:shd w:val="clear" w:color="000000" w:fill="D6EAAF"/>
            <w:vAlign w:val="center"/>
            <w:hideMark/>
          </w:tcPr>
          <w:p w14:paraId="1E88D5DA"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0.49</w:t>
            </w:r>
          </w:p>
        </w:tc>
        <w:tc>
          <w:tcPr>
            <w:tcW w:w="821" w:type="dxa"/>
            <w:tcBorders>
              <w:top w:val="nil"/>
              <w:left w:val="nil"/>
              <w:bottom w:val="single" w:sz="8" w:space="0" w:color="FFFFFF"/>
              <w:right w:val="single" w:sz="8" w:space="0" w:color="FFFFFF"/>
            </w:tcBorders>
            <w:shd w:val="clear" w:color="000000" w:fill="D6EAAF"/>
            <w:vAlign w:val="center"/>
            <w:hideMark/>
          </w:tcPr>
          <w:p w14:paraId="0280D1BC"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0.70</w:t>
            </w:r>
          </w:p>
        </w:tc>
        <w:tc>
          <w:tcPr>
            <w:tcW w:w="611" w:type="dxa"/>
            <w:tcBorders>
              <w:top w:val="nil"/>
              <w:left w:val="nil"/>
              <w:bottom w:val="single" w:sz="8" w:space="0" w:color="FFFFFF"/>
              <w:right w:val="single" w:sz="8" w:space="0" w:color="FFFFFF"/>
            </w:tcBorders>
            <w:shd w:val="clear" w:color="000000" w:fill="D6EAAF"/>
            <w:vAlign w:val="center"/>
            <w:hideMark/>
          </w:tcPr>
          <w:p w14:paraId="22FABBFE"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46" w:type="dxa"/>
            <w:tcBorders>
              <w:top w:val="nil"/>
              <w:left w:val="nil"/>
              <w:bottom w:val="single" w:sz="8" w:space="0" w:color="FFFFFF"/>
              <w:right w:val="single" w:sz="8" w:space="0" w:color="FFFFFF"/>
            </w:tcBorders>
            <w:shd w:val="clear" w:color="000000" w:fill="D6EAAF"/>
            <w:vAlign w:val="center"/>
            <w:hideMark/>
          </w:tcPr>
          <w:p w14:paraId="080AB694"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6.98</w:t>
            </w:r>
          </w:p>
        </w:tc>
      </w:tr>
      <w:tr w:rsidR="00EF3F98" w:rsidRPr="00812322" w14:paraId="0286ACBA" w14:textId="77777777" w:rsidTr="00EF3F98">
        <w:trPr>
          <w:trHeight w:val="273"/>
        </w:trPr>
        <w:tc>
          <w:tcPr>
            <w:tcW w:w="1730" w:type="dxa"/>
            <w:tcBorders>
              <w:top w:val="nil"/>
              <w:left w:val="single" w:sz="8" w:space="0" w:color="FFFFFF"/>
              <w:bottom w:val="single" w:sz="8" w:space="0" w:color="FFFFFF"/>
              <w:right w:val="single" w:sz="8" w:space="0" w:color="FFFFFF"/>
            </w:tcBorders>
            <w:shd w:val="clear" w:color="000000" w:fill="BFE2A8"/>
            <w:noWrap/>
            <w:vAlign w:val="center"/>
            <w:hideMark/>
          </w:tcPr>
          <w:p w14:paraId="24EC3659"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PEI0451TYDCE</w:t>
            </w:r>
          </w:p>
        </w:tc>
        <w:tc>
          <w:tcPr>
            <w:tcW w:w="2222" w:type="dxa"/>
            <w:tcBorders>
              <w:top w:val="nil"/>
              <w:left w:val="nil"/>
              <w:bottom w:val="single" w:sz="8" w:space="0" w:color="FFFFFF"/>
              <w:right w:val="single" w:sz="8" w:space="0" w:color="FFFFFF"/>
            </w:tcBorders>
            <w:shd w:val="clear" w:color="000000" w:fill="BFE2A8"/>
            <w:noWrap/>
            <w:vAlign w:val="center"/>
            <w:hideMark/>
          </w:tcPr>
          <w:p w14:paraId="14EDB021"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Modernización subestación Valdivia 44/13.2 kV</w:t>
            </w:r>
          </w:p>
        </w:tc>
        <w:tc>
          <w:tcPr>
            <w:tcW w:w="1039" w:type="dxa"/>
            <w:tcBorders>
              <w:top w:val="nil"/>
              <w:left w:val="nil"/>
              <w:bottom w:val="single" w:sz="8" w:space="0" w:color="FFFFFF"/>
              <w:right w:val="single" w:sz="8" w:space="0" w:color="FFFFFF"/>
            </w:tcBorders>
            <w:shd w:val="clear" w:color="000000" w:fill="EAF4D7"/>
            <w:vAlign w:val="center"/>
            <w:hideMark/>
          </w:tcPr>
          <w:p w14:paraId="7D8A9383" w14:textId="77777777" w:rsidR="00812322" w:rsidRPr="00812322" w:rsidRDefault="00812322" w:rsidP="00812322">
            <w:pPr>
              <w:spacing w:after="0" w:line="240" w:lineRule="auto"/>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Costo Ambiental</w:t>
            </w:r>
          </w:p>
        </w:tc>
        <w:tc>
          <w:tcPr>
            <w:tcW w:w="812" w:type="dxa"/>
            <w:tcBorders>
              <w:top w:val="nil"/>
              <w:left w:val="nil"/>
              <w:bottom w:val="single" w:sz="8" w:space="0" w:color="FFFFFF"/>
              <w:right w:val="single" w:sz="8" w:space="0" w:color="FFFFFF"/>
            </w:tcBorders>
            <w:shd w:val="clear" w:color="000000" w:fill="EAF4D7"/>
            <w:vAlign w:val="center"/>
            <w:hideMark/>
          </w:tcPr>
          <w:p w14:paraId="484A0B44"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795" w:type="dxa"/>
            <w:tcBorders>
              <w:top w:val="nil"/>
              <w:left w:val="nil"/>
              <w:bottom w:val="single" w:sz="8" w:space="0" w:color="FFFFFF"/>
              <w:right w:val="single" w:sz="8" w:space="0" w:color="FFFFFF"/>
            </w:tcBorders>
            <w:shd w:val="clear" w:color="000000" w:fill="EAF4D7"/>
            <w:vAlign w:val="center"/>
            <w:hideMark/>
          </w:tcPr>
          <w:p w14:paraId="5B9F0126"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2.70</w:t>
            </w:r>
          </w:p>
        </w:tc>
        <w:tc>
          <w:tcPr>
            <w:tcW w:w="821" w:type="dxa"/>
            <w:tcBorders>
              <w:top w:val="nil"/>
              <w:left w:val="nil"/>
              <w:bottom w:val="single" w:sz="8" w:space="0" w:color="FFFFFF"/>
              <w:right w:val="single" w:sz="8" w:space="0" w:color="FFFFFF"/>
            </w:tcBorders>
            <w:shd w:val="clear" w:color="000000" w:fill="EAF4D7"/>
            <w:vAlign w:val="center"/>
            <w:hideMark/>
          </w:tcPr>
          <w:p w14:paraId="7DFBF9A6"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3.81</w:t>
            </w:r>
          </w:p>
        </w:tc>
        <w:tc>
          <w:tcPr>
            <w:tcW w:w="611" w:type="dxa"/>
            <w:tcBorders>
              <w:top w:val="nil"/>
              <w:left w:val="nil"/>
              <w:bottom w:val="single" w:sz="8" w:space="0" w:color="FFFFFF"/>
              <w:right w:val="single" w:sz="8" w:space="0" w:color="FFFFFF"/>
            </w:tcBorders>
            <w:shd w:val="clear" w:color="000000" w:fill="EAF4D7"/>
            <w:vAlign w:val="center"/>
            <w:hideMark/>
          </w:tcPr>
          <w:p w14:paraId="46A55642"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46" w:type="dxa"/>
            <w:tcBorders>
              <w:top w:val="nil"/>
              <w:left w:val="nil"/>
              <w:bottom w:val="single" w:sz="8" w:space="0" w:color="FFFFFF"/>
              <w:right w:val="single" w:sz="8" w:space="0" w:color="FFFFFF"/>
            </w:tcBorders>
            <w:shd w:val="clear" w:color="000000" w:fill="EAF4D7"/>
            <w:vAlign w:val="center"/>
            <w:hideMark/>
          </w:tcPr>
          <w:p w14:paraId="4FEAECAE"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6.51</w:t>
            </w:r>
          </w:p>
        </w:tc>
      </w:tr>
      <w:tr w:rsidR="00EF3F98" w:rsidRPr="00812322" w14:paraId="7CF939A0" w14:textId="77777777" w:rsidTr="00EF3F98">
        <w:trPr>
          <w:trHeight w:val="273"/>
        </w:trPr>
        <w:tc>
          <w:tcPr>
            <w:tcW w:w="1730"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039D0310"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PEI0606TYDCE</w:t>
            </w:r>
          </w:p>
        </w:tc>
        <w:tc>
          <w:tcPr>
            <w:tcW w:w="2222"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398B25BA"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Nueva subestación Calizas 110 kV + refuerzo STR y SDL</w:t>
            </w:r>
          </w:p>
        </w:tc>
        <w:tc>
          <w:tcPr>
            <w:tcW w:w="1039" w:type="dxa"/>
            <w:tcBorders>
              <w:top w:val="nil"/>
              <w:left w:val="nil"/>
              <w:bottom w:val="single" w:sz="8" w:space="0" w:color="FFFFFF"/>
              <w:right w:val="single" w:sz="8" w:space="0" w:color="FFFFFF"/>
            </w:tcBorders>
            <w:shd w:val="clear" w:color="000000" w:fill="D6EAAF"/>
            <w:vAlign w:val="center"/>
            <w:hideMark/>
          </w:tcPr>
          <w:p w14:paraId="2A3321C9" w14:textId="77777777" w:rsidR="00812322" w:rsidRPr="00812322" w:rsidRDefault="00812322" w:rsidP="00812322">
            <w:pPr>
              <w:spacing w:after="0" w:line="240" w:lineRule="auto"/>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Costo Ambiental</w:t>
            </w:r>
          </w:p>
        </w:tc>
        <w:tc>
          <w:tcPr>
            <w:tcW w:w="812" w:type="dxa"/>
            <w:tcBorders>
              <w:top w:val="nil"/>
              <w:left w:val="nil"/>
              <w:bottom w:val="single" w:sz="8" w:space="0" w:color="FFFFFF"/>
              <w:right w:val="single" w:sz="8" w:space="0" w:color="FFFFFF"/>
            </w:tcBorders>
            <w:shd w:val="clear" w:color="000000" w:fill="D6EAAF"/>
            <w:vAlign w:val="center"/>
            <w:hideMark/>
          </w:tcPr>
          <w:p w14:paraId="06A3E2AE" w14:textId="7140B9E6" w:rsidR="00812322" w:rsidRPr="00812322" w:rsidRDefault="00F22B38" w:rsidP="00812322">
            <w:pPr>
              <w:spacing w:after="0" w:line="240" w:lineRule="auto"/>
              <w:jc w:val="right"/>
              <w:rPr>
                <w:rFonts w:ascii="Trebuchet MS" w:eastAsia="Times New Roman" w:hAnsi="Trebuchet MS" w:cs="Calibri"/>
                <w:color w:val="000000"/>
                <w:sz w:val="16"/>
                <w:szCs w:val="16"/>
                <w:lang w:eastAsia="es-CO"/>
              </w:rPr>
            </w:pPr>
            <w:r w:rsidRPr="00F22B38">
              <w:rPr>
                <w:rFonts w:ascii="Trebuchet MS" w:eastAsia="Times New Roman" w:hAnsi="Trebuchet MS" w:cs="Calibri"/>
                <w:color w:val="000000"/>
                <w:sz w:val="16"/>
                <w:szCs w:val="16"/>
                <w:lang w:eastAsia="es-CO"/>
              </w:rPr>
              <w:t>65.79</w:t>
            </w:r>
          </w:p>
        </w:tc>
        <w:tc>
          <w:tcPr>
            <w:tcW w:w="795" w:type="dxa"/>
            <w:tcBorders>
              <w:top w:val="nil"/>
              <w:left w:val="nil"/>
              <w:bottom w:val="single" w:sz="8" w:space="0" w:color="FFFFFF"/>
              <w:right w:val="single" w:sz="8" w:space="0" w:color="FFFFFF"/>
            </w:tcBorders>
            <w:shd w:val="clear" w:color="000000" w:fill="D6EAAF"/>
            <w:vAlign w:val="center"/>
            <w:hideMark/>
          </w:tcPr>
          <w:p w14:paraId="583BEBB3"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21" w:type="dxa"/>
            <w:tcBorders>
              <w:top w:val="nil"/>
              <w:left w:val="nil"/>
              <w:bottom w:val="single" w:sz="8" w:space="0" w:color="FFFFFF"/>
              <w:right w:val="single" w:sz="8" w:space="0" w:color="FFFFFF"/>
            </w:tcBorders>
            <w:shd w:val="clear" w:color="000000" w:fill="D6EAAF"/>
            <w:vAlign w:val="center"/>
            <w:hideMark/>
          </w:tcPr>
          <w:p w14:paraId="0DCE1E9A"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611" w:type="dxa"/>
            <w:tcBorders>
              <w:top w:val="nil"/>
              <w:left w:val="nil"/>
              <w:bottom w:val="single" w:sz="8" w:space="0" w:color="FFFFFF"/>
              <w:right w:val="single" w:sz="8" w:space="0" w:color="FFFFFF"/>
            </w:tcBorders>
            <w:shd w:val="clear" w:color="000000" w:fill="D6EAAF"/>
            <w:vAlign w:val="center"/>
            <w:hideMark/>
          </w:tcPr>
          <w:p w14:paraId="3778B4FD"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46" w:type="dxa"/>
            <w:tcBorders>
              <w:top w:val="nil"/>
              <w:left w:val="nil"/>
              <w:bottom w:val="single" w:sz="8" w:space="0" w:color="FFFFFF"/>
              <w:right w:val="single" w:sz="8" w:space="0" w:color="FFFFFF"/>
            </w:tcBorders>
            <w:shd w:val="clear" w:color="000000" w:fill="D6EAAF"/>
            <w:vAlign w:val="center"/>
            <w:hideMark/>
          </w:tcPr>
          <w:p w14:paraId="2CC42CD9"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51.64</w:t>
            </w:r>
          </w:p>
        </w:tc>
      </w:tr>
      <w:tr w:rsidR="00EF3F98" w:rsidRPr="00812322" w14:paraId="35C6FD15" w14:textId="77777777" w:rsidTr="00EF3F98">
        <w:trPr>
          <w:trHeight w:val="273"/>
        </w:trPr>
        <w:tc>
          <w:tcPr>
            <w:tcW w:w="1730" w:type="dxa"/>
            <w:vMerge/>
            <w:tcBorders>
              <w:top w:val="nil"/>
              <w:left w:val="single" w:sz="8" w:space="0" w:color="FFFFFF"/>
              <w:bottom w:val="single" w:sz="8" w:space="0" w:color="FFFFFF"/>
              <w:right w:val="single" w:sz="8" w:space="0" w:color="FFFFFF"/>
            </w:tcBorders>
            <w:vAlign w:val="center"/>
            <w:hideMark/>
          </w:tcPr>
          <w:p w14:paraId="0024A331"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p>
        </w:tc>
        <w:tc>
          <w:tcPr>
            <w:tcW w:w="2222" w:type="dxa"/>
            <w:vMerge/>
            <w:tcBorders>
              <w:top w:val="nil"/>
              <w:left w:val="single" w:sz="8" w:space="0" w:color="FFFFFF"/>
              <w:bottom w:val="single" w:sz="8" w:space="0" w:color="FFFFFF"/>
              <w:right w:val="single" w:sz="8" w:space="0" w:color="FFFFFF"/>
            </w:tcBorders>
            <w:vAlign w:val="center"/>
            <w:hideMark/>
          </w:tcPr>
          <w:p w14:paraId="18955037"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p>
        </w:tc>
        <w:tc>
          <w:tcPr>
            <w:tcW w:w="1039" w:type="dxa"/>
            <w:tcBorders>
              <w:top w:val="nil"/>
              <w:left w:val="nil"/>
              <w:bottom w:val="single" w:sz="8" w:space="0" w:color="FFFFFF"/>
              <w:right w:val="single" w:sz="8" w:space="0" w:color="FFFFFF"/>
            </w:tcBorders>
            <w:shd w:val="clear" w:color="000000" w:fill="EAF4D7"/>
            <w:vAlign w:val="center"/>
            <w:hideMark/>
          </w:tcPr>
          <w:p w14:paraId="3333176A" w14:textId="77777777" w:rsidR="00812322" w:rsidRPr="00812322" w:rsidRDefault="00812322" w:rsidP="00812322">
            <w:pPr>
              <w:spacing w:after="0" w:line="240" w:lineRule="auto"/>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Costo Servidumbre</w:t>
            </w:r>
          </w:p>
        </w:tc>
        <w:tc>
          <w:tcPr>
            <w:tcW w:w="812" w:type="dxa"/>
            <w:tcBorders>
              <w:top w:val="nil"/>
              <w:left w:val="nil"/>
              <w:bottom w:val="single" w:sz="8" w:space="0" w:color="FFFFFF"/>
              <w:right w:val="single" w:sz="8" w:space="0" w:color="FFFFFF"/>
            </w:tcBorders>
            <w:shd w:val="clear" w:color="000000" w:fill="EAF4D7"/>
            <w:vAlign w:val="center"/>
            <w:hideMark/>
          </w:tcPr>
          <w:p w14:paraId="4A15FFA7"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39.36</w:t>
            </w:r>
          </w:p>
        </w:tc>
        <w:tc>
          <w:tcPr>
            <w:tcW w:w="795" w:type="dxa"/>
            <w:tcBorders>
              <w:top w:val="nil"/>
              <w:left w:val="nil"/>
              <w:bottom w:val="single" w:sz="8" w:space="0" w:color="FFFFFF"/>
              <w:right w:val="single" w:sz="8" w:space="0" w:color="FFFFFF"/>
            </w:tcBorders>
            <w:shd w:val="clear" w:color="000000" w:fill="EAF4D7"/>
            <w:vAlign w:val="center"/>
            <w:hideMark/>
          </w:tcPr>
          <w:p w14:paraId="48FD73EC"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21" w:type="dxa"/>
            <w:tcBorders>
              <w:top w:val="nil"/>
              <w:left w:val="nil"/>
              <w:bottom w:val="single" w:sz="8" w:space="0" w:color="FFFFFF"/>
              <w:right w:val="single" w:sz="8" w:space="0" w:color="FFFFFF"/>
            </w:tcBorders>
            <w:shd w:val="clear" w:color="000000" w:fill="EAF4D7"/>
            <w:vAlign w:val="center"/>
            <w:hideMark/>
          </w:tcPr>
          <w:p w14:paraId="3E54FECC"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611" w:type="dxa"/>
            <w:tcBorders>
              <w:top w:val="nil"/>
              <w:left w:val="nil"/>
              <w:bottom w:val="single" w:sz="8" w:space="0" w:color="FFFFFF"/>
              <w:right w:val="single" w:sz="8" w:space="0" w:color="FFFFFF"/>
            </w:tcBorders>
            <w:shd w:val="clear" w:color="000000" w:fill="EAF4D7"/>
            <w:vAlign w:val="center"/>
            <w:hideMark/>
          </w:tcPr>
          <w:p w14:paraId="5DBFBEAF"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46" w:type="dxa"/>
            <w:tcBorders>
              <w:top w:val="nil"/>
              <w:left w:val="nil"/>
              <w:bottom w:val="single" w:sz="8" w:space="0" w:color="FFFFFF"/>
              <w:right w:val="single" w:sz="8" w:space="0" w:color="FFFFFF"/>
            </w:tcBorders>
            <w:shd w:val="clear" w:color="000000" w:fill="EAF4D7"/>
            <w:vAlign w:val="center"/>
            <w:hideMark/>
          </w:tcPr>
          <w:p w14:paraId="200332F7"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39.36</w:t>
            </w:r>
          </w:p>
        </w:tc>
      </w:tr>
      <w:tr w:rsidR="00EF3F98" w:rsidRPr="00812322" w14:paraId="71A44E4C" w14:textId="77777777" w:rsidTr="00EF3F98">
        <w:trPr>
          <w:trHeight w:val="273"/>
        </w:trPr>
        <w:tc>
          <w:tcPr>
            <w:tcW w:w="1730" w:type="dxa"/>
            <w:tcBorders>
              <w:top w:val="nil"/>
              <w:left w:val="single" w:sz="8" w:space="0" w:color="FFFFFF"/>
              <w:bottom w:val="single" w:sz="8" w:space="0" w:color="FFFFFF"/>
              <w:right w:val="single" w:sz="8" w:space="0" w:color="FFFFFF"/>
            </w:tcBorders>
            <w:shd w:val="clear" w:color="000000" w:fill="BFE2A8"/>
            <w:noWrap/>
            <w:vAlign w:val="center"/>
            <w:hideMark/>
          </w:tcPr>
          <w:p w14:paraId="2DE7CFD1" w14:textId="1A6FB197" w:rsidR="008520DE" w:rsidRPr="00812322" w:rsidRDefault="008520DE" w:rsidP="008520DE">
            <w:pPr>
              <w:spacing w:after="0" w:line="240" w:lineRule="auto"/>
              <w:rPr>
                <w:rFonts w:ascii="Trebuchet MS" w:eastAsia="Times New Roman" w:hAnsi="Trebuchet MS" w:cs="Calibri"/>
                <w:b/>
                <w:bCs/>
                <w:color w:val="000000"/>
                <w:sz w:val="16"/>
                <w:szCs w:val="16"/>
                <w:lang w:eastAsia="es-CO"/>
              </w:rPr>
            </w:pPr>
            <w:r>
              <w:rPr>
                <w:rFonts w:ascii="Trebuchet MS" w:hAnsi="Trebuchet MS" w:cs="Calibri"/>
                <w:b/>
                <w:bCs/>
                <w:color w:val="000000"/>
                <w:sz w:val="16"/>
                <w:szCs w:val="16"/>
              </w:rPr>
              <w:t>PEI1000TYDLI</w:t>
            </w:r>
          </w:p>
        </w:tc>
        <w:tc>
          <w:tcPr>
            <w:tcW w:w="2222" w:type="dxa"/>
            <w:tcBorders>
              <w:top w:val="nil"/>
              <w:left w:val="nil"/>
              <w:bottom w:val="single" w:sz="8" w:space="0" w:color="FFFFFF"/>
              <w:right w:val="single" w:sz="8" w:space="0" w:color="FFFFFF"/>
            </w:tcBorders>
            <w:shd w:val="clear" w:color="000000" w:fill="BFE2A8"/>
            <w:noWrap/>
            <w:vAlign w:val="center"/>
            <w:hideMark/>
          </w:tcPr>
          <w:p w14:paraId="311C5FD1" w14:textId="7C7563A9" w:rsidR="008520DE" w:rsidRPr="00812322" w:rsidRDefault="008520DE" w:rsidP="008520DE">
            <w:pPr>
              <w:spacing w:after="0" w:line="240" w:lineRule="auto"/>
              <w:rPr>
                <w:rFonts w:ascii="Trebuchet MS" w:eastAsia="Times New Roman" w:hAnsi="Trebuchet MS" w:cs="Calibri"/>
                <w:b/>
                <w:bCs/>
                <w:color w:val="000000"/>
                <w:sz w:val="16"/>
                <w:szCs w:val="16"/>
                <w:lang w:eastAsia="es-CO"/>
              </w:rPr>
            </w:pPr>
            <w:r>
              <w:rPr>
                <w:rFonts w:ascii="Trebuchet MS" w:hAnsi="Trebuchet MS" w:cs="Calibri"/>
                <w:b/>
                <w:bCs/>
                <w:color w:val="000000"/>
                <w:sz w:val="16"/>
                <w:szCs w:val="16"/>
              </w:rPr>
              <w:t>Plan mejoramiento calidad del servicio</w:t>
            </w:r>
          </w:p>
        </w:tc>
        <w:tc>
          <w:tcPr>
            <w:tcW w:w="1039" w:type="dxa"/>
            <w:tcBorders>
              <w:top w:val="nil"/>
              <w:left w:val="nil"/>
              <w:bottom w:val="single" w:sz="8" w:space="0" w:color="FFFFFF"/>
              <w:right w:val="single" w:sz="8" w:space="0" w:color="FFFFFF"/>
            </w:tcBorders>
            <w:shd w:val="clear" w:color="000000" w:fill="D6EAAF"/>
            <w:vAlign w:val="center"/>
            <w:hideMark/>
          </w:tcPr>
          <w:p w14:paraId="28949511" w14:textId="77777777" w:rsidR="008520DE" w:rsidRPr="00812322" w:rsidRDefault="008520DE" w:rsidP="008520DE">
            <w:pPr>
              <w:spacing w:after="0" w:line="240" w:lineRule="auto"/>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Costo Ambiental</w:t>
            </w:r>
          </w:p>
        </w:tc>
        <w:tc>
          <w:tcPr>
            <w:tcW w:w="812" w:type="dxa"/>
            <w:tcBorders>
              <w:top w:val="nil"/>
              <w:left w:val="nil"/>
              <w:bottom w:val="single" w:sz="8" w:space="0" w:color="FFFFFF"/>
              <w:right w:val="single" w:sz="8" w:space="0" w:color="FFFFFF"/>
            </w:tcBorders>
            <w:shd w:val="clear" w:color="000000" w:fill="D6EAAF"/>
            <w:vAlign w:val="center"/>
            <w:hideMark/>
          </w:tcPr>
          <w:p w14:paraId="6727733B" w14:textId="77777777" w:rsidR="008520DE" w:rsidRPr="00812322" w:rsidRDefault="008520DE" w:rsidP="008520DE">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795" w:type="dxa"/>
            <w:tcBorders>
              <w:top w:val="nil"/>
              <w:left w:val="nil"/>
              <w:bottom w:val="single" w:sz="8" w:space="0" w:color="FFFFFF"/>
              <w:right w:val="single" w:sz="8" w:space="0" w:color="FFFFFF"/>
            </w:tcBorders>
            <w:shd w:val="clear" w:color="000000" w:fill="D6EAAF"/>
            <w:vAlign w:val="center"/>
            <w:hideMark/>
          </w:tcPr>
          <w:p w14:paraId="6F7C9844" w14:textId="77777777" w:rsidR="008520DE" w:rsidRPr="00812322" w:rsidRDefault="008520DE" w:rsidP="008520DE">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21" w:type="dxa"/>
            <w:tcBorders>
              <w:top w:val="nil"/>
              <w:left w:val="nil"/>
              <w:bottom w:val="single" w:sz="8" w:space="0" w:color="FFFFFF"/>
              <w:right w:val="single" w:sz="8" w:space="0" w:color="FFFFFF"/>
            </w:tcBorders>
            <w:shd w:val="clear" w:color="000000" w:fill="D6EAAF"/>
            <w:vAlign w:val="center"/>
            <w:hideMark/>
          </w:tcPr>
          <w:p w14:paraId="19EA4FE2" w14:textId="77777777" w:rsidR="008520DE" w:rsidRPr="00812322" w:rsidRDefault="008520DE" w:rsidP="008520DE">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106.19</w:t>
            </w:r>
          </w:p>
        </w:tc>
        <w:tc>
          <w:tcPr>
            <w:tcW w:w="611" w:type="dxa"/>
            <w:tcBorders>
              <w:top w:val="nil"/>
              <w:left w:val="nil"/>
              <w:bottom w:val="single" w:sz="8" w:space="0" w:color="FFFFFF"/>
              <w:right w:val="single" w:sz="8" w:space="0" w:color="FFFFFF"/>
            </w:tcBorders>
            <w:shd w:val="clear" w:color="000000" w:fill="D6EAAF"/>
            <w:vAlign w:val="center"/>
            <w:hideMark/>
          </w:tcPr>
          <w:p w14:paraId="4D074939" w14:textId="77777777" w:rsidR="008520DE" w:rsidRPr="00812322" w:rsidRDefault="008520DE" w:rsidP="008520DE">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 </w:t>
            </w:r>
          </w:p>
        </w:tc>
        <w:tc>
          <w:tcPr>
            <w:tcW w:w="846" w:type="dxa"/>
            <w:tcBorders>
              <w:top w:val="nil"/>
              <w:left w:val="nil"/>
              <w:bottom w:val="single" w:sz="8" w:space="0" w:color="FFFFFF"/>
              <w:right w:val="single" w:sz="8" w:space="0" w:color="FFFFFF"/>
            </w:tcBorders>
            <w:shd w:val="clear" w:color="000000" w:fill="D6EAAF"/>
            <w:vAlign w:val="center"/>
            <w:hideMark/>
          </w:tcPr>
          <w:p w14:paraId="2B90EB6C" w14:textId="77777777" w:rsidR="008520DE" w:rsidRPr="00812322" w:rsidRDefault="008520DE" w:rsidP="008520DE">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106.19</w:t>
            </w:r>
          </w:p>
        </w:tc>
      </w:tr>
      <w:tr w:rsidR="00812322" w:rsidRPr="00812322" w14:paraId="474F008E" w14:textId="77777777" w:rsidTr="00EF3F98">
        <w:trPr>
          <w:trHeight w:val="273"/>
        </w:trPr>
        <w:tc>
          <w:tcPr>
            <w:tcW w:w="8876" w:type="dxa"/>
            <w:gridSpan w:val="8"/>
            <w:tcBorders>
              <w:top w:val="single" w:sz="8" w:space="0" w:color="FFFFFF"/>
              <w:left w:val="nil"/>
              <w:bottom w:val="single" w:sz="8" w:space="0" w:color="FFFFFF"/>
              <w:right w:val="single" w:sz="8" w:space="0" w:color="FFFFFF"/>
            </w:tcBorders>
            <w:shd w:val="clear" w:color="000000" w:fill="EAF4D7"/>
            <w:vAlign w:val="center"/>
            <w:hideMark/>
          </w:tcPr>
          <w:p w14:paraId="475C9F10"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Resumen</w:t>
            </w:r>
          </w:p>
        </w:tc>
      </w:tr>
      <w:tr w:rsidR="00EF3F98" w:rsidRPr="00812322" w14:paraId="6BDE351C" w14:textId="77777777" w:rsidTr="00EF3F98">
        <w:trPr>
          <w:trHeight w:val="273"/>
        </w:trPr>
        <w:tc>
          <w:tcPr>
            <w:tcW w:w="3952" w:type="dxa"/>
            <w:gridSpan w:val="2"/>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3CD515F6"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 </w:t>
            </w:r>
          </w:p>
        </w:tc>
        <w:tc>
          <w:tcPr>
            <w:tcW w:w="1039" w:type="dxa"/>
            <w:tcBorders>
              <w:top w:val="nil"/>
              <w:left w:val="nil"/>
              <w:bottom w:val="single" w:sz="8" w:space="0" w:color="FFFFFF"/>
              <w:right w:val="single" w:sz="8" w:space="0" w:color="FFFFFF"/>
            </w:tcBorders>
            <w:shd w:val="clear" w:color="000000" w:fill="A9D08E"/>
            <w:vAlign w:val="center"/>
            <w:hideMark/>
          </w:tcPr>
          <w:p w14:paraId="55B8580E"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Concepto</w:t>
            </w:r>
          </w:p>
        </w:tc>
        <w:tc>
          <w:tcPr>
            <w:tcW w:w="812" w:type="dxa"/>
            <w:tcBorders>
              <w:top w:val="nil"/>
              <w:left w:val="nil"/>
              <w:bottom w:val="single" w:sz="8" w:space="0" w:color="FFFFFF"/>
              <w:right w:val="single" w:sz="8" w:space="0" w:color="FFFFFF"/>
            </w:tcBorders>
            <w:shd w:val="clear" w:color="000000" w:fill="A9D08E"/>
            <w:vAlign w:val="center"/>
            <w:hideMark/>
          </w:tcPr>
          <w:p w14:paraId="1C16FB30"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N4</w:t>
            </w:r>
          </w:p>
        </w:tc>
        <w:tc>
          <w:tcPr>
            <w:tcW w:w="795" w:type="dxa"/>
            <w:tcBorders>
              <w:top w:val="nil"/>
              <w:left w:val="nil"/>
              <w:bottom w:val="single" w:sz="8" w:space="0" w:color="FFFFFF"/>
              <w:right w:val="single" w:sz="8" w:space="0" w:color="FFFFFF"/>
            </w:tcBorders>
            <w:shd w:val="clear" w:color="000000" w:fill="A9D08E"/>
            <w:vAlign w:val="center"/>
            <w:hideMark/>
          </w:tcPr>
          <w:p w14:paraId="38AF1BB5"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N3</w:t>
            </w:r>
          </w:p>
        </w:tc>
        <w:tc>
          <w:tcPr>
            <w:tcW w:w="821" w:type="dxa"/>
            <w:tcBorders>
              <w:top w:val="nil"/>
              <w:left w:val="nil"/>
              <w:bottom w:val="single" w:sz="8" w:space="0" w:color="FFFFFF"/>
              <w:right w:val="single" w:sz="8" w:space="0" w:color="FFFFFF"/>
            </w:tcBorders>
            <w:shd w:val="clear" w:color="000000" w:fill="A9D08E"/>
            <w:vAlign w:val="center"/>
            <w:hideMark/>
          </w:tcPr>
          <w:p w14:paraId="30C6BC3B"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N2</w:t>
            </w:r>
          </w:p>
        </w:tc>
        <w:tc>
          <w:tcPr>
            <w:tcW w:w="611" w:type="dxa"/>
            <w:tcBorders>
              <w:top w:val="nil"/>
              <w:left w:val="nil"/>
              <w:bottom w:val="single" w:sz="8" w:space="0" w:color="FFFFFF"/>
              <w:right w:val="single" w:sz="8" w:space="0" w:color="FFFFFF"/>
            </w:tcBorders>
            <w:shd w:val="clear" w:color="000000" w:fill="A9D08E"/>
            <w:vAlign w:val="center"/>
            <w:hideMark/>
          </w:tcPr>
          <w:p w14:paraId="532FF63A"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N1</w:t>
            </w:r>
          </w:p>
        </w:tc>
        <w:tc>
          <w:tcPr>
            <w:tcW w:w="846" w:type="dxa"/>
            <w:tcBorders>
              <w:top w:val="nil"/>
              <w:left w:val="nil"/>
              <w:bottom w:val="single" w:sz="8" w:space="0" w:color="FFFFFF"/>
              <w:right w:val="single" w:sz="8" w:space="0" w:color="FFFFFF"/>
            </w:tcBorders>
            <w:shd w:val="clear" w:color="000000" w:fill="A9D08E"/>
            <w:vAlign w:val="center"/>
            <w:hideMark/>
          </w:tcPr>
          <w:p w14:paraId="72060441"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TOTAL</w:t>
            </w:r>
          </w:p>
        </w:tc>
      </w:tr>
      <w:tr w:rsidR="00EF3F98" w:rsidRPr="00812322" w14:paraId="55955D0C" w14:textId="77777777" w:rsidTr="00676BE8">
        <w:trPr>
          <w:trHeight w:val="283"/>
        </w:trPr>
        <w:tc>
          <w:tcPr>
            <w:tcW w:w="3952" w:type="dxa"/>
            <w:gridSpan w:val="2"/>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46A86AFB"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Subtotal</w:t>
            </w:r>
          </w:p>
        </w:tc>
        <w:tc>
          <w:tcPr>
            <w:tcW w:w="1039" w:type="dxa"/>
            <w:tcBorders>
              <w:top w:val="nil"/>
              <w:left w:val="nil"/>
              <w:bottom w:val="single" w:sz="8" w:space="0" w:color="FFFFFF"/>
              <w:right w:val="single" w:sz="8" w:space="0" w:color="FFFFFF"/>
            </w:tcBorders>
            <w:shd w:val="clear" w:color="000000" w:fill="D3F0E2"/>
            <w:vAlign w:val="center"/>
            <w:hideMark/>
          </w:tcPr>
          <w:p w14:paraId="461D0A1B" w14:textId="77777777" w:rsidR="00812322" w:rsidRPr="00812322" w:rsidRDefault="00812322" w:rsidP="00812322">
            <w:pPr>
              <w:spacing w:after="0" w:line="240" w:lineRule="auto"/>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Costo Ambiental</w:t>
            </w:r>
          </w:p>
        </w:tc>
        <w:tc>
          <w:tcPr>
            <w:tcW w:w="812" w:type="dxa"/>
            <w:tcBorders>
              <w:top w:val="nil"/>
              <w:left w:val="nil"/>
              <w:bottom w:val="single" w:sz="8" w:space="0" w:color="FFFFFF"/>
              <w:right w:val="single" w:sz="8" w:space="0" w:color="FFFFFF"/>
            </w:tcBorders>
            <w:shd w:val="clear" w:color="000000" w:fill="D3F0E2"/>
            <w:vAlign w:val="center"/>
            <w:hideMark/>
          </w:tcPr>
          <w:p w14:paraId="63198F5D" w14:textId="6015DB71" w:rsidR="00812322" w:rsidRPr="00676BE8" w:rsidRDefault="00D34E67" w:rsidP="00676BE8">
            <w:pPr>
              <w:spacing w:after="0" w:line="240" w:lineRule="auto"/>
              <w:jc w:val="center"/>
              <w:rPr>
                <w:rFonts w:ascii="Trebuchet MS" w:eastAsia="Times New Roman" w:hAnsi="Trebuchet MS" w:cs="Calibri"/>
                <w:color w:val="000000"/>
                <w:sz w:val="16"/>
                <w:szCs w:val="16"/>
                <w:lang w:eastAsia="es-CO"/>
              </w:rPr>
            </w:pPr>
            <w:r w:rsidRPr="00676BE8">
              <w:rPr>
                <w:rFonts w:ascii="Trebuchet MS" w:eastAsia="Times New Roman" w:hAnsi="Trebuchet MS" w:cs="Calibri"/>
                <w:color w:val="000000"/>
                <w:sz w:val="16"/>
                <w:szCs w:val="16"/>
                <w:lang w:eastAsia="es-CO"/>
              </w:rPr>
              <w:t>390.72</w:t>
            </w:r>
          </w:p>
        </w:tc>
        <w:tc>
          <w:tcPr>
            <w:tcW w:w="795" w:type="dxa"/>
            <w:tcBorders>
              <w:top w:val="nil"/>
              <w:left w:val="nil"/>
              <w:bottom w:val="single" w:sz="8" w:space="0" w:color="FFFFFF"/>
              <w:right w:val="single" w:sz="8" w:space="0" w:color="FFFFFF"/>
            </w:tcBorders>
            <w:shd w:val="clear" w:color="000000" w:fill="D3F0E2"/>
            <w:vAlign w:val="center"/>
            <w:hideMark/>
          </w:tcPr>
          <w:p w14:paraId="669DCFA7" w14:textId="77777777" w:rsidR="00812322" w:rsidRPr="00812322" w:rsidRDefault="00812322" w:rsidP="00676BE8">
            <w:pPr>
              <w:spacing w:after="0" w:line="240" w:lineRule="auto"/>
              <w:jc w:val="center"/>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186.24</w:t>
            </w:r>
          </w:p>
        </w:tc>
        <w:tc>
          <w:tcPr>
            <w:tcW w:w="821" w:type="dxa"/>
            <w:tcBorders>
              <w:top w:val="nil"/>
              <w:left w:val="nil"/>
              <w:bottom w:val="single" w:sz="8" w:space="0" w:color="FFFFFF"/>
              <w:right w:val="single" w:sz="8" w:space="0" w:color="FFFFFF"/>
            </w:tcBorders>
            <w:shd w:val="clear" w:color="000000" w:fill="D3F0E2"/>
            <w:vAlign w:val="center"/>
            <w:hideMark/>
          </w:tcPr>
          <w:p w14:paraId="4F3436F3" w14:textId="77777777" w:rsidR="00812322" w:rsidRPr="00812322" w:rsidRDefault="00812322" w:rsidP="00676BE8">
            <w:pPr>
              <w:spacing w:after="0" w:line="240" w:lineRule="auto"/>
              <w:jc w:val="center"/>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272.42</w:t>
            </w:r>
          </w:p>
        </w:tc>
        <w:tc>
          <w:tcPr>
            <w:tcW w:w="611" w:type="dxa"/>
            <w:tcBorders>
              <w:top w:val="nil"/>
              <w:left w:val="nil"/>
              <w:bottom w:val="single" w:sz="8" w:space="0" w:color="FFFFFF"/>
              <w:right w:val="single" w:sz="8" w:space="0" w:color="FFFFFF"/>
            </w:tcBorders>
            <w:shd w:val="clear" w:color="000000" w:fill="D3F0E2"/>
            <w:vAlign w:val="center"/>
            <w:hideMark/>
          </w:tcPr>
          <w:p w14:paraId="212CD6BB" w14:textId="77777777" w:rsidR="00812322" w:rsidRPr="00812322" w:rsidRDefault="00812322" w:rsidP="00676BE8">
            <w:pPr>
              <w:spacing w:after="0" w:line="240" w:lineRule="auto"/>
              <w:jc w:val="center"/>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0.00</w:t>
            </w:r>
          </w:p>
        </w:tc>
        <w:tc>
          <w:tcPr>
            <w:tcW w:w="846" w:type="dxa"/>
            <w:tcBorders>
              <w:top w:val="nil"/>
              <w:left w:val="nil"/>
              <w:bottom w:val="single" w:sz="8" w:space="0" w:color="FFFFFF"/>
              <w:right w:val="single" w:sz="8" w:space="0" w:color="FFFFFF"/>
            </w:tcBorders>
            <w:shd w:val="clear" w:color="000000" w:fill="D3F0E2"/>
            <w:vAlign w:val="center"/>
            <w:hideMark/>
          </w:tcPr>
          <w:p w14:paraId="50367E3A" w14:textId="42498793" w:rsidR="00812322" w:rsidRPr="00812322" w:rsidRDefault="007E6CD7" w:rsidP="00676BE8">
            <w:pPr>
              <w:spacing w:after="0" w:line="240" w:lineRule="auto"/>
              <w:jc w:val="center"/>
              <w:rPr>
                <w:rFonts w:ascii="Trebuchet MS" w:eastAsia="Times New Roman" w:hAnsi="Trebuchet MS" w:cs="Calibri"/>
                <w:b/>
                <w:bCs/>
                <w:color w:val="000000"/>
                <w:sz w:val="16"/>
                <w:szCs w:val="16"/>
                <w:lang w:eastAsia="es-CO"/>
              </w:rPr>
            </w:pPr>
            <w:r>
              <w:rPr>
                <w:rFonts w:ascii="Trebuchet MS" w:eastAsia="Times New Roman" w:hAnsi="Trebuchet MS" w:cs="Calibri"/>
                <w:b/>
                <w:bCs/>
                <w:color w:val="000000"/>
                <w:sz w:val="16"/>
                <w:szCs w:val="16"/>
                <w:lang w:eastAsia="es-CO"/>
              </w:rPr>
              <w:t>849.38</w:t>
            </w:r>
          </w:p>
        </w:tc>
      </w:tr>
      <w:tr w:rsidR="00EF3F98" w:rsidRPr="00812322" w14:paraId="0D4358F3" w14:textId="77777777" w:rsidTr="00EF3F98">
        <w:trPr>
          <w:trHeight w:val="273"/>
        </w:trPr>
        <w:tc>
          <w:tcPr>
            <w:tcW w:w="3952" w:type="dxa"/>
            <w:gridSpan w:val="2"/>
            <w:vMerge/>
            <w:tcBorders>
              <w:top w:val="single" w:sz="8" w:space="0" w:color="FFFFFF"/>
              <w:left w:val="single" w:sz="8" w:space="0" w:color="FFFFFF"/>
              <w:bottom w:val="single" w:sz="8" w:space="0" w:color="FFFFFF"/>
              <w:right w:val="single" w:sz="8" w:space="0" w:color="FFFFFF"/>
            </w:tcBorders>
            <w:vAlign w:val="center"/>
            <w:hideMark/>
          </w:tcPr>
          <w:p w14:paraId="5E1F775D"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p>
        </w:tc>
        <w:tc>
          <w:tcPr>
            <w:tcW w:w="1039" w:type="dxa"/>
            <w:tcBorders>
              <w:top w:val="nil"/>
              <w:left w:val="nil"/>
              <w:bottom w:val="single" w:sz="8" w:space="0" w:color="FFFFFF"/>
              <w:right w:val="single" w:sz="8" w:space="0" w:color="FFFFFF"/>
            </w:tcBorders>
            <w:shd w:val="clear" w:color="000000" w:fill="B4E6DA"/>
            <w:vAlign w:val="center"/>
            <w:hideMark/>
          </w:tcPr>
          <w:p w14:paraId="78331B19" w14:textId="77777777" w:rsidR="00812322" w:rsidRPr="00812322" w:rsidRDefault="00812322" w:rsidP="00812322">
            <w:pPr>
              <w:spacing w:after="0" w:line="240" w:lineRule="auto"/>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Costo Servidumbre</w:t>
            </w:r>
          </w:p>
        </w:tc>
        <w:tc>
          <w:tcPr>
            <w:tcW w:w="812" w:type="dxa"/>
            <w:tcBorders>
              <w:top w:val="nil"/>
              <w:left w:val="nil"/>
              <w:bottom w:val="single" w:sz="8" w:space="0" w:color="FFFFFF"/>
              <w:right w:val="single" w:sz="8" w:space="0" w:color="FFFFFF"/>
            </w:tcBorders>
            <w:shd w:val="clear" w:color="000000" w:fill="B4E6DA"/>
            <w:vAlign w:val="center"/>
            <w:hideMark/>
          </w:tcPr>
          <w:p w14:paraId="5BA398FF"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105.03</w:t>
            </w:r>
          </w:p>
        </w:tc>
        <w:tc>
          <w:tcPr>
            <w:tcW w:w="795" w:type="dxa"/>
            <w:tcBorders>
              <w:top w:val="nil"/>
              <w:left w:val="nil"/>
              <w:bottom w:val="single" w:sz="8" w:space="0" w:color="FFFFFF"/>
              <w:right w:val="single" w:sz="8" w:space="0" w:color="FFFFFF"/>
            </w:tcBorders>
            <w:shd w:val="clear" w:color="000000" w:fill="B4E6DA"/>
            <w:vAlign w:val="center"/>
            <w:hideMark/>
          </w:tcPr>
          <w:p w14:paraId="2E3165D9"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20.61</w:t>
            </w:r>
          </w:p>
        </w:tc>
        <w:tc>
          <w:tcPr>
            <w:tcW w:w="821" w:type="dxa"/>
            <w:tcBorders>
              <w:top w:val="nil"/>
              <w:left w:val="nil"/>
              <w:bottom w:val="single" w:sz="8" w:space="0" w:color="FFFFFF"/>
              <w:right w:val="single" w:sz="8" w:space="0" w:color="FFFFFF"/>
            </w:tcBorders>
            <w:shd w:val="clear" w:color="000000" w:fill="B4E6DA"/>
            <w:vAlign w:val="center"/>
            <w:hideMark/>
          </w:tcPr>
          <w:p w14:paraId="381D0F4C"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0.00</w:t>
            </w:r>
          </w:p>
        </w:tc>
        <w:tc>
          <w:tcPr>
            <w:tcW w:w="611" w:type="dxa"/>
            <w:tcBorders>
              <w:top w:val="nil"/>
              <w:left w:val="nil"/>
              <w:bottom w:val="single" w:sz="8" w:space="0" w:color="FFFFFF"/>
              <w:right w:val="single" w:sz="8" w:space="0" w:color="FFFFFF"/>
            </w:tcBorders>
            <w:shd w:val="clear" w:color="000000" w:fill="B4E6DA"/>
            <w:vAlign w:val="center"/>
            <w:hideMark/>
          </w:tcPr>
          <w:p w14:paraId="4DE0ABCD" w14:textId="77777777" w:rsidR="00812322" w:rsidRPr="00812322" w:rsidRDefault="00812322" w:rsidP="00812322">
            <w:pPr>
              <w:spacing w:after="0" w:line="240" w:lineRule="auto"/>
              <w:jc w:val="right"/>
              <w:rPr>
                <w:rFonts w:ascii="Trebuchet MS" w:eastAsia="Times New Roman" w:hAnsi="Trebuchet MS" w:cs="Calibri"/>
                <w:color w:val="000000"/>
                <w:sz w:val="16"/>
                <w:szCs w:val="16"/>
                <w:lang w:eastAsia="es-CO"/>
              </w:rPr>
            </w:pPr>
            <w:r w:rsidRPr="00812322">
              <w:rPr>
                <w:rFonts w:ascii="Trebuchet MS" w:eastAsia="Times New Roman" w:hAnsi="Trebuchet MS" w:cs="Calibri"/>
                <w:color w:val="000000"/>
                <w:sz w:val="16"/>
                <w:szCs w:val="16"/>
                <w:lang w:eastAsia="es-CO"/>
              </w:rPr>
              <w:t>0.00</w:t>
            </w:r>
          </w:p>
        </w:tc>
        <w:tc>
          <w:tcPr>
            <w:tcW w:w="846" w:type="dxa"/>
            <w:tcBorders>
              <w:top w:val="nil"/>
              <w:left w:val="nil"/>
              <w:bottom w:val="single" w:sz="8" w:space="0" w:color="FFFFFF"/>
              <w:right w:val="single" w:sz="8" w:space="0" w:color="FFFFFF"/>
            </w:tcBorders>
            <w:shd w:val="clear" w:color="000000" w:fill="B4E6DA"/>
            <w:vAlign w:val="center"/>
            <w:hideMark/>
          </w:tcPr>
          <w:p w14:paraId="3F2BC578"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125.64</w:t>
            </w:r>
          </w:p>
        </w:tc>
      </w:tr>
      <w:tr w:rsidR="00EF3F98" w:rsidRPr="00812322" w14:paraId="3EF40F63" w14:textId="77777777" w:rsidTr="00EF3F98">
        <w:trPr>
          <w:trHeight w:val="273"/>
        </w:trPr>
        <w:tc>
          <w:tcPr>
            <w:tcW w:w="1730" w:type="dxa"/>
            <w:tcBorders>
              <w:top w:val="nil"/>
              <w:left w:val="single" w:sz="8" w:space="0" w:color="FFFFFF"/>
              <w:bottom w:val="double" w:sz="6" w:space="0" w:color="FFFFFF"/>
              <w:right w:val="nil"/>
            </w:tcBorders>
            <w:shd w:val="clear" w:color="000000" w:fill="A9D08E"/>
            <w:noWrap/>
            <w:vAlign w:val="center"/>
            <w:hideMark/>
          </w:tcPr>
          <w:p w14:paraId="6BB81946"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 </w:t>
            </w:r>
          </w:p>
        </w:tc>
        <w:tc>
          <w:tcPr>
            <w:tcW w:w="2222" w:type="dxa"/>
            <w:tcBorders>
              <w:top w:val="nil"/>
              <w:left w:val="nil"/>
              <w:bottom w:val="nil"/>
              <w:right w:val="nil"/>
            </w:tcBorders>
            <w:shd w:val="clear" w:color="000000" w:fill="A9D08E"/>
            <w:noWrap/>
            <w:vAlign w:val="center"/>
            <w:hideMark/>
          </w:tcPr>
          <w:p w14:paraId="10AE78B6" w14:textId="77777777" w:rsidR="00812322" w:rsidRPr="00812322" w:rsidRDefault="00812322" w:rsidP="00812322">
            <w:pPr>
              <w:spacing w:after="0" w:line="240" w:lineRule="auto"/>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 </w:t>
            </w:r>
          </w:p>
        </w:tc>
        <w:tc>
          <w:tcPr>
            <w:tcW w:w="1039" w:type="dxa"/>
            <w:tcBorders>
              <w:top w:val="nil"/>
              <w:left w:val="nil"/>
              <w:bottom w:val="nil"/>
              <w:right w:val="single" w:sz="8" w:space="0" w:color="FFFFFF"/>
            </w:tcBorders>
            <w:shd w:val="clear" w:color="000000" w:fill="A9D08E"/>
            <w:noWrap/>
            <w:vAlign w:val="center"/>
            <w:hideMark/>
          </w:tcPr>
          <w:p w14:paraId="10598F59" w14:textId="77777777" w:rsidR="00812322" w:rsidRPr="00812322" w:rsidRDefault="00812322" w:rsidP="00812322">
            <w:pPr>
              <w:spacing w:after="0" w:line="240" w:lineRule="auto"/>
              <w:jc w:val="center"/>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TOTAL</w:t>
            </w:r>
          </w:p>
        </w:tc>
        <w:tc>
          <w:tcPr>
            <w:tcW w:w="812" w:type="dxa"/>
            <w:tcBorders>
              <w:top w:val="nil"/>
              <w:left w:val="nil"/>
              <w:bottom w:val="nil"/>
              <w:right w:val="single" w:sz="8" w:space="0" w:color="FFFFFF"/>
            </w:tcBorders>
            <w:shd w:val="clear" w:color="000000" w:fill="A9D08E"/>
            <w:vAlign w:val="center"/>
            <w:hideMark/>
          </w:tcPr>
          <w:p w14:paraId="56DD09C5" w14:textId="53D25590" w:rsidR="00812322" w:rsidRPr="00812322" w:rsidRDefault="007E6CD7" w:rsidP="00812322">
            <w:pPr>
              <w:spacing w:after="0" w:line="240" w:lineRule="auto"/>
              <w:jc w:val="right"/>
              <w:rPr>
                <w:rFonts w:ascii="Trebuchet MS" w:eastAsia="Times New Roman" w:hAnsi="Trebuchet MS" w:cs="Calibri"/>
                <w:b/>
                <w:bCs/>
                <w:color w:val="000000"/>
                <w:sz w:val="16"/>
                <w:szCs w:val="16"/>
                <w:lang w:eastAsia="es-CO"/>
              </w:rPr>
            </w:pPr>
            <w:r>
              <w:rPr>
                <w:rFonts w:ascii="Trebuchet MS" w:eastAsia="Times New Roman" w:hAnsi="Trebuchet MS" w:cs="Calibri"/>
                <w:b/>
                <w:bCs/>
                <w:color w:val="000000"/>
                <w:sz w:val="16"/>
                <w:szCs w:val="16"/>
                <w:lang w:eastAsia="es-CO"/>
              </w:rPr>
              <w:t>495.75</w:t>
            </w:r>
          </w:p>
        </w:tc>
        <w:tc>
          <w:tcPr>
            <w:tcW w:w="795" w:type="dxa"/>
            <w:tcBorders>
              <w:top w:val="nil"/>
              <w:left w:val="nil"/>
              <w:bottom w:val="nil"/>
              <w:right w:val="single" w:sz="8" w:space="0" w:color="FFFFFF"/>
            </w:tcBorders>
            <w:shd w:val="clear" w:color="000000" w:fill="A9D08E"/>
            <w:vAlign w:val="center"/>
            <w:hideMark/>
          </w:tcPr>
          <w:p w14:paraId="78CCAC7F"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206.85</w:t>
            </w:r>
          </w:p>
        </w:tc>
        <w:tc>
          <w:tcPr>
            <w:tcW w:w="821" w:type="dxa"/>
            <w:tcBorders>
              <w:top w:val="nil"/>
              <w:left w:val="nil"/>
              <w:bottom w:val="nil"/>
              <w:right w:val="single" w:sz="8" w:space="0" w:color="FFFFFF"/>
            </w:tcBorders>
            <w:shd w:val="clear" w:color="000000" w:fill="A9D08E"/>
            <w:vAlign w:val="center"/>
            <w:hideMark/>
          </w:tcPr>
          <w:p w14:paraId="5F026D7C"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272.42</w:t>
            </w:r>
          </w:p>
        </w:tc>
        <w:tc>
          <w:tcPr>
            <w:tcW w:w="611" w:type="dxa"/>
            <w:tcBorders>
              <w:top w:val="nil"/>
              <w:left w:val="nil"/>
              <w:bottom w:val="nil"/>
              <w:right w:val="single" w:sz="8" w:space="0" w:color="FFFFFF"/>
            </w:tcBorders>
            <w:shd w:val="clear" w:color="000000" w:fill="A9D08E"/>
            <w:vAlign w:val="center"/>
            <w:hideMark/>
          </w:tcPr>
          <w:p w14:paraId="7B2F16DE" w14:textId="77777777" w:rsidR="00812322" w:rsidRPr="00812322" w:rsidRDefault="00812322" w:rsidP="00812322">
            <w:pPr>
              <w:spacing w:after="0" w:line="240" w:lineRule="auto"/>
              <w:jc w:val="right"/>
              <w:rPr>
                <w:rFonts w:ascii="Trebuchet MS" w:eastAsia="Times New Roman" w:hAnsi="Trebuchet MS" w:cs="Calibri"/>
                <w:b/>
                <w:bCs/>
                <w:color w:val="000000"/>
                <w:sz w:val="16"/>
                <w:szCs w:val="16"/>
                <w:lang w:eastAsia="es-CO"/>
              </w:rPr>
            </w:pPr>
            <w:r w:rsidRPr="00812322">
              <w:rPr>
                <w:rFonts w:ascii="Trebuchet MS" w:eastAsia="Times New Roman" w:hAnsi="Trebuchet MS" w:cs="Calibri"/>
                <w:b/>
                <w:bCs/>
                <w:color w:val="000000"/>
                <w:sz w:val="16"/>
                <w:szCs w:val="16"/>
                <w:lang w:eastAsia="es-CO"/>
              </w:rPr>
              <w:t>0.00</w:t>
            </w:r>
          </w:p>
        </w:tc>
        <w:tc>
          <w:tcPr>
            <w:tcW w:w="846" w:type="dxa"/>
            <w:tcBorders>
              <w:top w:val="nil"/>
              <w:left w:val="nil"/>
              <w:bottom w:val="nil"/>
              <w:right w:val="single" w:sz="8" w:space="0" w:color="FFFFFF"/>
            </w:tcBorders>
            <w:shd w:val="clear" w:color="000000" w:fill="A9D08E"/>
            <w:vAlign w:val="center"/>
            <w:hideMark/>
          </w:tcPr>
          <w:p w14:paraId="588D4745" w14:textId="0E3FE803" w:rsidR="00812322" w:rsidRPr="00812322" w:rsidRDefault="00E84D90" w:rsidP="00812322">
            <w:pPr>
              <w:spacing w:after="0" w:line="240" w:lineRule="auto"/>
              <w:jc w:val="right"/>
              <w:rPr>
                <w:rFonts w:ascii="Trebuchet MS" w:eastAsia="Times New Roman" w:hAnsi="Trebuchet MS" w:cs="Calibri"/>
                <w:b/>
                <w:bCs/>
                <w:color w:val="000000"/>
                <w:sz w:val="18"/>
                <w:szCs w:val="18"/>
                <w:lang w:eastAsia="es-CO"/>
              </w:rPr>
            </w:pPr>
            <w:r>
              <w:rPr>
                <w:rFonts w:ascii="Trebuchet MS" w:eastAsia="Times New Roman" w:hAnsi="Trebuchet MS" w:cs="Calibri"/>
                <w:b/>
                <w:bCs/>
                <w:color w:val="000000"/>
                <w:sz w:val="18"/>
                <w:szCs w:val="18"/>
                <w:lang w:eastAsia="es-CO"/>
              </w:rPr>
              <w:t>975.03</w:t>
            </w:r>
          </w:p>
        </w:tc>
      </w:tr>
      <w:tr w:rsidR="00812322" w:rsidRPr="00812322" w14:paraId="5DFB299A" w14:textId="77777777" w:rsidTr="00EF3F98">
        <w:trPr>
          <w:trHeight w:val="282"/>
        </w:trPr>
        <w:tc>
          <w:tcPr>
            <w:tcW w:w="8876" w:type="dxa"/>
            <w:gridSpan w:val="8"/>
            <w:tcBorders>
              <w:top w:val="nil"/>
              <w:left w:val="single" w:sz="8" w:space="0" w:color="FFFFFF"/>
              <w:bottom w:val="double" w:sz="6" w:space="0" w:color="FFFFFF"/>
              <w:right w:val="single" w:sz="8" w:space="0" w:color="FFFFFF"/>
            </w:tcBorders>
            <w:shd w:val="clear" w:color="000000" w:fill="A9D08E"/>
            <w:noWrap/>
            <w:vAlign w:val="center"/>
            <w:hideMark/>
          </w:tcPr>
          <w:p w14:paraId="33FF2354" w14:textId="77777777" w:rsidR="00812322" w:rsidRPr="00812322" w:rsidRDefault="00812322" w:rsidP="00812322">
            <w:pPr>
              <w:spacing w:after="0" w:line="240" w:lineRule="auto"/>
              <w:rPr>
                <w:rFonts w:ascii="Trebuchet MS" w:eastAsia="Times New Roman" w:hAnsi="Trebuchet MS" w:cs="Calibri"/>
                <w:i/>
                <w:iCs/>
                <w:color w:val="000000"/>
                <w:sz w:val="18"/>
                <w:szCs w:val="18"/>
                <w:lang w:eastAsia="es-CO"/>
              </w:rPr>
            </w:pPr>
            <w:r w:rsidRPr="00812322">
              <w:rPr>
                <w:rFonts w:ascii="Trebuchet MS" w:eastAsia="Times New Roman" w:hAnsi="Trebuchet MS" w:cs="Calibri"/>
                <w:i/>
                <w:iCs/>
                <w:color w:val="000000"/>
                <w:sz w:val="18"/>
                <w:szCs w:val="18"/>
                <w:lang w:eastAsia="es-CO"/>
              </w:rPr>
              <w:t>*todos los valores están en millones de pesos a diciembre del 2017</w:t>
            </w:r>
          </w:p>
        </w:tc>
      </w:tr>
    </w:tbl>
    <w:p w14:paraId="1F2672D3" w14:textId="77777777" w:rsidR="009C1126" w:rsidRPr="00EF3F98" w:rsidRDefault="009C1126" w:rsidP="00EF3F98">
      <w:pPr>
        <w:jc w:val="both"/>
        <w:rPr>
          <w:rFonts w:ascii="Trebuchet MS" w:hAnsi="Trebuchet MS"/>
          <w:szCs w:val="24"/>
          <w:highlight w:val="yellow"/>
        </w:rPr>
      </w:pPr>
    </w:p>
    <w:p w14:paraId="173123B8" w14:textId="7BB47149" w:rsidR="003163ED" w:rsidRPr="00812322" w:rsidRDefault="000D29EA" w:rsidP="00DF29CB">
      <w:pPr>
        <w:ind w:left="360"/>
        <w:jc w:val="both"/>
        <w:rPr>
          <w:rFonts w:ascii="Trebuchet MS" w:hAnsi="Trebuchet MS"/>
          <w:szCs w:val="24"/>
        </w:rPr>
      </w:pPr>
      <w:r w:rsidRPr="00A102CD">
        <w:rPr>
          <w:rFonts w:ascii="Trebuchet MS" w:hAnsi="Trebuchet MS"/>
          <w:szCs w:val="24"/>
        </w:rPr>
        <w:t xml:space="preserve">De la </w:t>
      </w:r>
      <w:r w:rsidRPr="00A102CD">
        <w:rPr>
          <w:rFonts w:ascii="Trebuchet MS" w:hAnsi="Trebuchet MS"/>
          <w:szCs w:val="24"/>
        </w:rPr>
        <w:fldChar w:fldCharType="begin"/>
      </w:r>
      <w:r w:rsidRPr="00A102CD">
        <w:rPr>
          <w:rFonts w:ascii="Trebuchet MS" w:hAnsi="Trebuchet MS"/>
          <w:szCs w:val="24"/>
        </w:rPr>
        <w:instrText xml:space="preserve"> REF _Ref67486607 \h </w:instrText>
      </w:r>
      <w:r w:rsidR="00DF29CB" w:rsidRPr="00A102CD">
        <w:rPr>
          <w:rFonts w:ascii="Trebuchet MS" w:hAnsi="Trebuchet MS"/>
          <w:szCs w:val="24"/>
        </w:rPr>
        <w:instrText xml:space="preserve"> \* MERGEFORMAT </w:instrText>
      </w:r>
      <w:r w:rsidRPr="00A102CD">
        <w:rPr>
          <w:rFonts w:ascii="Trebuchet MS" w:hAnsi="Trebuchet MS"/>
          <w:szCs w:val="24"/>
        </w:rPr>
      </w:r>
      <w:r w:rsidRPr="00A102CD">
        <w:rPr>
          <w:rFonts w:ascii="Trebuchet MS" w:hAnsi="Trebuchet MS"/>
          <w:szCs w:val="24"/>
        </w:rPr>
        <w:fldChar w:fldCharType="separate"/>
      </w:r>
      <w:r w:rsidR="00C944CB" w:rsidRPr="009C1126">
        <w:rPr>
          <w:rFonts w:ascii="Trebuchet MS" w:hAnsi="Trebuchet MS"/>
        </w:rPr>
        <w:t xml:space="preserve">Tabla </w:t>
      </w:r>
      <w:r w:rsidR="00C944CB">
        <w:rPr>
          <w:rFonts w:ascii="Trebuchet MS" w:hAnsi="Trebuchet MS"/>
          <w:noProof/>
        </w:rPr>
        <w:t>3</w:t>
      </w:r>
      <w:r w:rsidR="00C944CB" w:rsidRPr="009C1126">
        <w:rPr>
          <w:rFonts w:ascii="Trebuchet MS" w:hAnsi="Trebuchet MS"/>
          <w:noProof/>
        </w:rPr>
        <w:t>.</w:t>
      </w:r>
      <w:r w:rsidR="00C944CB">
        <w:rPr>
          <w:rFonts w:ascii="Trebuchet MS" w:hAnsi="Trebuchet MS"/>
          <w:noProof/>
        </w:rPr>
        <w:t>8</w:t>
      </w:r>
      <w:r w:rsidRPr="00A102CD">
        <w:rPr>
          <w:rFonts w:ascii="Trebuchet MS" w:hAnsi="Trebuchet MS"/>
          <w:szCs w:val="24"/>
        </w:rPr>
        <w:fldChar w:fldCharType="end"/>
      </w:r>
      <w:r w:rsidRPr="00A102CD">
        <w:rPr>
          <w:rFonts w:ascii="Trebuchet MS" w:hAnsi="Trebuchet MS"/>
          <w:szCs w:val="24"/>
        </w:rPr>
        <w:t xml:space="preserve">, se </w:t>
      </w:r>
      <w:r w:rsidR="003163ED" w:rsidRPr="00A102CD">
        <w:rPr>
          <w:rFonts w:ascii="Trebuchet MS" w:hAnsi="Trebuchet MS"/>
          <w:szCs w:val="24"/>
        </w:rPr>
        <w:t>observa</w:t>
      </w:r>
      <w:r w:rsidR="006A7982" w:rsidRPr="00A102CD">
        <w:rPr>
          <w:rFonts w:ascii="Trebuchet MS" w:hAnsi="Trebuchet MS"/>
          <w:szCs w:val="24"/>
        </w:rPr>
        <w:t>n</w:t>
      </w:r>
      <w:r w:rsidR="003163ED" w:rsidRPr="00A102CD">
        <w:rPr>
          <w:rFonts w:ascii="Trebuchet MS" w:hAnsi="Trebuchet MS"/>
          <w:szCs w:val="24"/>
        </w:rPr>
        <w:t xml:space="preserve"> costos del componente ambiental</w:t>
      </w:r>
      <w:r w:rsidR="005C4B34" w:rsidRPr="00A102CD">
        <w:rPr>
          <w:rFonts w:ascii="Trebuchet MS" w:hAnsi="Trebuchet MS"/>
          <w:szCs w:val="24"/>
        </w:rPr>
        <w:t xml:space="preserve">, </w:t>
      </w:r>
      <w:r w:rsidR="00556B95" w:rsidRPr="00A102CD">
        <w:rPr>
          <w:rFonts w:ascii="Trebuchet MS" w:hAnsi="Trebuchet MS"/>
          <w:szCs w:val="24"/>
        </w:rPr>
        <w:t xml:space="preserve">en los niveles 2, 3 y 4, </w:t>
      </w:r>
      <w:r w:rsidR="005C4B34" w:rsidRPr="00A102CD">
        <w:rPr>
          <w:rFonts w:ascii="Trebuchet MS" w:hAnsi="Trebuchet MS"/>
          <w:szCs w:val="24"/>
        </w:rPr>
        <w:t xml:space="preserve">para un total de $ </w:t>
      </w:r>
      <w:r w:rsidR="00693582" w:rsidRPr="00A102CD">
        <w:rPr>
          <w:rFonts w:ascii="Trebuchet MS" w:hAnsi="Trebuchet MS"/>
          <w:szCs w:val="24"/>
        </w:rPr>
        <w:t>849.38</w:t>
      </w:r>
      <w:r w:rsidR="00556B95" w:rsidRPr="00A102CD">
        <w:rPr>
          <w:rFonts w:ascii="Trebuchet MS" w:hAnsi="Trebuchet MS"/>
          <w:szCs w:val="24"/>
        </w:rPr>
        <w:t xml:space="preserve"> millones de pesos</w:t>
      </w:r>
      <w:r w:rsidR="0089758C" w:rsidRPr="00A102CD">
        <w:rPr>
          <w:rFonts w:ascii="Trebuchet MS" w:hAnsi="Trebuchet MS"/>
          <w:szCs w:val="24"/>
        </w:rPr>
        <w:t xml:space="preserve">, lo que corresponde al </w:t>
      </w:r>
      <w:r w:rsidR="00D0153D" w:rsidRPr="00A102CD">
        <w:rPr>
          <w:rFonts w:ascii="Trebuchet MS" w:hAnsi="Trebuchet MS"/>
          <w:szCs w:val="24"/>
        </w:rPr>
        <w:t>0,2</w:t>
      </w:r>
      <w:r w:rsidR="00FA47A7" w:rsidRPr="00A102CD">
        <w:rPr>
          <w:rFonts w:ascii="Trebuchet MS" w:hAnsi="Trebuchet MS"/>
          <w:szCs w:val="24"/>
        </w:rPr>
        <w:t>8</w:t>
      </w:r>
      <w:r w:rsidR="0089758C" w:rsidRPr="00A102CD">
        <w:rPr>
          <w:rFonts w:ascii="Trebuchet MS" w:hAnsi="Trebuchet MS"/>
          <w:szCs w:val="24"/>
        </w:rPr>
        <w:t xml:space="preserve">% del total del plan </w:t>
      </w:r>
      <w:r w:rsidR="002058B4" w:rsidRPr="00A102CD">
        <w:rPr>
          <w:rFonts w:ascii="Trebuchet MS" w:hAnsi="Trebuchet MS"/>
          <w:szCs w:val="24"/>
        </w:rPr>
        <w:t xml:space="preserve">2022 </w:t>
      </w:r>
      <w:r w:rsidR="0089758C" w:rsidRPr="00A102CD">
        <w:rPr>
          <w:rFonts w:ascii="Trebuchet MS" w:hAnsi="Trebuchet MS"/>
          <w:szCs w:val="24"/>
        </w:rPr>
        <w:t xml:space="preserve">y al </w:t>
      </w:r>
      <w:r w:rsidR="009C39E0" w:rsidRPr="00EF3F98">
        <w:rPr>
          <w:rFonts w:ascii="Trebuchet MS" w:hAnsi="Trebuchet MS"/>
          <w:szCs w:val="24"/>
        </w:rPr>
        <w:t>0.23</w:t>
      </w:r>
      <w:r w:rsidR="0089758C" w:rsidRPr="00A102CD">
        <w:rPr>
          <w:rFonts w:ascii="Trebuchet MS" w:hAnsi="Trebuchet MS"/>
          <w:szCs w:val="24"/>
        </w:rPr>
        <w:t xml:space="preserve">% de la ejecución total sin acotar en el año </w:t>
      </w:r>
      <w:r w:rsidR="00AB2D17" w:rsidRPr="00A102CD">
        <w:rPr>
          <w:rFonts w:ascii="Trebuchet MS" w:hAnsi="Trebuchet MS"/>
          <w:szCs w:val="24"/>
        </w:rPr>
        <w:t>2022</w:t>
      </w:r>
      <w:r w:rsidR="0089758C" w:rsidRPr="00A102CD">
        <w:rPr>
          <w:rFonts w:ascii="Trebuchet MS" w:hAnsi="Trebuchet MS"/>
          <w:szCs w:val="24"/>
        </w:rPr>
        <w:t>.</w:t>
      </w:r>
      <w:r w:rsidR="006D373A" w:rsidRPr="00A102CD">
        <w:rPr>
          <w:rFonts w:ascii="Trebuchet MS" w:hAnsi="Trebuchet MS"/>
          <w:szCs w:val="24"/>
        </w:rPr>
        <w:t xml:space="preserve"> </w:t>
      </w:r>
      <w:r w:rsidR="00556B95" w:rsidRPr="00A102CD">
        <w:rPr>
          <w:rFonts w:ascii="Trebuchet MS" w:hAnsi="Trebuchet MS"/>
          <w:szCs w:val="24"/>
        </w:rPr>
        <w:t xml:space="preserve">Por su parte, en los niveles 3 y 4, se presentan costos asociados a servidumbres de líneas por valor de $ </w:t>
      </w:r>
      <w:r w:rsidR="00C42833" w:rsidRPr="00A102CD">
        <w:rPr>
          <w:rFonts w:ascii="Trebuchet MS" w:hAnsi="Trebuchet MS"/>
          <w:szCs w:val="24"/>
        </w:rPr>
        <w:t>125</w:t>
      </w:r>
      <w:r w:rsidR="007D6C79" w:rsidRPr="00A102CD">
        <w:rPr>
          <w:rFonts w:ascii="Trebuchet MS" w:hAnsi="Trebuchet MS"/>
          <w:szCs w:val="24"/>
        </w:rPr>
        <w:t>.64</w:t>
      </w:r>
      <w:r w:rsidR="00556B95" w:rsidRPr="00A102CD">
        <w:rPr>
          <w:rFonts w:ascii="Trebuchet MS" w:hAnsi="Trebuchet MS"/>
          <w:szCs w:val="24"/>
        </w:rPr>
        <w:t xml:space="preserve"> millones de pesos, lo que corresponde al 0.</w:t>
      </w:r>
      <w:r w:rsidR="007D6C79" w:rsidRPr="00A102CD">
        <w:rPr>
          <w:rFonts w:ascii="Trebuchet MS" w:hAnsi="Trebuchet MS"/>
          <w:szCs w:val="24"/>
        </w:rPr>
        <w:t>0</w:t>
      </w:r>
      <w:r w:rsidR="00D77547" w:rsidRPr="00A102CD">
        <w:rPr>
          <w:rFonts w:ascii="Trebuchet MS" w:hAnsi="Trebuchet MS"/>
          <w:szCs w:val="24"/>
        </w:rPr>
        <w:t>4</w:t>
      </w:r>
      <w:r w:rsidR="00547404" w:rsidRPr="00A102CD">
        <w:rPr>
          <w:rFonts w:ascii="Trebuchet MS" w:hAnsi="Trebuchet MS"/>
          <w:szCs w:val="24"/>
        </w:rPr>
        <w:t>2</w:t>
      </w:r>
      <w:r w:rsidR="00556B95" w:rsidRPr="00A102CD">
        <w:rPr>
          <w:rFonts w:ascii="Trebuchet MS" w:hAnsi="Trebuchet MS"/>
          <w:szCs w:val="24"/>
        </w:rPr>
        <w:t xml:space="preserve">% del total del plan </w:t>
      </w:r>
      <w:r w:rsidR="00D77547" w:rsidRPr="00A102CD">
        <w:rPr>
          <w:rFonts w:ascii="Trebuchet MS" w:hAnsi="Trebuchet MS"/>
          <w:szCs w:val="24"/>
        </w:rPr>
        <w:t xml:space="preserve">2022 </w:t>
      </w:r>
      <w:r w:rsidR="00556B95" w:rsidRPr="00A102CD">
        <w:rPr>
          <w:rFonts w:ascii="Trebuchet MS" w:hAnsi="Trebuchet MS"/>
          <w:szCs w:val="24"/>
        </w:rPr>
        <w:t>y al 0.</w:t>
      </w:r>
      <w:r w:rsidR="00547404" w:rsidRPr="00EF3F98">
        <w:rPr>
          <w:rFonts w:ascii="Trebuchet MS" w:hAnsi="Trebuchet MS"/>
          <w:szCs w:val="24"/>
        </w:rPr>
        <w:t>035</w:t>
      </w:r>
      <w:r w:rsidR="00556B95" w:rsidRPr="00A102CD">
        <w:rPr>
          <w:rFonts w:ascii="Trebuchet MS" w:hAnsi="Trebuchet MS"/>
          <w:szCs w:val="24"/>
        </w:rPr>
        <w:t xml:space="preserve">% de la ejecución total sin acotar en el año </w:t>
      </w:r>
      <w:r w:rsidR="00D77547" w:rsidRPr="00A102CD">
        <w:rPr>
          <w:rFonts w:ascii="Trebuchet MS" w:hAnsi="Trebuchet MS"/>
          <w:szCs w:val="24"/>
        </w:rPr>
        <w:t>2022</w:t>
      </w:r>
      <w:r w:rsidR="00556B95" w:rsidRPr="00A102CD">
        <w:rPr>
          <w:rFonts w:ascii="Trebuchet MS" w:hAnsi="Trebuchet MS"/>
          <w:szCs w:val="24"/>
        </w:rPr>
        <w:t xml:space="preserve">. En total los costos socioambientales y de servidumbre fueron de $ </w:t>
      </w:r>
      <w:r w:rsidR="00547404" w:rsidRPr="00A102CD">
        <w:rPr>
          <w:rFonts w:ascii="Trebuchet MS" w:hAnsi="Trebuchet MS"/>
          <w:szCs w:val="24"/>
        </w:rPr>
        <w:t>975.03</w:t>
      </w:r>
      <w:r w:rsidR="00556B95" w:rsidRPr="00A102CD">
        <w:rPr>
          <w:rFonts w:ascii="Trebuchet MS" w:hAnsi="Trebuchet MS"/>
          <w:szCs w:val="24"/>
        </w:rPr>
        <w:t xml:space="preserve">, lo que corresponde al </w:t>
      </w:r>
      <w:r w:rsidR="00C739E5" w:rsidRPr="00A102CD">
        <w:rPr>
          <w:rFonts w:ascii="Trebuchet MS" w:hAnsi="Trebuchet MS"/>
          <w:szCs w:val="24"/>
        </w:rPr>
        <w:t>0.32</w:t>
      </w:r>
      <w:r w:rsidR="00556B95" w:rsidRPr="00A102CD">
        <w:rPr>
          <w:rFonts w:ascii="Trebuchet MS" w:hAnsi="Trebuchet MS"/>
          <w:szCs w:val="24"/>
        </w:rPr>
        <w:t xml:space="preserve">% del total del plan </w:t>
      </w:r>
      <w:r w:rsidR="0061572F" w:rsidRPr="00A102CD">
        <w:rPr>
          <w:rFonts w:ascii="Trebuchet MS" w:hAnsi="Trebuchet MS"/>
          <w:szCs w:val="24"/>
        </w:rPr>
        <w:t xml:space="preserve">2022 </w:t>
      </w:r>
      <w:r w:rsidR="00556B95" w:rsidRPr="00A102CD">
        <w:rPr>
          <w:rFonts w:ascii="Trebuchet MS" w:hAnsi="Trebuchet MS"/>
          <w:szCs w:val="24"/>
        </w:rPr>
        <w:t xml:space="preserve">y al </w:t>
      </w:r>
      <w:r w:rsidR="002743E2" w:rsidRPr="00EF3F98">
        <w:rPr>
          <w:rFonts w:ascii="Trebuchet MS" w:hAnsi="Trebuchet MS"/>
          <w:szCs w:val="24"/>
        </w:rPr>
        <w:t>0.27</w:t>
      </w:r>
      <w:r w:rsidR="00556B95" w:rsidRPr="00A102CD">
        <w:rPr>
          <w:rFonts w:ascii="Trebuchet MS" w:hAnsi="Trebuchet MS"/>
          <w:szCs w:val="24"/>
        </w:rPr>
        <w:t xml:space="preserve">% de la ejecución total sin acotar en el año </w:t>
      </w:r>
      <w:r w:rsidR="00C739E5" w:rsidRPr="00A102CD">
        <w:rPr>
          <w:rFonts w:ascii="Trebuchet MS" w:hAnsi="Trebuchet MS"/>
          <w:szCs w:val="24"/>
        </w:rPr>
        <w:t>2022</w:t>
      </w:r>
      <w:r w:rsidR="00556B95" w:rsidRPr="00A102CD">
        <w:rPr>
          <w:rFonts w:ascii="Trebuchet MS" w:hAnsi="Trebuchet MS"/>
          <w:szCs w:val="24"/>
        </w:rPr>
        <w:t>.</w:t>
      </w:r>
      <w:r w:rsidR="00D06F78" w:rsidRPr="00A102CD">
        <w:rPr>
          <w:rFonts w:ascii="Trebuchet MS" w:hAnsi="Trebuchet MS"/>
          <w:szCs w:val="24"/>
        </w:rPr>
        <w:t xml:space="preserve"> El valor de estos costos se remuneran aparte del valor de la variable INVR</w:t>
      </w:r>
      <w:r w:rsidR="00D06F78" w:rsidRPr="00A102CD">
        <w:rPr>
          <w:rFonts w:ascii="Trebuchet MS" w:hAnsi="Trebuchet MS"/>
          <w:szCs w:val="24"/>
          <w:vertAlign w:val="subscript"/>
        </w:rPr>
        <w:t>j,n,l,</w:t>
      </w:r>
      <w:r w:rsidR="00A2454B" w:rsidRPr="00A102CD">
        <w:rPr>
          <w:rFonts w:ascii="Trebuchet MS" w:hAnsi="Trebuchet MS"/>
          <w:szCs w:val="24"/>
          <w:vertAlign w:val="subscript"/>
        </w:rPr>
        <w:t>4</w:t>
      </w:r>
      <w:r w:rsidR="00D06F78" w:rsidRPr="00A102CD">
        <w:rPr>
          <w:rFonts w:ascii="Trebuchet MS" w:hAnsi="Trebuchet MS"/>
          <w:szCs w:val="24"/>
          <w:vertAlign w:val="subscript"/>
        </w:rPr>
        <w:t xml:space="preserve"> </w:t>
      </w:r>
      <w:r w:rsidR="00D06F78" w:rsidRPr="00A102CD">
        <w:rPr>
          <w:rFonts w:ascii="Trebuchet MS" w:hAnsi="Trebuchet MS"/>
          <w:szCs w:val="24"/>
        </w:rPr>
        <w:t xml:space="preserve">presentado en la </w:t>
      </w:r>
      <w:r w:rsidR="00D06F78" w:rsidRPr="00A102CD">
        <w:rPr>
          <w:rFonts w:ascii="Trebuchet MS" w:hAnsi="Trebuchet MS"/>
          <w:szCs w:val="24"/>
        </w:rPr>
        <w:fldChar w:fldCharType="begin"/>
      </w:r>
      <w:r w:rsidR="00D06F78" w:rsidRPr="00A102CD">
        <w:rPr>
          <w:rFonts w:ascii="Trebuchet MS" w:hAnsi="Trebuchet MS"/>
          <w:szCs w:val="24"/>
        </w:rPr>
        <w:instrText xml:space="preserve"> REF _Ref67390194 \h  \* MERGEFORMAT </w:instrText>
      </w:r>
      <w:r w:rsidR="00D06F78" w:rsidRPr="00A102CD">
        <w:rPr>
          <w:rFonts w:ascii="Trebuchet MS" w:hAnsi="Trebuchet MS"/>
          <w:szCs w:val="24"/>
        </w:rPr>
      </w:r>
      <w:r w:rsidR="00D06F78" w:rsidRPr="00A102CD">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1</w:t>
      </w:r>
      <w:r w:rsidR="00D06F78" w:rsidRPr="00A102CD">
        <w:rPr>
          <w:rFonts w:ascii="Trebuchet MS" w:hAnsi="Trebuchet MS"/>
          <w:szCs w:val="24"/>
        </w:rPr>
        <w:fldChar w:fldCharType="end"/>
      </w:r>
      <w:r w:rsidR="00D06F78" w:rsidRPr="00A102CD">
        <w:rPr>
          <w:rFonts w:ascii="Trebuchet MS" w:hAnsi="Trebuchet MS"/>
          <w:szCs w:val="24"/>
        </w:rPr>
        <w:t xml:space="preserve">. </w:t>
      </w:r>
      <w:r w:rsidR="008B6ED9" w:rsidRPr="00A102CD">
        <w:rPr>
          <w:rFonts w:ascii="Trebuchet MS" w:hAnsi="Trebuchet MS"/>
          <w:szCs w:val="24"/>
        </w:rPr>
        <w:t xml:space="preserve">Los soportes que sustentan estos </w:t>
      </w:r>
      <w:r w:rsidR="002452D4" w:rsidRPr="00A102CD">
        <w:rPr>
          <w:rFonts w:ascii="Trebuchet MS" w:hAnsi="Trebuchet MS"/>
          <w:szCs w:val="24"/>
        </w:rPr>
        <w:t>costos</w:t>
      </w:r>
      <w:r w:rsidR="008B6ED9" w:rsidRPr="00A102CD">
        <w:rPr>
          <w:rFonts w:ascii="Trebuchet MS" w:hAnsi="Trebuchet MS"/>
          <w:szCs w:val="24"/>
        </w:rPr>
        <w:t xml:space="preserve"> se pueden consultar en</w:t>
      </w:r>
      <w:r w:rsidR="008B6ED9" w:rsidRPr="00812322">
        <w:rPr>
          <w:rFonts w:ascii="Trebuchet MS" w:hAnsi="Trebuchet MS"/>
          <w:szCs w:val="24"/>
        </w:rPr>
        <w:t xml:space="preserve"> el </w:t>
      </w:r>
      <w:r w:rsidR="008B6ED9" w:rsidRPr="0013487A">
        <w:rPr>
          <w:rFonts w:ascii="Trebuchet MS" w:hAnsi="Trebuchet MS"/>
          <w:szCs w:val="24"/>
        </w:rPr>
        <w:t>Anexo 9.</w:t>
      </w:r>
    </w:p>
    <w:p w14:paraId="694C6A07" w14:textId="52D3C9B4" w:rsidR="00043F72" w:rsidRPr="002946A9" w:rsidRDefault="00892AE3" w:rsidP="00DF29CB">
      <w:pPr>
        <w:ind w:left="360"/>
        <w:jc w:val="both"/>
        <w:rPr>
          <w:rFonts w:ascii="Trebuchet MS" w:hAnsi="Trebuchet MS"/>
          <w:szCs w:val="24"/>
        </w:rPr>
      </w:pPr>
      <w:r w:rsidRPr="00231703">
        <w:rPr>
          <w:rFonts w:ascii="Trebuchet MS" w:hAnsi="Trebuchet MS"/>
          <w:szCs w:val="24"/>
        </w:rPr>
        <w:t xml:space="preserve">Adicional a los costos antes presentados, para </w:t>
      </w:r>
      <w:r w:rsidR="00CD144F" w:rsidRPr="00231703">
        <w:rPr>
          <w:rFonts w:ascii="Trebuchet MS" w:hAnsi="Trebuchet MS"/>
          <w:szCs w:val="24"/>
        </w:rPr>
        <w:t>el caso de la servidumbre relacionada al proyecto Nueva subestación Calizas 110 kV + refuerzo STR y SDL ( Línea San Lorenzo - Calizas 110 kV)</w:t>
      </w:r>
      <w:r w:rsidR="008D7A29" w:rsidRPr="00231703">
        <w:rPr>
          <w:rFonts w:ascii="Trebuchet MS" w:hAnsi="Trebuchet MS"/>
          <w:szCs w:val="24"/>
        </w:rPr>
        <w:t xml:space="preserve">, a diciembre del </w:t>
      </w:r>
      <w:r w:rsidRPr="00231703">
        <w:rPr>
          <w:rFonts w:ascii="Trebuchet MS" w:hAnsi="Trebuchet MS"/>
          <w:szCs w:val="24"/>
        </w:rPr>
        <w:t xml:space="preserve">año </w:t>
      </w:r>
      <w:r w:rsidR="008D7A29" w:rsidRPr="00231703">
        <w:rPr>
          <w:rFonts w:ascii="Trebuchet MS" w:hAnsi="Trebuchet MS"/>
          <w:szCs w:val="24"/>
        </w:rPr>
        <w:t>202</w:t>
      </w:r>
      <w:r w:rsidR="00231703">
        <w:rPr>
          <w:rFonts w:ascii="Trebuchet MS" w:hAnsi="Trebuchet MS"/>
          <w:szCs w:val="24"/>
        </w:rPr>
        <w:t>2</w:t>
      </w:r>
      <w:r w:rsidR="008D7A29" w:rsidRPr="00231703">
        <w:rPr>
          <w:rFonts w:ascii="Trebuchet MS" w:hAnsi="Trebuchet MS"/>
          <w:szCs w:val="24"/>
        </w:rPr>
        <w:t xml:space="preserve"> EPM ha pagado </w:t>
      </w:r>
      <w:r w:rsidRPr="00231703">
        <w:rPr>
          <w:rFonts w:ascii="Trebuchet MS" w:hAnsi="Trebuchet MS"/>
          <w:szCs w:val="24"/>
        </w:rPr>
        <w:t xml:space="preserve">cerca de $ </w:t>
      </w:r>
      <w:r w:rsidR="004D00DE" w:rsidRPr="004D00DE">
        <w:rPr>
          <w:rFonts w:ascii="Trebuchet MS" w:hAnsi="Trebuchet MS"/>
          <w:szCs w:val="24"/>
        </w:rPr>
        <w:t xml:space="preserve"> $2,833,044,162.80</w:t>
      </w:r>
      <w:r w:rsidRPr="00231703">
        <w:rPr>
          <w:rFonts w:ascii="Trebuchet MS" w:hAnsi="Trebuchet MS"/>
          <w:szCs w:val="24"/>
        </w:rPr>
        <w:t xml:space="preserve">, por motivos de consignaciones por imposiciones </w:t>
      </w:r>
      <w:r w:rsidR="0065140E" w:rsidRPr="00231703">
        <w:rPr>
          <w:rFonts w:ascii="Trebuchet MS" w:hAnsi="Trebuchet MS"/>
          <w:szCs w:val="24"/>
        </w:rPr>
        <w:t xml:space="preserve">provisionales </w:t>
      </w:r>
      <w:r w:rsidRPr="00231703">
        <w:rPr>
          <w:rFonts w:ascii="Trebuchet MS" w:hAnsi="Trebuchet MS"/>
          <w:szCs w:val="24"/>
        </w:rPr>
        <w:t>de servidumbre, sin embargo este valor aún no se incluye</w:t>
      </w:r>
      <w:r w:rsidR="009E484C" w:rsidRPr="00231703">
        <w:rPr>
          <w:rFonts w:ascii="Trebuchet MS" w:hAnsi="Trebuchet MS"/>
          <w:szCs w:val="24"/>
        </w:rPr>
        <w:t xml:space="preserve"> ni se solicita </w:t>
      </w:r>
      <w:r w:rsidRPr="00231703">
        <w:rPr>
          <w:rFonts w:ascii="Trebuchet MS" w:hAnsi="Trebuchet MS"/>
          <w:szCs w:val="24"/>
        </w:rPr>
        <w:t>dentro de la ejecución 202</w:t>
      </w:r>
      <w:r w:rsidR="00231703">
        <w:rPr>
          <w:rFonts w:ascii="Trebuchet MS" w:hAnsi="Trebuchet MS"/>
          <w:szCs w:val="24"/>
        </w:rPr>
        <w:t>2</w:t>
      </w:r>
      <w:r w:rsidRPr="00231703">
        <w:rPr>
          <w:rFonts w:ascii="Trebuchet MS" w:hAnsi="Trebuchet MS"/>
          <w:szCs w:val="24"/>
        </w:rPr>
        <w:t>, dado que aún no se cuenta con las sentencias judiciales definitiva</w:t>
      </w:r>
      <w:r w:rsidR="009E484C" w:rsidRPr="00231703">
        <w:rPr>
          <w:rFonts w:ascii="Trebuchet MS" w:hAnsi="Trebuchet MS"/>
          <w:szCs w:val="24"/>
        </w:rPr>
        <w:t>s</w:t>
      </w:r>
      <w:r w:rsidR="0065140E" w:rsidRPr="00231703">
        <w:rPr>
          <w:rFonts w:ascii="Trebuchet MS" w:hAnsi="Trebuchet MS"/>
          <w:szCs w:val="24"/>
        </w:rPr>
        <w:t xml:space="preserve"> en la que se defina</w:t>
      </w:r>
      <w:r w:rsidR="009E484C" w:rsidRPr="00231703">
        <w:rPr>
          <w:rFonts w:ascii="Trebuchet MS" w:hAnsi="Trebuchet MS"/>
          <w:szCs w:val="24"/>
        </w:rPr>
        <w:t xml:space="preserve"> el </w:t>
      </w:r>
      <w:r w:rsidR="0065140E" w:rsidRPr="00231703">
        <w:rPr>
          <w:rFonts w:ascii="Trebuchet MS" w:hAnsi="Trebuchet MS"/>
          <w:szCs w:val="24"/>
        </w:rPr>
        <w:t>valor final a pagar</w:t>
      </w:r>
      <w:r w:rsidR="009E484C" w:rsidRPr="00231703">
        <w:rPr>
          <w:rFonts w:ascii="Trebuchet MS" w:hAnsi="Trebuchet MS"/>
          <w:szCs w:val="24"/>
        </w:rPr>
        <w:t xml:space="preserve"> para cada predio con imposición de </w:t>
      </w:r>
      <w:r w:rsidR="00A74FB0" w:rsidRPr="00231703">
        <w:rPr>
          <w:rFonts w:ascii="Trebuchet MS" w:hAnsi="Trebuchet MS"/>
          <w:szCs w:val="24"/>
        </w:rPr>
        <w:t>servidumbre</w:t>
      </w:r>
      <w:r w:rsidR="0065140E" w:rsidRPr="00231703">
        <w:rPr>
          <w:rFonts w:ascii="Trebuchet MS" w:hAnsi="Trebuchet MS"/>
          <w:szCs w:val="24"/>
        </w:rPr>
        <w:t>, lo cual puede tomar varios años en obtener el fallo</w:t>
      </w:r>
      <w:r w:rsidR="00A74FB0" w:rsidRPr="00231703">
        <w:rPr>
          <w:rFonts w:ascii="Trebuchet MS" w:hAnsi="Trebuchet MS"/>
          <w:szCs w:val="24"/>
        </w:rPr>
        <w:t xml:space="preserve"> judicial</w:t>
      </w:r>
      <w:r w:rsidR="009E484C" w:rsidRPr="00231703">
        <w:rPr>
          <w:rFonts w:ascii="Trebuchet MS" w:hAnsi="Trebuchet MS"/>
          <w:szCs w:val="24"/>
        </w:rPr>
        <w:t>.</w:t>
      </w:r>
      <w:r w:rsidR="00A74FB0" w:rsidRPr="00231703">
        <w:rPr>
          <w:rFonts w:ascii="Trebuchet MS" w:hAnsi="Trebuchet MS"/>
          <w:szCs w:val="24"/>
        </w:rPr>
        <w:t xml:space="preserve"> Una vez se cuente con dichos fallos, EPM solicitará los valores respectivos, entendiendo que la “ejecución” de que trata el párrafo 2 del capítulo 14 de la resolución CREG 015 del 2018, se da una vez se cuente con las sentencias judiciales respectivas</w:t>
      </w:r>
      <w:r w:rsidR="006C65F2" w:rsidRPr="00231703">
        <w:rPr>
          <w:rFonts w:ascii="Trebuchet MS" w:hAnsi="Trebuchet MS"/>
          <w:szCs w:val="24"/>
        </w:rPr>
        <w:t xml:space="preserve"> en la que se indiquen los valores finales a pagar.</w:t>
      </w:r>
      <w:r w:rsidR="00A74FB0" w:rsidRPr="002946A9">
        <w:rPr>
          <w:rFonts w:ascii="Trebuchet MS" w:hAnsi="Trebuchet MS"/>
          <w:szCs w:val="24"/>
        </w:rPr>
        <w:t xml:space="preserve">  </w:t>
      </w:r>
      <w:r w:rsidR="009E484C" w:rsidRPr="002946A9">
        <w:rPr>
          <w:rFonts w:ascii="Trebuchet MS" w:hAnsi="Trebuchet MS"/>
          <w:szCs w:val="24"/>
        </w:rPr>
        <w:t xml:space="preserve"> </w:t>
      </w:r>
      <w:r w:rsidR="0065140E" w:rsidRPr="002946A9">
        <w:rPr>
          <w:rFonts w:ascii="Trebuchet MS" w:hAnsi="Trebuchet MS"/>
          <w:szCs w:val="24"/>
        </w:rPr>
        <w:t xml:space="preserve"> </w:t>
      </w:r>
      <w:r w:rsidRPr="002946A9">
        <w:rPr>
          <w:rFonts w:ascii="Trebuchet MS" w:hAnsi="Trebuchet MS"/>
          <w:szCs w:val="24"/>
        </w:rPr>
        <w:t xml:space="preserve"> </w:t>
      </w:r>
    </w:p>
    <w:p w14:paraId="0C6C88A6" w14:textId="77777777" w:rsidR="008D7A29" w:rsidRDefault="008D7A29" w:rsidP="00C359FF">
      <w:pPr>
        <w:spacing w:after="0"/>
        <w:ind w:left="360"/>
        <w:jc w:val="both"/>
        <w:rPr>
          <w:rFonts w:ascii="Trebuchet MS" w:hAnsi="Trebuchet MS"/>
          <w:szCs w:val="24"/>
        </w:rPr>
      </w:pPr>
    </w:p>
    <w:p w14:paraId="3C1186AB" w14:textId="77777777" w:rsidR="004D00DE" w:rsidRPr="002946A9" w:rsidRDefault="004D00DE" w:rsidP="00C359FF">
      <w:pPr>
        <w:spacing w:after="0"/>
        <w:ind w:left="360"/>
        <w:jc w:val="both"/>
        <w:rPr>
          <w:rFonts w:ascii="Trebuchet MS" w:hAnsi="Trebuchet MS"/>
          <w:szCs w:val="24"/>
        </w:rPr>
      </w:pPr>
    </w:p>
    <w:p w14:paraId="608CFF3B" w14:textId="4AC16E61" w:rsidR="002757A6" w:rsidRPr="002946A9" w:rsidRDefault="00B51908" w:rsidP="00DF29CB">
      <w:pPr>
        <w:numPr>
          <w:ilvl w:val="2"/>
          <w:numId w:val="2"/>
        </w:numPr>
        <w:jc w:val="both"/>
        <w:outlineLvl w:val="2"/>
        <w:rPr>
          <w:rFonts w:ascii="Trebuchet MS" w:hAnsi="Trebuchet MS"/>
          <w:b/>
          <w:bCs/>
          <w:szCs w:val="24"/>
        </w:rPr>
      </w:pPr>
      <w:bookmarkStart w:id="206" w:name="_Toc131109365"/>
      <w:r w:rsidRPr="002946A9">
        <w:rPr>
          <w:rFonts w:ascii="Trebuchet MS" w:hAnsi="Trebuchet MS"/>
          <w:b/>
          <w:bCs/>
          <w:szCs w:val="24"/>
        </w:rPr>
        <w:t>Diagramas unifilares actualizados</w:t>
      </w:r>
      <w:bookmarkEnd w:id="206"/>
      <w:r w:rsidR="002757A6" w:rsidRPr="002946A9">
        <w:rPr>
          <w:rFonts w:ascii="Trebuchet MS" w:hAnsi="Trebuchet MS"/>
          <w:b/>
          <w:bCs/>
          <w:szCs w:val="24"/>
        </w:rPr>
        <w:t xml:space="preserve">  </w:t>
      </w:r>
    </w:p>
    <w:p w14:paraId="1C28735F" w14:textId="76E63DE3" w:rsidR="002757A6" w:rsidRPr="002946A9" w:rsidRDefault="00762E41" w:rsidP="00DF29CB">
      <w:pPr>
        <w:ind w:left="360"/>
        <w:jc w:val="both"/>
        <w:rPr>
          <w:rFonts w:ascii="Trebuchet MS" w:hAnsi="Trebuchet MS"/>
          <w:szCs w:val="24"/>
        </w:rPr>
      </w:pPr>
      <w:r w:rsidRPr="002946A9">
        <w:rPr>
          <w:rFonts w:ascii="Trebuchet MS" w:hAnsi="Trebuchet MS"/>
          <w:szCs w:val="24"/>
        </w:rPr>
        <w:t>E</w:t>
      </w:r>
      <w:r w:rsidR="003A5167" w:rsidRPr="002946A9">
        <w:rPr>
          <w:rFonts w:ascii="Trebuchet MS" w:hAnsi="Trebuchet MS"/>
          <w:szCs w:val="24"/>
        </w:rPr>
        <w:t>l</w:t>
      </w:r>
      <w:r w:rsidRPr="002946A9">
        <w:rPr>
          <w:rFonts w:ascii="Trebuchet MS" w:hAnsi="Trebuchet MS"/>
          <w:szCs w:val="24"/>
        </w:rPr>
        <w:t xml:space="preserve"> diagrama unifilar de todo el sistema de distribución y l</w:t>
      </w:r>
      <w:r w:rsidR="002757A6" w:rsidRPr="002946A9">
        <w:rPr>
          <w:rFonts w:ascii="Trebuchet MS" w:hAnsi="Trebuchet MS"/>
          <w:szCs w:val="24"/>
        </w:rPr>
        <w:t xml:space="preserve">os </w:t>
      </w:r>
      <w:r w:rsidR="00095ADB" w:rsidRPr="002946A9">
        <w:rPr>
          <w:rFonts w:ascii="Trebuchet MS" w:hAnsi="Trebuchet MS"/>
          <w:szCs w:val="24"/>
        </w:rPr>
        <w:t>diagramas unifilares</w:t>
      </w:r>
      <w:r w:rsidRPr="002946A9">
        <w:rPr>
          <w:rFonts w:ascii="Trebuchet MS" w:hAnsi="Trebuchet MS"/>
          <w:szCs w:val="24"/>
        </w:rPr>
        <w:t xml:space="preserve"> de las subestaciones, </w:t>
      </w:r>
      <w:r w:rsidR="00095ADB" w:rsidRPr="002946A9">
        <w:rPr>
          <w:rFonts w:ascii="Trebuchet MS" w:hAnsi="Trebuchet MS"/>
          <w:szCs w:val="24"/>
        </w:rPr>
        <w:t xml:space="preserve">actualizados </w:t>
      </w:r>
      <w:r w:rsidR="00570504" w:rsidRPr="002946A9">
        <w:rPr>
          <w:rFonts w:ascii="Trebuchet MS" w:hAnsi="Trebuchet MS"/>
          <w:szCs w:val="24"/>
        </w:rPr>
        <w:t xml:space="preserve">con corte a diciembre del año </w:t>
      </w:r>
      <w:r w:rsidR="004A337E" w:rsidRPr="002946A9">
        <w:rPr>
          <w:rFonts w:ascii="Trebuchet MS" w:hAnsi="Trebuchet MS"/>
          <w:szCs w:val="24"/>
        </w:rPr>
        <w:t>202</w:t>
      </w:r>
      <w:r w:rsidR="004A337E">
        <w:rPr>
          <w:rFonts w:ascii="Trebuchet MS" w:hAnsi="Trebuchet MS"/>
          <w:szCs w:val="24"/>
        </w:rPr>
        <w:t>2</w:t>
      </w:r>
      <w:r w:rsidRPr="002946A9">
        <w:rPr>
          <w:rFonts w:ascii="Trebuchet MS" w:hAnsi="Trebuchet MS"/>
          <w:szCs w:val="24"/>
        </w:rPr>
        <w:t>,</w:t>
      </w:r>
      <w:r w:rsidR="00570504" w:rsidRPr="002946A9">
        <w:rPr>
          <w:rFonts w:ascii="Trebuchet MS" w:hAnsi="Trebuchet MS"/>
          <w:szCs w:val="24"/>
        </w:rPr>
        <w:t xml:space="preserve"> </w:t>
      </w:r>
      <w:r w:rsidR="008C4C49" w:rsidRPr="002946A9">
        <w:rPr>
          <w:rFonts w:ascii="Trebuchet MS" w:hAnsi="Trebuchet MS"/>
          <w:szCs w:val="24"/>
        </w:rPr>
        <w:t xml:space="preserve">se pueden consultar en </w:t>
      </w:r>
      <w:r w:rsidR="008C4C49" w:rsidRPr="004D00DE">
        <w:rPr>
          <w:rFonts w:ascii="Trebuchet MS" w:hAnsi="Trebuchet MS"/>
          <w:szCs w:val="24"/>
        </w:rPr>
        <w:t xml:space="preserve">el </w:t>
      </w:r>
      <w:r w:rsidR="002757A6" w:rsidRPr="004D00DE">
        <w:rPr>
          <w:rFonts w:ascii="Trebuchet MS" w:hAnsi="Trebuchet MS"/>
          <w:szCs w:val="24"/>
        </w:rPr>
        <w:t xml:space="preserve">Anexo </w:t>
      </w:r>
      <w:r w:rsidRPr="004D00DE">
        <w:rPr>
          <w:rFonts w:ascii="Trebuchet MS" w:hAnsi="Trebuchet MS"/>
          <w:szCs w:val="24"/>
        </w:rPr>
        <w:t>10</w:t>
      </w:r>
      <w:r w:rsidR="002757A6" w:rsidRPr="002946A9">
        <w:rPr>
          <w:rFonts w:ascii="Trebuchet MS" w:hAnsi="Trebuchet MS"/>
          <w:szCs w:val="24"/>
        </w:rPr>
        <w:t>.</w:t>
      </w:r>
    </w:p>
    <w:p w14:paraId="4F133CF9" w14:textId="77777777" w:rsidR="002757A6" w:rsidRPr="002946A9" w:rsidRDefault="002757A6" w:rsidP="00DF29CB">
      <w:pPr>
        <w:ind w:left="360"/>
        <w:jc w:val="both"/>
        <w:rPr>
          <w:rFonts w:ascii="Trebuchet MS" w:hAnsi="Trebuchet MS"/>
          <w:szCs w:val="24"/>
        </w:rPr>
      </w:pPr>
    </w:p>
    <w:p w14:paraId="186F6657" w14:textId="433C784E" w:rsidR="0067080B" w:rsidRPr="002946A9" w:rsidRDefault="004411ED" w:rsidP="00DF29CB">
      <w:pPr>
        <w:pStyle w:val="Prrafodelista"/>
        <w:numPr>
          <w:ilvl w:val="1"/>
          <w:numId w:val="2"/>
        </w:numPr>
        <w:jc w:val="both"/>
        <w:outlineLvl w:val="1"/>
        <w:rPr>
          <w:rFonts w:ascii="Trebuchet MS" w:hAnsi="Trebuchet MS"/>
          <w:b/>
          <w:sz w:val="24"/>
          <w:szCs w:val="32"/>
        </w:rPr>
      </w:pPr>
      <w:bookmarkStart w:id="207" w:name="_Toc131109366"/>
      <w:r w:rsidRPr="002946A9">
        <w:rPr>
          <w:rFonts w:ascii="Trebuchet MS" w:hAnsi="Trebuchet MS"/>
          <w:b/>
          <w:sz w:val="24"/>
          <w:szCs w:val="32"/>
        </w:rPr>
        <w:t>Avance en el cumplimiento de las Metas</w:t>
      </w:r>
      <w:bookmarkEnd w:id="207"/>
    </w:p>
    <w:p w14:paraId="04B5E2FD" w14:textId="5AD5193F" w:rsidR="0067080B" w:rsidRPr="002946A9" w:rsidRDefault="00DA72F6" w:rsidP="00DF29CB">
      <w:pPr>
        <w:ind w:left="360"/>
        <w:jc w:val="both"/>
        <w:rPr>
          <w:rFonts w:ascii="Trebuchet MS" w:hAnsi="Trebuchet MS"/>
          <w:bCs/>
          <w:szCs w:val="24"/>
        </w:rPr>
      </w:pPr>
      <w:r w:rsidRPr="002946A9">
        <w:rPr>
          <w:rFonts w:ascii="Trebuchet MS" w:hAnsi="Trebuchet MS"/>
          <w:bCs/>
          <w:szCs w:val="28"/>
        </w:rPr>
        <w:t xml:space="preserve">A </w:t>
      </w:r>
      <w:r w:rsidR="008520DE" w:rsidRPr="002946A9">
        <w:rPr>
          <w:rFonts w:ascii="Trebuchet MS" w:hAnsi="Trebuchet MS"/>
          <w:bCs/>
          <w:szCs w:val="28"/>
        </w:rPr>
        <w:t>continuación,</w:t>
      </w:r>
      <w:r w:rsidRPr="002946A9">
        <w:rPr>
          <w:rFonts w:ascii="Trebuchet MS" w:hAnsi="Trebuchet MS"/>
          <w:bCs/>
          <w:szCs w:val="28"/>
        </w:rPr>
        <w:t xml:space="preserve"> se </w:t>
      </w:r>
      <w:r w:rsidR="0023699A" w:rsidRPr="002946A9">
        <w:rPr>
          <w:rFonts w:ascii="Trebuchet MS" w:hAnsi="Trebuchet MS"/>
          <w:bCs/>
          <w:szCs w:val="28"/>
        </w:rPr>
        <w:t>presentan los</w:t>
      </w:r>
      <w:r w:rsidR="00F46807" w:rsidRPr="002946A9">
        <w:rPr>
          <w:rFonts w:ascii="Trebuchet MS" w:hAnsi="Trebuchet MS"/>
          <w:bCs/>
          <w:szCs w:val="28"/>
        </w:rPr>
        <w:t xml:space="preserve"> valores obtenidos </w:t>
      </w:r>
      <w:r w:rsidR="0023699A" w:rsidRPr="002946A9">
        <w:rPr>
          <w:rFonts w:ascii="Trebuchet MS" w:hAnsi="Trebuchet MS"/>
          <w:bCs/>
          <w:szCs w:val="28"/>
        </w:rPr>
        <w:t xml:space="preserve">por EPM </w:t>
      </w:r>
      <w:r w:rsidR="00F46807" w:rsidRPr="002946A9">
        <w:rPr>
          <w:rFonts w:ascii="Trebuchet MS" w:hAnsi="Trebuchet MS"/>
          <w:bCs/>
          <w:szCs w:val="28"/>
        </w:rPr>
        <w:t xml:space="preserve">en el año </w:t>
      </w:r>
      <w:r w:rsidR="002631E7" w:rsidRPr="002946A9">
        <w:rPr>
          <w:rFonts w:ascii="Trebuchet MS" w:hAnsi="Trebuchet MS"/>
          <w:bCs/>
          <w:szCs w:val="28"/>
        </w:rPr>
        <w:t>202</w:t>
      </w:r>
      <w:r w:rsidR="002631E7">
        <w:rPr>
          <w:rFonts w:ascii="Trebuchet MS" w:hAnsi="Trebuchet MS"/>
          <w:bCs/>
          <w:szCs w:val="28"/>
        </w:rPr>
        <w:t>2</w:t>
      </w:r>
      <w:r w:rsidR="0023699A" w:rsidRPr="002946A9">
        <w:rPr>
          <w:rFonts w:ascii="Trebuchet MS" w:hAnsi="Trebuchet MS"/>
          <w:bCs/>
          <w:szCs w:val="28"/>
        </w:rPr>
        <w:t>,</w:t>
      </w:r>
      <w:r w:rsidR="00F46807" w:rsidRPr="002946A9">
        <w:rPr>
          <w:rFonts w:ascii="Trebuchet MS" w:hAnsi="Trebuchet MS"/>
          <w:bCs/>
          <w:szCs w:val="28"/>
        </w:rPr>
        <w:t xml:space="preserve"> en </w:t>
      </w:r>
      <w:r w:rsidR="00F46807" w:rsidRPr="006936E6">
        <w:rPr>
          <w:rFonts w:ascii="Trebuchet MS" w:hAnsi="Trebuchet MS"/>
          <w:bCs/>
          <w:szCs w:val="28"/>
        </w:rPr>
        <w:t xml:space="preserve">comparación con las metas </w:t>
      </w:r>
      <w:r w:rsidR="0023699A" w:rsidRPr="006936E6">
        <w:rPr>
          <w:rFonts w:ascii="Trebuchet MS" w:hAnsi="Trebuchet MS"/>
          <w:bCs/>
          <w:szCs w:val="28"/>
        </w:rPr>
        <w:t xml:space="preserve">de inversiones, calidad y pérdidas </w:t>
      </w:r>
      <w:r w:rsidR="00F46807" w:rsidRPr="006936E6">
        <w:rPr>
          <w:rFonts w:ascii="Trebuchet MS" w:hAnsi="Trebuchet MS"/>
          <w:bCs/>
          <w:szCs w:val="28"/>
        </w:rPr>
        <w:t>aprobadas en el plan 20</w:t>
      </w:r>
      <w:r w:rsidR="001559B5" w:rsidRPr="006936E6">
        <w:rPr>
          <w:rFonts w:ascii="Trebuchet MS" w:hAnsi="Trebuchet MS"/>
          <w:bCs/>
          <w:szCs w:val="28"/>
        </w:rPr>
        <w:t>20</w:t>
      </w:r>
      <w:r w:rsidR="00F46807" w:rsidRPr="006936E6">
        <w:rPr>
          <w:rFonts w:ascii="Trebuchet MS" w:hAnsi="Trebuchet MS"/>
          <w:bCs/>
          <w:szCs w:val="28"/>
        </w:rPr>
        <w:t xml:space="preserve"> – 202</w:t>
      </w:r>
      <w:r w:rsidR="001559B5" w:rsidRPr="006936E6">
        <w:rPr>
          <w:rFonts w:ascii="Trebuchet MS" w:hAnsi="Trebuchet MS"/>
          <w:bCs/>
          <w:szCs w:val="28"/>
        </w:rPr>
        <w:t>5</w:t>
      </w:r>
      <w:r w:rsidR="00F46807" w:rsidRPr="006936E6">
        <w:rPr>
          <w:rFonts w:ascii="Trebuchet MS" w:hAnsi="Trebuchet MS"/>
          <w:bCs/>
          <w:szCs w:val="28"/>
        </w:rPr>
        <w:t>.</w:t>
      </w:r>
    </w:p>
    <w:p w14:paraId="29082F3B" w14:textId="4C86BE86" w:rsidR="00103F0A" w:rsidRPr="002946A9" w:rsidRDefault="00103F0A" w:rsidP="00C359FF">
      <w:pPr>
        <w:spacing w:after="0"/>
        <w:ind w:firstLine="360"/>
        <w:jc w:val="both"/>
        <w:rPr>
          <w:rFonts w:ascii="Trebuchet MS" w:hAnsi="Trebuchet MS"/>
          <w:szCs w:val="24"/>
        </w:rPr>
      </w:pPr>
    </w:p>
    <w:p w14:paraId="696D2B02" w14:textId="0FF61259" w:rsidR="00103F0A" w:rsidRPr="002946A9" w:rsidRDefault="00AB7A63" w:rsidP="00DF29CB">
      <w:pPr>
        <w:numPr>
          <w:ilvl w:val="2"/>
          <w:numId w:val="2"/>
        </w:numPr>
        <w:jc w:val="both"/>
        <w:outlineLvl w:val="2"/>
        <w:rPr>
          <w:rFonts w:ascii="Trebuchet MS" w:hAnsi="Trebuchet MS"/>
          <w:b/>
          <w:bCs/>
          <w:szCs w:val="24"/>
        </w:rPr>
      </w:pPr>
      <w:bookmarkStart w:id="208" w:name="_Toc131109367"/>
      <w:r w:rsidRPr="002946A9">
        <w:rPr>
          <w:rFonts w:ascii="Trebuchet MS" w:hAnsi="Trebuchet MS"/>
          <w:b/>
          <w:bCs/>
          <w:szCs w:val="24"/>
        </w:rPr>
        <w:t>Cumplimiento de las inversiones en activos</w:t>
      </w:r>
      <w:bookmarkEnd w:id="208"/>
      <w:r w:rsidR="00103F0A" w:rsidRPr="002946A9">
        <w:rPr>
          <w:rFonts w:ascii="Trebuchet MS" w:hAnsi="Trebuchet MS"/>
          <w:b/>
          <w:bCs/>
          <w:szCs w:val="24"/>
        </w:rPr>
        <w:t xml:space="preserve">  </w:t>
      </w:r>
    </w:p>
    <w:p w14:paraId="7D84BEBD" w14:textId="63247BED" w:rsidR="001A0267" w:rsidRPr="002946A9" w:rsidRDefault="001A1A18" w:rsidP="00F36D19">
      <w:pPr>
        <w:ind w:left="360"/>
        <w:jc w:val="both"/>
        <w:rPr>
          <w:rFonts w:ascii="Trebuchet MS" w:hAnsi="Trebuchet MS" w:cs="Arial"/>
        </w:rPr>
      </w:pPr>
      <w:r w:rsidRPr="002946A9">
        <w:rPr>
          <w:rFonts w:ascii="Trebuchet MS" w:hAnsi="Trebuchet MS"/>
          <w:szCs w:val="24"/>
        </w:rPr>
        <w:t xml:space="preserve">El cumplimiento de las </w:t>
      </w:r>
      <w:r w:rsidR="002557E3" w:rsidRPr="002946A9">
        <w:rPr>
          <w:rFonts w:ascii="Trebuchet MS" w:hAnsi="Trebuchet MS"/>
          <w:szCs w:val="24"/>
        </w:rPr>
        <w:t xml:space="preserve">metas de </w:t>
      </w:r>
      <w:r w:rsidRPr="002946A9">
        <w:rPr>
          <w:rFonts w:ascii="Trebuchet MS" w:hAnsi="Trebuchet MS"/>
          <w:szCs w:val="24"/>
        </w:rPr>
        <w:t xml:space="preserve">inversiones </w:t>
      </w:r>
      <w:r w:rsidR="00B545B8" w:rsidRPr="002946A9">
        <w:rPr>
          <w:rFonts w:ascii="Trebuchet MS" w:hAnsi="Trebuchet MS"/>
          <w:szCs w:val="24"/>
        </w:rPr>
        <w:t xml:space="preserve">para el año </w:t>
      </w:r>
      <w:r w:rsidR="00BA3561" w:rsidRPr="002946A9">
        <w:rPr>
          <w:rFonts w:ascii="Trebuchet MS" w:hAnsi="Trebuchet MS"/>
          <w:szCs w:val="24"/>
        </w:rPr>
        <w:t>202</w:t>
      </w:r>
      <w:r w:rsidR="00BA3561">
        <w:rPr>
          <w:rFonts w:ascii="Trebuchet MS" w:hAnsi="Trebuchet MS"/>
          <w:szCs w:val="24"/>
        </w:rPr>
        <w:t>2</w:t>
      </w:r>
      <w:r w:rsidR="00BA3561" w:rsidRPr="002946A9">
        <w:rPr>
          <w:rFonts w:ascii="Trebuchet MS" w:hAnsi="Trebuchet MS"/>
          <w:szCs w:val="24"/>
        </w:rPr>
        <w:t xml:space="preserve"> </w:t>
      </w:r>
      <w:r w:rsidRPr="002946A9">
        <w:rPr>
          <w:rFonts w:ascii="Trebuchet MS" w:hAnsi="Trebuchet MS"/>
          <w:szCs w:val="24"/>
        </w:rPr>
        <w:t>se mide a través</w:t>
      </w:r>
      <w:r w:rsidR="002557E3" w:rsidRPr="002946A9">
        <w:rPr>
          <w:rFonts w:ascii="Trebuchet MS" w:hAnsi="Trebuchet MS"/>
          <w:szCs w:val="24"/>
        </w:rPr>
        <w:t xml:space="preserve"> de la relación</w:t>
      </w:r>
      <w:r w:rsidR="000A398F" w:rsidRPr="002946A9">
        <w:rPr>
          <w:rFonts w:ascii="Trebuchet MS" w:hAnsi="Trebuchet MS"/>
          <w:szCs w:val="24"/>
        </w:rPr>
        <w:t xml:space="preserve"> </w:t>
      </w:r>
      <w:r w:rsidR="002557E3" w:rsidRPr="002946A9">
        <w:rPr>
          <w:rFonts w:ascii="Trebuchet MS" w:hAnsi="Trebuchet MS"/>
          <w:i/>
          <w:iCs/>
          <w:szCs w:val="24"/>
        </w:rPr>
        <w:t>INVR</w:t>
      </w:r>
      <w:r w:rsidR="002557E3" w:rsidRPr="002946A9">
        <w:rPr>
          <w:rFonts w:ascii="Trebuchet MS" w:hAnsi="Trebuchet MS"/>
          <w:i/>
          <w:iCs/>
          <w:szCs w:val="24"/>
          <w:vertAlign w:val="subscript"/>
        </w:rPr>
        <w:t>j,n,l,</w:t>
      </w:r>
      <w:r w:rsidR="006936E6">
        <w:rPr>
          <w:rFonts w:ascii="Trebuchet MS" w:hAnsi="Trebuchet MS"/>
          <w:i/>
          <w:iCs/>
          <w:szCs w:val="24"/>
          <w:vertAlign w:val="subscript"/>
        </w:rPr>
        <w:t>4</w:t>
      </w:r>
      <w:r w:rsidR="000D2F54" w:rsidRPr="002946A9">
        <w:rPr>
          <w:rFonts w:ascii="Trebuchet MS" w:hAnsi="Trebuchet MS"/>
          <w:i/>
          <w:iCs/>
          <w:szCs w:val="24"/>
          <w:vertAlign w:val="subscript"/>
        </w:rPr>
        <w:t xml:space="preserve"> </w:t>
      </w:r>
      <w:r w:rsidR="002557E3" w:rsidRPr="002946A9">
        <w:rPr>
          <w:rFonts w:ascii="Trebuchet MS" w:hAnsi="Trebuchet MS"/>
          <w:szCs w:val="24"/>
        </w:rPr>
        <w:t>/</w:t>
      </w:r>
      <w:r w:rsidR="002557E3" w:rsidRPr="002946A9">
        <w:rPr>
          <w:rFonts w:ascii="Trebuchet MS" w:hAnsi="Trebuchet MS" w:cstheme="minorHAnsi"/>
          <w:i/>
          <w:iCs/>
        </w:rPr>
        <w:t xml:space="preserve"> INVA</w:t>
      </w:r>
      <w:r w:rsidR="002557E3" w:rsidRPr="002946A9">
        <w:rPr>
          <w:rFonts w:ascii="Trebuchet MS" w:hAnsi="Trebuchet MS" w:cstheme="minorHAnsi"/>
          <w:i/>
          <w:iCs/>
          <w:vertAlign w:val="subscript"/>
        </w:rPr>
        <w:t>j,n,l,</w:t>
      </w:r>
      <w:r w:rsidR="006936E6">
        <w:rPr>
          <w:rFonts w:ascii="Trebuchet MS" w:hAnsi="Trebuchet MS" w:cstheme="minorHAnsi"/>
          <w:i/>
          <w:iCs/>
          <w:vertAlign w:val="subscript"/>
        </w:rPr>
        <w:t>4</w:t>
      </w:r>
      <w:r w:rsidR="00E06D6A" w:rsidRPr="002946A9">
        <w:rPr>
          <w:rFonts w:ascii="Trebuchet MS" w:hAnsi="Trebuchet MS" w:cs="Arial"/>
        </w:rPr>
        <w:t xml:space="preserve"> (inversiones puestas en operación/inversiones ap</w:t>
      </w:r>
      <w:r w:rsidR="00366856" w:rsidRPr="002946A9">
        <w:rPr>
          <w:rFonts w:ascii="Trebuchet MS" w:hAnsi="Trebuchet MS" w:cs="Arial"/>
        </w:rPr>
        <w:t>robadas en el plan)</w:t>
      </w:r>
      <w:r w:rsidR="000A398F" w:rsidRPr="002946A9">
        <w:rPr>
          <w:rFonts w:ascii="Trebuchet MS" w:hAnsi="Trebuchet MS" w:cs="Arial"/>
        </w:rPr>
        <w:t xml:space="preserve">, </w:t>
      </w:r>
      <w:r w:rsidR="00355206" w:rsidRPr="002946A9">
        <w:rPr>
          <w:rFonts w:ascii="Trebuchet MS" w:hAnsi="Trebuchet MS" w:cs="Arial"/>
        </w:rPr>
        <w:t xml:space="preserve">es decir, se considera la relación de la </w:t>
      </w:r>
      <w:r w:rsidR="006E1ADA" w:rsidRPr="002946A9">
        <w:rPr>
          <w:rFonts w:ascii="Trebuchet MS" w:hAnsi="Trebuchet MS" w:cs="Arial"/>
        </w:rPr>
        <w:fldChar w:fldCharType="begin"/>
      </w:r>
      <w:r w:rsidR="006E1ADA" w:rsidRPr="002946A9">
        <w:rPr>
          <w:rFonts w:ascii="Trebuchet MS" w:hAnsi="Trebuchet MS" w:cs="Arial"/>
        </w:rPr>
        <w:instrText xml:space="preserve"> REF _Ref67390194 \h </w:instrText>
      </w:r>
      <w:r w:rsidR="002946A9" w:rsidRPr="002946A9">
        <w:rPr>
          <w:rFonts w:ascii="Trebuchet MS" w:hAnsi="Trebuchet MS" w:cs="Arial"/>
        </w:rPr>
        <w:instrText xml:space="preserve"> \* MERGEFORMAT </w:instrText>
      </w:r>
      <w:r w:rsidR="006E1ADA" w:rsidRPr="002946A9">
        <w:rPr>
          <w:rFonts w:ascii="Trebuchet MS" w:hAnsi="Trebuchet MS" w:cs="Arial"/>
        </w:rPr>
      </w:r>
      <w:r w:rsidR="006E1ADA" w:rsidRPr="002946A9">
        <w:rPr>
          <w:rFonts w:ascii="Trebuchet MS" w:hAnsi="Trebuchet MS" w:cs="Arial"/>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1</w:t>
      </w:r>
      <w:r w:rsidR="006E1ADA" w:rsidRPr="002946A9">
        <w:rPr>
          <w:rFonts w:ascii="Trebuchet MS" w:hAnsi="Trebuchet MS" w:cs="Arial"/>
        </w:rPr>
        <w:fldChar w:fldCharType="end"/>
      </w:r>
      <w:r w:rsidR="00C30B00" w:rsidRPr="002946A9">
        <w:rPr>
          <w:rFonts w:ascii="Trebuchet MS" w:hAnsi="Trebuchet MS" w:cs="Arial"/>
        </w:rPr>
        <w:t xml:space="preserve"> (sin acotar)</w:t>
      </w:r>
      <w:r w:rsidR="006E1ADA" w:rsidRPr="002946A9">
        <w:rPr>
          <w:rFonts w:ascii="Trebuchet MS" w:hAnsi="Trebuchet MS" w:cs="Arial"/>
        </w:rPr>
        <w:t xml:space="preserve"> </w:t>
      </w:r>
      <w:r w:rsidR="00252FEE" w:rsidRPr="002946A9">
        <w:rPr>
          <w:rFonts w:ascii="Trebuchet MS" w:hAnsi="Trebuchet MS" w:cs="Arial"/>
        </w:rPr>
        <w:t>dividida entre la</w:t>
      </w:r>
      <w:r w:rsidR="006E1ADA" w:rsidRPr="002946A9">
        <w:rPr>
          <w:rFonts w:ascii="Trebuchet MS" w:hAnsi="Trebuchet MS" w:cs="Arial"/>
        </w:rPr>
        <w:t xml:space="preserve"> </w:t>
      </w:r>
      <w:r w:rsidR="00E935A5" w:rsidRPr="002946A9">
        <w:rPr>
          <w:rFonts w:ascii="Trebuchet MS" w:hAnsi="Trebuchet MS" w:cs="Arial"/>
        </w:rPr>
        <w:fldChar w:fldCharType="begin"/>
      </w:r>
      <w:r w:rsidR="00E935A5" w:rsidRPr="002946A9">
        <w:rPr>
          <w:rFonts w:ascii="Trebuchet MS" w:hAnsi="Trebuchet MS" w:cs="Arial"/>
        </w:rPr>
        <w:instrText xml:space="preserve"> REF _Ref67067707 \h </w:instrText>
      </w:r>
      <w:r w:rsidR="002946A9" w:rsidRPr="002946A9">
        <w:rPr>
          <w:rFonts w:ascii="Trebuchet MS" w:hAnsi="Trebuchet MS" w:cs="Arial"/>
        </w:rPr>
        <w:instrText xml:space="preserve"> \* MERGEFORMAT </w:instrText>
      </w:r>
      <w:r w:rsidR="00E935A5" w:rsidRPr="002946A9">
        <w:rPr>
          <w:rFonts w:ascii="Trebuchet MS" w:hAnsi="Trebuchet MS" w:cs="Arial"/>
        </w:rPr>
      </w:r>
      <w:r w:rsidR="00E935A5" w:rsidRPr="002946A9">
        <w:rPr>
          <w:rFonts w:ascii="Trebuchet MS" w:hAnsi="Trebuchet MS" w:cs="Arial"/>
        </w:rPr>
        <w:fldChar w:fldCharType="separate"/>
      </w:r>
      <w:r w:rsidR="00C944CB" w:rsidRPr="002946A9">
        <w:rPr>
          <w:rFonts w:ascii="Trebuchet MS" w:hAnsi="Trebuchet MS"/>
        </w:rPr>
        <w:t xml:space="preserve">Tabla </w:t>
      </w:r>
      <w:r w:rsidR="00C944CB">
        <w:rPr>
          <w:rFonts w:ascii="Trebuchet MS" w:hAnsi="Trebuchet MS"/>
          <w:noProof/>
        </w:rPr>
        <w:t>2</w:t>
      </w:r>
      <w:r w:rsidR="00C944CB" w:rsidRPr="002946A9">
        <w:rPr>
          <w:rFonts w:ascii="Trebuchet MS" w:hAnsi="Trebuchet MS"/>
          <w:noProof/>
        </w:rPr>
        <w:t>.</w:t>
      </w:r>
      <w:r w:rsidR="00C944CB">
        <w:rPr>
          <w:rFonts w:ascii="Trebuchet MS" w:hAnsi="Trebuchet MS"/>
          <w:noProof/>
        </w:rPr>
        <w:t>19</w:t>
      </w:r>
      <w:r w:rsidR="00E935A5" w:rsidRPr="002946A9">
        <w:rPr>
          <w:rFonts w:ascii="Trebuchet MS" w:hAnsi="Trebuchet MS" w:cs="Arial"/>
        </w:rPr>
        <w:fldChar w:fldCharType="end"/>
      </w:r>
      <w:r w:rsidR="00C30B00" w:rsidRPr="002946A9">
        <w:rPr>
          <w:rFonts w:ascii="Trebuchet MS" w:hAnsi="Trebuchet MS" w:cs="Arial"/>
        </w:rPr>
        <w:t xml:space="preserve"> (plan)</w:t>
      </w:r>
      <w:r w:rsidR="00E935A5" w:rsidRPr="002946A9">
        <w:rPr>
          <w:rFonts w:ascii="Trebuchet MS" w:hAnsi="Trebuchet MS" w:cs="Arial"/>
        </w:rPr>
        <w:t xml:space="preserve"> </w:t>
      </w:r>
      <w:r w:rsidR="00252FEE" w:rsidRPr="002946A9">
        <w:rPr>
          <w:rFonts w:ascii="Trebuchet MS" w:hAnsi="Trebuchet MS" w:cs="Arial"/>
        </w:rPr>
        <w:t>y el resultado se multiplica por 100 para obtener el valor en porcentaje</w:t>
      </w:r>
      <w:r w:rsidR="00EA01F3" w:rsidRPr="002946A9">
        <w:rPr>
          <w:rFonts w:ascii="Trebuchet MS" w:hAnsi="Trebuchet MS" w:cs="Arial"/>
        </w:rPr>
        <w:t>. La división se hace para cada uno de los niveles de tensión</w:t>
      </w:r>
      <w:r w:rsidR="00FB1147" w:rsidRPr="002946A9">
        <w:rPr>
          <w:rFonts w:ascii="Trebuchet MS" w:hAnsi="Trebuchet MS" w:cs="Arial"/>
        </w:rPr>
        <w:t xml:space="preserve">, </w:t>
      </w:r>
      <w:r w:rsidR="00EA01F3" w:rsidRPr="002946A9">
        <w:rPr>
          <w:rFonts w:ascii="Trebuchet MS" w:hAnsi="Trebuchet MS" w:cs="Arial"/>
        </w:rPr>
        <w:t>categoría de activos</w:t>
      </w:r>
      <w:r w:rsidR="006F333B" w:rsidRPr="002946A9">
        <w:rPr>
          <w:rFonts w:ascii="Trebuchet MS" w:hAnsi="Trebuchet MS" w:cs="Arial"/>
        </w:rPr>
        <w:t xml:space="preserve"> y valores totales</w:t>
      </w:r>
      <w:r w:rsidR="00760B79" w:rsidRPr="002946A9">
        <w:rPr>
          <w:rFonts w:ascii="Trebuchet MS" w:hAnsi="Trebuchet MS" w:cs="Arial"/>
        </w:rPr>
        <w:t xml:space="preserve"> obtenidos</w:t>
      </w:r>
      <w:r w:rsidR="00EA01F3" w:rsidRPr="002946A9">
        <w:rPr>
          <w:rFonts w:ascii="Trebuchet MS" w:hAnsi="Trebuchet MS" w:cs="Arial"/>
        </w:rPr>
        <w:t xml:space="preserve">. Los porcentajes de ejecución calculados se presentan en la </w:t>
      </w:r>
      <w:r w:rsidR="00EA01F3" w:rsidRPr="002946A9">
        <w:rPr>
          <w:rFonts w:ascii="Trebuchet MS" w:hAnsi="Trebuchet MS" w:cs="Arial"/>
        </w:rPr>
        <w:fldChar w:fldCharType="begin"/>
      </w:r>
      <w:r w:rsidR="00EA01F3" w:rsidRPr="002946A9">
        <w:rPr>
          <w:rFonts w:ascii="Trebuchet MS" w:hAnsi="Trebuchet MS" w:cs="Arial"/>
        </w:rPr>
        <w:instrText xml:space="preserve"> REF _Ref67477712 \h  \* MERGEFORMAT </w:instrText>
      </w:r>
      <w:r w:rsidR="00EA01F3" w:rsidRPr="002946A9">
        <w:rPr>
          <w:rFonts w:ascii="Trebuchet MS" w:hAnsi="Trebuchet MS" w:cs="Arial"/>
        </w:rPr>
      </w:r>
      <w:r w:rsidR="00EA01F3" w:rsidRPr="002946A9">
        <w:rPr>
          <w:rFonts w:ascii="Trebuchet MS" w:hAnsi="Trebuchet MS" w:cs="Arial"/>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9</w:t>
      </w:r>
      <w:r w:rsidR="00EA01F3" w:rsidRPr="002946A9">
        <w:rPr>
          <w:rFonts w:ascii="Trebuchet MS" w:hAnsi="Trebuchet MS" w:cs="Arial"/>
        </w:rPr>
        <w:fldChar w:fldCharType="end"/>
      </w:r>
      <w:r w:rsidR="00EA01F3" w:rsidRPr="002946A9">
        <w:rPr>
          <w:rFonts w:ascii="Trebuchet MS" w:hAnsi="Trebuchet MS" w:cs="Arial"/>
        </w:rPr>
        <w:t>.</w:t>
      </w:r>
    </w:p>
    <w:p w14:paraId="66938EDC" w14:textId="77777777" w:rsidR="005D6C3F" w:rsidRDefault="005D6C3F" w:rsidP="00620631">
      <w:pPr>
        <w:spacing w:after="0"/>
        <w:jc w:val="both"/>
        <w:rPr>
          <w:rFonts w:ascii="Trebuchet MS" w:hAnsi="Trebuchet MS" w:cs="Arial"/>
        </w:rPr>
      </w:pPr>
    </w:p>
    <w:p w14:paraId="48221FC4" w14:textId="77777777" w:rsidR="00731A4E" w:rsidRDefault="00731A4E" w:rsidP="00620631">
      <w:pPr>
        <w:spacing w:after="0"/>
        <w:jc w:val="both"/>
        <w:rPr>
          <w:rFonts w:ascii="Trebuchet MS" w:hAnsi="Trebuchet MS" w:cs="Arial"/>
        </w:rPr>
      </w:pPr>
    </w:p>
    <w:p w14:paraId="32912348" w14:textId="77777777" w:rsidR="00731A4E" w:rsidRDefault="00731A4E" w:rsidP="00620631">
      <w:pPr>
        <w:spacing w:after="0"/>
        <w:jc w:val="both"/>
        <w:rPr>
          <w:rFonts w:ascii="Trebuchet MS" w:hAnsi="Trebuchet MS" w:cs="Arial"/>
        </w:rPr>
      </w:pPr>
    </w:p>
    <w:p w14:paraId="4E88A80F" w14:textId="77777777" w:rsidR="00731A4E" w:rsidRDefault="00731A4E" w:rsidP="00620631">
      <w:pPr>
        <w:spacing w:after="0"/>
        <w:jc w:val="both"/>
        <w:rPr>
          <w:rFonts w:ascii="Trebuchet MS" w:hAnsi="Trebuchet MS" w:cs="Arial"/>
        </w:rPr>
      </w:pPr>
    </w:p>
    <w:p w14:paraId="0FE69229" w14:textId="77777777" w:rsidR="00731A4E" w:rsidRDefault="00731A4E" w:rsidP="00620631">
      <w:pPr>
        <w:spacing w:after="0"/>
        <w:jc w:val="both"/>
        <w:rPr>
          <w:rFonts w:ascii="Trebuchet MS" w:hAnsi="Trebuchet MS" w:cs="Arial"/>
        </w:rPr>
      </w:pPr>
    </w:p>
    <w:p w14:paraId="26EBE449" w14:textId="77777777" w:rsidR="00731A4E" w:rsidRPr="002946A9" w:rsidRDefault="00731A4E" w:rsidP="00620631">
      <w:pPr>
        <w:spacing w:after="0"/>
        <w:jc w:val="both"/>
        <w:rPr>
          <w:rFonts w:ascii="Trebuchet MS" w:hAnsi="Trebuchet MS" w:cs="Arial"/>
        </w:rPr>
      </w:pPr>
    </w:p>
    <w:p w14:paraId="37199848" w14:textId="5CAF4EF7" w:rsidR="00FE2205" w:rsidRPr="002946A9" w:rsidRDefault="00FE2205" w:rsidP="00DF29CB">
      <w:pPr>
        <w:ind w:left="1416" w:hanging="1056"/>
        <w:jc w:val="both"/>
        <w:rPr>
          <w:rFonts w:ascii="Trebuchet MS" w:hAnsi="Trebuchet MS"/>
        </w:rPr>
      </w:pPr>
      <w:bookmarkStart w:id="209" w:name="_Ref67477712"/>
      <w:bookmarkStart w:id="210" w:name="_Toc131032799"/>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9</w:t>
      </w:r>
      <w:r w:rsidRPr="002946A9">
        <w:rPr>
          <w:rFonts w:ascii="Trebuchet MS" w:hAnsi="Trebuchet MS"/>
        </w:rPr>
        <w:fldChar w:fldCharType="end"/>
      </w:r>
      <w:bookmarkEnd w:id="209"/>
      <w:r w:rsidRPr="002946A9">
        <w:rPr>
          <w:rFonts w:ascii="Trebuchet MS" w:hAnsi="Trebuchet MS"/>
        </w:rPr>
        <w:t xml:space="preserve">  </w:t>
      </w:r>
      <w:r w:rsidR="001020B0" w:rsidRPr="002946A9">
        <w:rPr>
          <w:rFonts w:ascii="Trebuchet MS" w:hAnsi="Trebuchet MS"/>
        </w:rPr>
        <w:t>Porcentajes de ejecución</w:t>
      </w:r>
      <w:r w:rsidR="00F22DB7" w:rsidRPr="002946A9">
        <w:rPr>
          <w:rFonts w:ascii="Trebuchet MS" w:hAnsi="Trebuchet MS"/>
        </w:rPr>
        <w:t xml:space="preserve"> del plan de inversiones año </w:t>
      </w:r>
      <w:r w:rsidR="00BA3561" w:rsidRPr="002946A9">
        <w:rPr>
          <w:rFonts w:ascii="Trebuchet MS" w:hAnsi="Trebuchet MS"/>
        </w:rPr>
        <w:t>202</w:t>
      </w:r>
      <w:r w:rsidR="00BA3561">
        <w:rPr>
          <w:rFonts w:ascii="Trebuchet MS" w:hAnsi="Trebuchet MS"/>
        </w:rPr>
        <w:t>2</w:t>
      </w:r>
      <w:r w:rsidRPr="002946A9">
        <w:rPr>
          <w:rFonts w:ascii="Trebuchet MS" w:hAnsi="Trebuchet MS"/>
        </w:rPr>
        <w:t>.</w:t>
      </w:r>
      <w:r w:rsidR="003476F0" w:rsidRPr="002946A9">
        <w:rPr>
          <w:rFonts w:ascii="Trebuchet MS" w:hAnsi="Trebuchet MS"/>
        </w:rPr>
        <w:t xml:space="preserve"> Ejecución no acotada.</w:t>
      </w:r>
      <w:bookmarkEnd w:id="210"/>
    </w:p>
    <w:tbl>
      <w:tblPr>
        <w:tblStyle w:val="Tablaconcuadrcula5oscura-nfasis1"/>
        <w:tblW w:w="0" w:type="auto"/>
        <w:jc w:val="center"/>
        <w:tblLook w:val="04A0" w:firstRow="1" w:lastRow="0" w:firstColumn="1" w:lastColumn="0" w:noHBand="0" w:noVBand="1"/>
      </w:tblPr>
      <w:tblGrid>
        <w:gridCol w:w="427"/>
        <w:gridCol w:w="3331"/>
        <w:gridCol w:w="1006"/>
        <w:gridCol w:w="1006"/>
        <w:gridCol w:w="1006"/>
        <w:gridCol w:w="1006"/>
        <w:gridCol w:w="1006"/>
      </w:tblGrid>
      <w:tr w:rsidR="00061E79" w:rsidRPr="00352240" w14:paraId="7924471B" w14:textId="77777777" w:rsidTr="001B28D8">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15A8AFA7" w14:textId="77777777" w:rsidR="00061E79" w:rsidRPr="00352240" w:rsidRDefault="00061E79" w:rsidP="00693800">
            <w:pPr>
              <w:rPr>
                <w:rFonts w:eastAsia="Times New Roman" w:cs="Times New Roman"/>
                <w:b w:val="0"/>
                <w:bCs w:val="0"/>
                <w:color w:val="auto"/>
                <w:sz w:val="18"/>
                <w:szCs w:val="18"/>
              </w:rPr>
            </w:pPr>
            <w:r w:rsidRPr="00352240">
              <w:rPr>
                <w:rFonts w:cs="Times New Roman"/>
                <w:i/>
                <w:iCs/>
                <w:sz w:val="18"/>
                <w:szCs w:val="18"/>
              </w:rPr>
              <w:t>l</w:t>
            </w:r>
          </w:p>
        </w:tc>
        <w:tc>
          <w:tcPr>
            <w:tcW w:w="0" w:type="auto"/>
            <w:vMerge w:val="restart"/>
            <w:noWrap/>
            <w:hideMark/>
          </w:tcPr>
          <w:p w14:paraId="036767BF" w14:textId="77777777" w:rsidR="00061E79" w:rsidRPr="00352240" w:rsidRDefault="00061E79" w:rsidP="00693800">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sz w:val="18"/>
                <w:szCs w:val="18"/>
              </w:rPr>
            </w:pPr>
            <w:r w:rsidRPr="00352240">
              <w:rPr>
                <w:rFonts w:eastAsia="Times New Roman" w:cstheme="minorHAnsi"/>
                <w:sz w:val="18"/>
                <w:szCs w:val="18"/>
              </w:rPr>
              <w:t>Descripción</w:t>
            </w:r>
          </w:p>
        </w:tc>
        <w:tc>
          <w:tcPr>
            <w:tcW w:w="5030" w:type="dxa"/>
            <w:gridSpan w:val="5"/>
            <w:noWrap/>
            <w:hideMark/>
          </w:tcPr>
          <w:p w14:paraId="3103C834" w14:textId="1FF20EA6" w:rsidR="00061E79" w:rsidRPr="00352240" w:rsidRDefault="00061E79" w:rsidP="00693800">
            <w:pPr>
              <w:pStyle w:val="Sinespaciado"/>
              <w:cnfStyle w:val="100000000000" w:firstRow="1" w:lastRow="0" w:firstColumn="0" w:lastColumn="0" w:oddVBand="0" w:evenVBand="0" w:oddHBand="0" w:evenHBand="0" w:firstRowFirstColumn="0" w:firstRowLastColumn="0" w:lastRowFirstColumn="0" w:lastRowLastColumn="0"/>
              <w:rPr>
                <w:rFonts w:eastAsia="Times New Roman" w:cstheme="minorHAnsi"/>
                <w:i/>
                <w:iCs/>
                <w:color w:val="auto"/>
                <w:sz w:val="18"/>
                <w:szCs w:val="18"/>
              </w:rPr>
            </w:pPr>
            <w:r w:rsidRPr="00352240">
              <w:rPr>
                <w:i/>
                <w:iCs/>
                <w:sz w:val="18"/>
                <w:szCs w:val="18"/>
              </w:rPr>
              <w:t>INVR</w:t>
            </w:r>
            <w:r w:rsidRPr="00352240">
              <w:rPr>
                <w:i/>
                <w:iCs/>
                <w:sz w:val="18"/>
                <w:szCs w:val="18"/>
                <w:vertAlign w:val="subscript"/>
              </w:rPr>
              <w:t>j,n,l,</w:t>
            </w:r>
            <w:r w:rsidR="00FB4B85" w:rsidRPr="00EF3F98">
              <w:rPr>
                <w:i/>
                <w:iCs/>
                <w:sz w:val="18"/>
                <w:szCs w:val="18"/>
                <w:vertAlign w:val="subscript"/>
              </w:rPr>
              <w:t>4</w:t>
            </w:r>
            <w:r w:rsidR="009A061B" w:rsidRPr="00352240">
              <w:rPr>
                <w:i/>
                <w:iCs/>
                <w:sz w:val="18"/>
                <w:szCs w:val="18"/>
                <w:vertAlign w:val="subscript"/>
              </w:rPr>
              <w:t>_</w:t>
            </w:r>
            <w:r w:rsidR="003D4F0C" w:rsidRPr="00352240">
              <w:rPr>
                <w:i/>
                <w:iCs/>
                <w:sz w:val="18"/>
                <w:szCs w:val="18"/>
                <w:vertAlign w:val="subscript"/>
              </w:rPr>
              <w:t>no acotado</w:t>
            </w:r>
            <w:r w:rsidR="009A061B" w:rsidRPr="00352240">
              <w:rPr>
                <w:i/>
                <w:iCs/>
                <w:sz w:val="18"/>
                <w:szCs w:val="18"/>
                <w:vertAlign w:val="subscript"/>
              </w:rPr>
              <w:t xml:space="preserve"> </w:t>
            </w:r>
            <w:r w:rsidRPr="00352240">
              <w:rPr>
                <w:i/>
                <w:iCs/>
                <w:sz w:val="18"/>
                <w:szCs w:val="18"/>
              </w:rPr>
              <w:t>/</w:t>
            </w:r>
            <w:r w:rsidRPr="00352240">
              <w:rPr>
                <w:rFonts w:cstheme="minorHAnsi"/>
                <w:i/>
                <w:iCs/>
                <w:sz w:val="18"/>
                <w:szCs w:val="18"/>
              </w:rPr>
              <w:t xml:space="preserve"> INVA</w:t>
            </w:r>
            <w:r w:rsidRPr="00352240">
              <w:rPr>
                <w:rFonts w:cstheme="minorHAnsi"/>
                <w:i/>
                <w:iCs/>
                <w:sz w:val="18"/>
                <w:szCs w:val="18"/>
                <w:vertAlign w:val="subscript"/>
              </w:rPr>
              <w:t>j,n,l,</w:t>
            </w:r>
            <w:r w:rsidR="008039A2">
              <w:rPr>
                <w:rFonts w:cstheme="minorHAnsi"/>
                <w:i/>
                <w:iCs/>
                <w:sz w:val="18"/>
                <w:szCs w:val="18"/>
                <w:vertAlign w:val="subscript"/>
              </w:rPr>
              <w:t>4</w:t>
            </w:r>
          </w:p>
        </w:tc>
      </w:tr>
      <w:tr w:rsidR="00515015" w:rsidRPr="00352240" w14:paraId="30E37E41" w14:textId="77777777" w:rsidTr="001B28D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7FC8DD4D" w14:textId="77777777" w:rsidR="00061E79" w:rsidRPr="00352240" w:rsidRDefault="00061E79" w:rsidP="00693800">
            <w:pPr>
              <w:pStyle w:val="Sinespaciado"/>
              <w:jc w:val="center"/>
              <w:rPr>
                <w:rFonts w:eastAsia="Times New Roman" w:cstheme="minorHAnsi"/>
                <w:color w:val="000000"/>
                <w:sz w:val="18"/>
                <w:szCs w:val="18"/>
              </w:rPr>
            </w:pPr>
          </w:p>
        </w:tc>
        <w:tc>
          <w:tcPr>
            <w:tcW w:w="0" w:type="auto"/>
            <w:vMerge/>
            <w:hideMark/>
          </w:tcPr>
          <w:p w14:paraId="57DED4F9" w14:textId="77777777" w:rsidR="00061E79" w:rsidRPr="00352240" w:rsidRDefault="00061E79" w:rsidP="00693800">
            <w:pPr>
              <w:pStyle w:val="Sinespaciad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p>
        </w:tc>
        <w:tc>
          <w:tcPr>
            <w:tcW w:w="1006" w:type="dxa"/>
            <w:noWrap/>
            <w:hideMark/>
          </w:tcPr>
          <w:p w14:paraId="1A9D33FE" w14:textId="77777777" w:rsidR="00061E79" w:rsidRPr="00352240" w:rsidRDefault="00061E79" w:rsidP="00693800">
            <w:pPr>
              <w:pStyle w:val="Sinespaciad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8"/>
                <w:szCs w:val="18"/>
              </w:rPr>
            </w:pPr>
            <w:r w:rsidRPr="00352240">
              <w:rPr>
                <w:rFonts w:eastAsia="Times New Roman" w:cstheme="minorHAnsi"/>
                <w:b/>
                <w:color w:val="000000"/>
                <w:sz w:val="18"/>
                <w:szCs w:val="18"/>
              </w:rPr>
              <w:t>N1</w:t>
            </w:r>
          </w:p>
        </w:tc>
        <w:tc>
          <w:tcPr>
            <w:tcW w:w="1006" w:type="dxa"/>
            <w:noWrap/>
            <w:hideMark/>
          </w:tcPr>
          <w:p w14:paraId="1BE06174" w14:textId="77777777" w:rsidR="00061E79" w:rsidRPr="00352240" w:rsidRDefault="00061E79" w:rsidP="00693800">
            <w:pPr>
              <w:pStyle w:val="Sinespaciad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8"/>
                <w:szCs w:val="18"/>
              </w:rPr>
            </w:pPr>
            <w:r w:rsidRPr="00352240">
              <w:rPr>
                <w:rFonts w:eastAsia="Times New Roman" w:cstheme="minorHAnsi"/>
                <w:b/>
                <w:color w:val="000000"/>
                <w:sz w:val="18"/>
                <w:szCs w:val="18"/>
              </w:rPr>
              <w:t>N2</w:t>
            </w:r>
          </w:p>
        </w:tc>
        <w:tc>
          <w:tcPr>
            <w:tcW w:w="1006" w:type="dxa"/>
            <w:noWrap/>
            <w:hideMark/>
          </w:tcPr>
          <w:p w14:paraId="0A07723D" w14:textId="77777777" w:rsidR="00061E79" w:rsidRPr="00352240" w:rsidRDefault="00061E79" w:rsidP="00693800">
            <w:pPr>
              <w:pStyle w:val="Sinespaciad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8"/>
                <w:szCs w:val="18"/>
              </w:rPr>
            </w:pPr>
            <w:r w:rsidRPr="00352240">
              <w:rPr>
                <w:rFonts w:eastAsia="Times New Roman" w:cstheme="minorHAnsi"/>
                <w:b/>
                <w:color w:val="000000"/>
                <w:sz w:val="18"/>
                <w:szCs w:val="18"/>
              </w:rPr>
              <w:t>N3</w:t>
            </w:r>
          </w:p>
        </w:tc>
        <w:tc>
          <w:tcPr>
            <w:tcW w:w="1006" w:type="dxa"/>
            <w:noWrap/>
            <w:hideMark/>
          </w:tcPr>
          <w:p w14:paraId="5AB6527E" w14:textId="77777777" w:rsidR="00061E79" w:rsidRPr="00352240" w:rsidRDefault="00061E79" w:rsidP="00693800">
            <w:pPr>
              <w:pStyle w:val="Sinespaciad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8"/>
                <w:szCs w:val="18"/>
              </w:rPr>
            </w:pPr>
            <w:r w:rsidRPr="00352240">
              <w:rPr>
                <w:rFonts w:eastAsia="Times New Roman" w:cstheme="minorHAnsi"/>
                <w:b/>
                <w:color w:val="000000"/>
                <w:sz w:val="18"/>
                <w:szCs w:val="18"/>
              </w:rPr>
              <w:t>N4</w:t>
            </w:r>
          </w:p>
        </w:tc>
        <w:tc>
          <w:tcPr>
            <w:tcW w:w="1006" w:type="dxa"/>
            <w:noWrap/>
            <w:hideMark/>
          </w:tcPr>
          <w:p w14:paraId="1F879ECA" w14:textId="77777777" w:rsidR="00061E79" w:rsidRPr="00352240" w:rsidRDefault="00061E79" w:rsidP="00693800">
            <w:pPr>
              <w:pStyle w:val="Sinespaciado"/>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0000"/>
                <w:sz w:val="18"/>
                <w:szCs w:val="18"/>
              </w:rPr>
            </w:pPr>
            <w:r w:rsidRPr="00352240">
              <w:rPr>
                <w:rFonts w:eastAsia="Times New Roman" w:cstheme="minorHAnsi"/>
                <w:b/>
                <w:color w:val="000000"/>
                <w:sz w:val="18"/>
                <w:szCs w:val="18"/>
              </w:rPr>
              <w:t>TOTAL</w:t>
            </w:r>
          </w:p>
        </w:tc>
      </w:tr>
      <w:tr w:rsidR="001B0A1C" w:rsidRPr="00352240" w14:paraId="039B2A14" w14:textId="77777777" w:rsidTr="001B28D8">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26F5969" w14:textId="77777777" w:rsidR="001B0A1C" w:rsidRPr="00352240" w:rsidRDefault="001B0A1C" w:rsidP="001B0A1C">
            <w:pPr>
              <w:jc w:val="center"/>
              <w:rPr>
                <w:rFonts w:eastAsia="Times New Roman" w:cstheme="minorHAnsi"/>
                <w:b w:val="0"/>
                <w:bCs w:val="0"/>
                <w:color w:val="000000"/>
                <w:sz w:val="18"/>
                <w:szCs w:val="18"/>
              </w:rPr>
            </w:pPr>
            <w:r w:rsidRPr="00352240">
              <w:rPr>
                <w:rFonts w:eastAsia="Times New Roman" w:cstheme="minorHAnsi"/>
                <w:color w:val="000000"/>
                <w:sz w:val="18"/>
                <w:szCs w:val="18"/>
              </w:rPr>
              <w:t>1</w:t>
            </w:r>
          </w:p>
        </w:tc>
        <w:tc>
          <w:tcPr>
            <w:tcW w:w="0" w:type="auto"/>
            <w:noWrap/>
            <w:hideMark/>
          </w:tcPr>
          <w:p w14:paraId="24C5C3CC" w14:textId="77777777" w:rsidR="001B0A1C" w:rsidRPr="00352240" w:rsidRDefault="001B0A1C" w:rsidP="001B0A1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 w:val="18"/>
                <w:szCs w:val="18"/>
              </w:rPr>
            </w:pPr>
            <w:r w:rsidRPr="00352240">
              <w:rPr>
                <w:rFonts w:eastAsia="Times New Roman" w:cstheme="minorHAnsi"/>
                <w:b/>
                <w:bCs/>
                <w:color w:val="000000"/>
                <w:sz w:val="18"/>
                <w:szCs w:val="18"/>
              </w:rPr>
              <w:t>Transformadores de potencia</w:t>
            </w:r>
          </w:p>
        </w:tc>
        <w:tc>
          <w:tcPr>
            <w:tcW w:w="1006" w:type="dxa"/>
            <w:shd w:val="clear" w:color="auto" w:fill="BFBFBF" w:themeFill="background1" w:themeFillShade="BF"/>
            <w:noWrap/>
          </w:tcPr>
          <w:p w14:paraId="51F53ADB" w14:textId="683C6900" w:rsidR="001B0A1C" w:rsidRPr="00352240" w:rsidRDefault="001B0A1C" w:rsidP="001B0A1C">
            <w:pPr>
              <w:pStyle w:val="Sinespaciado"/>
              <w:jc w:val="center"/>
              <w:cnfStyle w:val="000000010000" w:firstRow="0" w:lastRow="0" w:firstColumn="0" w:lastColumn="0" w:oddVBand="0" w:evenVBand="0" w:oddHBand="0" w:evenHBand="1" w:firstRowFirstColumn="0" w:firstRowLastColumn="0" w:lastRowFirstColumn="0" w:lastRowLastColumn="0"/>
              <w:rPr>
                <w:sz w:val="18"/>
                <w:szCs w:val="18"/>
              </w:rPr>
            </w:pPr>
            <w:r w:rsidRPr="00352240">
              <w:rPr>
                <w:sz w:val="18"/>
                <w:szCs w:val="18"/>
              </w:rPr>
              <w:t>-</w:t>
            </w:r>
          </w:p>
        </w:tc>
        <w:tc>
          <w:tcPr>
            <w:tcW w:w="1006" w:type="dxa"/>
            <w:noWrap/>
            <w:vAlign w:val="top"/>
          </w:tcPr>
          <w:p w14:paraId="47DFC3EB" w14:textId="0E5A26A6" w:rsidR="001B0A1C" w:rsidRPr="00B3411E"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106.61%</w:t>
            </w:r>
          </w:p>
        </w:tc>
        <w:tc>
          <w:tcPr>
            <w:tcW w:w="1006" w:type="dxa"/>
            <w:noWrap/>
            <w:vAlign w:val="top"/>
          </w:tcPr>
          <w:p w14:paraId="6E6BD879" w14:textId="3B537442" w:rsidR="001B0A1C" w:rsidRPr="00B3411E"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66.67%</w:t>
            </w:r>
          </w:p>
        </w:tc>
        <w:tc>
          <w:tcPr>
            <w:tcW w:w="1006" w:type="dxa"/>
            <w:noWrap/>
            <w:vAlign w:val="top"/>
          </w:tcPr>
          <w:p w14:paraId="3A5C8C73" w14:textId="715A3E3D" w:rsidR="001B0A1C" w:rsidRPr="00B3411E"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Pr>
                <w:rFonts w:cs="Calibri"/>
                <w:color w:val="000000"/>
                <w:sz w:val="18"/>
                <w:szCs w:val="18"/>
              </w:rPr>
              <w:t>-</w:t>
            </w:r>
          </w:p>
        </w:tc>
        <w:tc>
          <w:tcPr>
            <w:tcW w:w="1006" w:type="dxa"/>
            <w:noWrap/>
            <w:vAlign w:val="top"/>
          </w:tcPr>
          <w:p w14:paraId="0B84E03D" w14:textId="0EC85516" w:rsidR="001B0A1C" w:rsidRPr="00161A96"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b/>
                <w:bCs/>
                <w:color w:val="000000"/>
                <w:sz w:val="18"/>
                <w:szCs w:val="18"/>
              </w:rPr>
            </w:pPr>
            <w:r w:rsidRPr="00161A96">
              <w:rPr>
                <w:rFonts w:cs="Calibri"/>
                <w:b/>
                <w:bCs/>
                <w:color w:val="000000"/>
                <w:sz w:val="18"/>
                <w:szCs w:val="18"/>
              </w:rPr>
              <w:t>86.2%</w:t>
            </w:r>
          </w:p>
        </w:tc>
      </w:tr>
      <w:tr w:rsidR="001B0A1C" w:rsidRPr="00352240" w14:paraId="0B37A7E7" w14:textId="77777777" w:rsidTr="001B28D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2A9F14B" w14:textId="77777777" w:rsidR="001B0A1C" w:rsidRPr="00352240" w:rsidRDefault="001B0A1C" w:rsidP="001B0A1C">
            <w:pPr>
              <w:jc w:val="center"/>
              <w:rPr>
                <w:rFonts w:eastAsia="Times New Roman" w:cstheme="minorHAnsi"/>
                <w:b w:val="0"/>
                <w:bCs w:val="0"/>
                <w:color w:val="000000"/>
                <w:sz w:val="18"/>
                <w:szCs w:val="18"/>
              </w:rPr>
            </w:pPr>
            <w:r w:rsidRPr="00352240">
              <w:rPr>
                <w:rFonts w:eastAsia="Times New Roman" w:cstheme="minorHAnsi"/>
                <w:color w:val="000000"/>
                <w:sz w:val="18"/>
                <w:szCs w:val="18"/>
              </w:rPr>
              <w:t>2</w:t>
            </w:r>
          </w:p>
        </w:tc>
        <w:tc>
          <w:tcPr>
            <w:tcW w:w="0" w:type="auto"/>
            <w:noWrap/>
            <w:hideMark/>
          </w:tcPr>
          <w:p w14:paraId="7C9AB4A4" w14:textId="77777777" w:rsidR="001B0A1C" w:rsidRPr="00352240" w:rsidRDefault="001B0A1C" w:rsidP="001B0A1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352240">
              <w:rPr>
                <w:rFonts w:eastAsia="Times New Roman" w:cstheme="minorHAnsi"/>
                <w:b/>
                <w:bCs/>
                <w:color w:val="000000"/>
                <w:sz w:val="18"/>
                <w:szCs w:val="18"/>
              </w:rPr>
              <w:t>Compensación reactiva</w:t>
            </w:r>
          </w:p>
        </w:tc>
        <w:tc>
          <w:tcPr>
            <w:tcW w:w="1006" w:type="dxa"/>
            <w:shd w:val="clear" w:color="auto" w:fill="BFBFBF" w:themeFill="background1" w:themeFillShade="BF"/>
            <w:noWrap/>
          </w:tcPr>
          <w:p w14:paraId="5610F515" w14:textId="709523C7" w:rsidR="001B0A1C" w:rsidRPr="00352240" w:rsidRDefault="001B0A1C" w:rsidP="001B0A1C">
            <w:pPr>
              <w:pStyle w:val="Sinespaciado"/>
              <w:jc w:val="center"/>
              <w:cnfStyle w:val="000000100000" w:firstRow="0" w:lastRow="0" w:firstColumn="0" w:lastColumn="0" w:oddVBand="0" w:evenVBand="0" w:oddHBand="1" w:evenHBand="0" w:firstRowFirstColumn="0" w:firstRowLastColumn="0" w:lastRowFirstColumn="0" w:lastRowLastColumn="0"/>
              <w:rPr>
                <w:sz w:val="18"/>
                <w:szCs w:val="18"/>
              </w:rPr>
            </w:pPr>
            <w:r w:rsidRPr="00352240">
              <w:rPr>
                <w:sz w:val="18"/>
                <w:szCs w:val="18"/>
              </w:rPr>
              <w:t>-</w:t>
            </w:r>
          </w:p>
        </w:tc>
        <w:tc>
          <w:tcPr>
            <w:tcW w:w="1006" w:type="dxa"/>
            <w:noWrap/>
            <w:vAlign w:val="top"/>
          </w:tcPr>
          <w:p w14:paraId="63970A0F" w14:textId="7FBB0431" w:rsidR="001B0A1C" w:rsidRPr="00B3411E"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N.A</w:t>
            </w:r>
          </w:p>
        </w:tc>
        <w:tc>
          <w:tcPr>
            <w:tcW w:w="1006" w:type="dxa"/>
            <w:noWrap/>
            <w:vAlign w:val="top"/>
          </w:tcPr>
          <w:p w14:paraId="3469BCB7" w14:textId="524B2D11" w:rsidR="001B0A1C" w:rsidRPr="00B3411E"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N.A</w:t>
            </w:r>
          </w:p>
        </w:tc>
        <w:tc>
          <w:tcPr>
            <w:tcW w:w="1006" w:type="dxa"/>
            <w:noWrap/>
            <w:vAlign w:val="top"/>
          </w:tcPr>
          <w:p w14:paraId="57797519" w14:textId="68BE117C" w:rsidR="001B0A1C" w:rsidRPr="00B3411E"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N.A</w:t>
            </w:r>
          </w:p>
        </w:tc>
        <w:tc>
          <w:tcPr>
            <w:tcW w:w="1006" w:type="dxa"/>
            <w:noWrap/>
            <w:vAlign w:val="top"/>
          </w:tcPr>
          <w:p w14:paraId="698E17E5" w14:textId="3F1E92E2" w:rsidR="001B0A1C" w:rsidRPr="00161A96"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b/>
                <w:bCs/>
                <w:color w:val="000000"/>
                <w:sz w:val="18"/>
                <w:szCs w:val="18"/>
              </w:rPr>
            </w:pPr>
            <w:r w:rsidRPr="00161A96">
              <w:rPr>
                <w:rFonts w:cs="Calibri"/>
                <w:b/>
                <w:bCs/>
                <w:color w:val="000000"/>
                <w:sz w:val="18"/>
                <w:szCs w:val="18"/>
              </w:rPr>
              <w:t>0.0%</w:t>
            </w:r>
          </w:p>
        </w:tc>
      </w:tr>
      <w:tr w:rsidR="001B0A1C" w:rsidRPr="00352240" w14:paraId="38E1A65A" w14:textId="77777777" w:rsidTr="001B28D8">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130F81F" w14:textId="77777777" w:rsidR="001B0A1C" w:rsidRPr="00352240" w:rsidRDefault="001B0A1C" w:rsidP="001B0A1C">
            <w:pPr>
              <w:jc w:val="center"/>
              <w:rPr>
                <w:rFonts w:eastAsia="Times New Roman" w:cstheme="minorHAnsi"/>
                <w:b w:val="0"/>
                <w:bCs w:val="0"/>
                <w:color w:val="000000"/>
                <w:sz w:val="18"/>
                <w:szCs w:val="18"/>
              </w:rPr>
            </w:pPr>
            <w:r w:rsidRPr="00352240">
              <w:rPr>
                <w:rFonts w:eastAsia="Times New Roman" w:cstheme="minorHAnsi"/>
                <w:color w:val="000000"/>
                <w:sz w:val="18"/>
                <w:szCs w:val="18"/>
              </w:rPr>
              <w:t>3</w:t>
            </w:r>
          </w:p>
        </w:tc>
        <w:tc>
          <w:tcPr>
            <w:tcW w:w="0" w:type="auto"/>
            <w:noWrap/>
            <w:hideMark/>
          </w:tcPr>
          <w:p w14:paraId="7EABA7BB" w14:textId="77777777" w:rsidR="001B0A1C" w:rsidRPr="00352240" w:rsidRDefault="001B0A1C" w:rsidP="001B0A1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 w:val="18"/>
                <w:szCs w:val="18"/>
              </w:rPr>
            </w:pPr>
            <w:r w:rsidRPr="00352240">
              <w:rPr>
                <w:rFonts w:eastAsia="Times New Roman" w:cstheme="minorHAnsi"/>
                <w:b/>
                <w:bCs/>
                <w:color w:val="000000"/>
                <w:sz w:val="18"/>
                <w:szCs w:val="18"/>
              </w:rPr>
              <w:t>Bahías y celdas</w:t>
            </w:r>
          </w:p>
        </w:tc>
        <w:tc>
          <w:tcPr>
            <w:tcW w:w="1006" w:type="dxa"/>
            <w:shd w:val="clear" w:color="auto" w:fill="BFBFBF" w:themeFill="background1" w:themeFillShade="BF"/>
            <w:noWrap/>
          </w:tcPr>
          <w:p w14:paraId="1A4EB57C" w14:textId="248A7006" w:rsidR="001B0A1C" w:rsidRPr="00352240" w:rsidRDefault="001B0A1C" w:rsidP="001B0A1C">
            <w:pPr>
              <w:pStyle w:val="Sinespaciado"/>
              <w:jc w:val="center"/>
              <w:cnfStyle w:val="000000010000" w:firstRow="0" w:lastRow="0" w:firstColumn="0" w:lastColumn="0" w:oddVBand="0" w:evenVBand="0" w:oddHBand="0" w:evenHBand="1" w:firstRowFirstColumn="0" w:firstRowLastColumn="0" w:lastRowFirstColumn="0" w:lastRowLastColumn="0"/>
              <w:rPr>
                <w:sz w:val="18"/>
                <w:szCs w:val="18"/>
              </w:rPr>
            </w:pPr>
            <w:r w:rsidRPr="00352240">
              <w:rPr>
                <w:sz w:val="18"/>
                <w:szCs w:val="18"/>
              </w:rPr>
              <w:t>-</w:t>
            </w:r>
          </w:p>
        </w:tc>
        <w:tc>
          <w:tcPr>
            <w:tcW w:w="1006" w:type="dxa"/>
            <w:noWrap/>
            <w:vAlign w:val="top"/>
          </w:tcPr>
          <w:p w14:paraId="589515F6" w14:textId="22D7F4B1" w:rsidR="001B0A1C" w:rsidRPr="00B3411E"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100.63%</w:t>
            </w:r>
          </w:p>
        </w:tc>
        <w:tc>
          <w:tcPr>
            <w:tcW w:w="1006" w:type="dxa"/>
            <w:noWrap/>
            <w:vAlign w:val="top"/>
          </w:tcPr>
          <w:p w14:paraId="6A7855E2" w14:textId="198B6080" w:rsidR="001B0A1C" w:rsidRPr="00B3411E"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112.21%</w:t>
            </w:r>
          </w:p>
        </w:tc>
        <w:tc>
          <w:tcPr>
            <w:tcW w:w="1006" w:type="dxa"/>
            <w:noWrap/>
            <w:vAlign w:val="top"/>
          </w:tcPr>
          <w:p w14:paraId="25839EF0" w14:textId="738C75E8" w:rsidR="001B0A1C" w:rsidRPr="00B3411E"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63.48%</w:t>
            </w:r>
          </w:p>
        </w:tc>
        <w:tc>
          <w:tcPr>
            <w:tcW w:w="1006" w:type="dxa"/>
            <w:noWrap/>
            <w:vAlign w:val="top"/>
          </w:tcPr>
          <w:p w14:paraId="45751CE0" w14:textId="798B474E" w:rsidR="001B0A1C" w:rsidRPr="00161A96"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b/>
                <w:bCs/>
                <w:color w:val="000000"/>
                <w:sz w:val="18"/>
                <w:szCs w:val="18"/>
              </w:rPr>
            </w:pPr>
            <w:r w:rsidRPr="00161A96">
              <w:rPr>
                <w:rFonts w:cs="Calibri"/>
                <w:b/>
                <w:bCs/>
                <w:color w:val="000000"/>
                <w:sz w:val="18"/>
                <w:szCs w:val="18"/>
              </w:rPr>
              <w:t>82.6%</w:t>
            </w:r>
          </w:p>
        </w:tc>
      </w:tr>
      <w:tr w:rsidR="001B0A1C" w:rsidRPr="00352240" w14:paraId="7544912F" w14:textId="77777777" w:rsidTr="001B28D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3B79087" w14:textId="77777777" w:rsidR="001B0A1C" w:rsidRPr="00352240" w:rsidRDefault="001B0A1C" w:rsidP="001B0A1C">
            <w:pPr>
              <w:jc w:val="center"/>
              <w:rPr>
                <w:rFonts w:eastAsia="Times New Roman" w:cstheme="minorHAnsi"/>
                <w:b w:val="0"/>
                <w:bCs w:val="0"/>
                <w:color w:val="000000"/>
                <w:sz w:val="18"/>
                <w:szCs w:val="18"/>
              </w:rPr>
            </w:pPr>
            <w:r w:rsidRPr="00352240">
              <w:rPr>
                <w:rFonts w:eastAsia="Times New Roman" w:cstheme="minorHAnsi"/>
                <w:color w:val="000000"/>
                <w:sz w:val="18"/>
                <w:szCs w:val="18"/>
              </w:rPr>
              <w:t>4</w:t>
            </w:r>
          </w:p>
        </w:tc>
        <w:tc>
          <w:tcPr>
            <w:tcW w:w="0" w:type="auto"/>
            <w:noWrap/>
            <w:hideMark/>
          </w:tcPr>
          <w:p w14:paraId="74306FF8" w14:textId="77777777" w:rsidR="001B0A1C" w:rsidRPr="00352240" w:rsidRDefault="001B0A1C" w:rsidP="001B0A1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352240">
              <w:rPr>
                <w:rFonts w:eastAsia="Times New Roman" w:cstheme="minorHAnsi"/>
                <w:b/>
                <w:bCs/>
                <w:color w:val="000000"/>
                <w:sz w:val="18"/>
                <w:szCs w:val="18"/>
              </w:rPr>
              <w:t>Equipos de control y comunicaciones</w:t>
            </w:r>
          </w:p>
        </w:tc>
        <w:tc>
          <w:tcPr>
            <w:tcW w:w="1006" w:type="dxa"/>
            <w:shd w:val="clear" w:color="auto" w:fill="BFBFBF" w:themeFill="background1" w:themeFillShade="BF"/>
            <w:noWrap/>
          </w:tcPr>
          <w:p w14:paraId="014470A3" w14:textId="6DF84ADA" w:rsidR="001B0A1C" w:rsidRPr="00352240" w:rsidRDefault="001B0A1C" w:rsidP="001B0A1C">
            <w:pPr>
              <w:pStyle w:val="Sinespaciado"/>
              <w:jc w:val="center"/>
              <w:cnfStyle w:val="000000100000" w:firstRow="0" w:lastRow="0" w:firstColumn="0" w:lastColumn="0" w:oddVBand="0" w:evenVBand="0" w:oddHBand="1" w:evenHBand="0" w:firstRowFirstColumn="0" w:firstRowLastColumn="0" w:lastRowFirstColumn="0" w:lastRowLastColumn="0"/>
              <w:rPr>
                <w:sz w:val="18"/>
                <w:szCs w:val="18"/>
              </w:rPr>
            </w:pPr>
            <w:r w:rsidRPr="00352240">
              <w:rPr>
                <w:sz w:val="18"/>
                <w:szCs w:val="18"/>
              </w:rPr>
              <w:t>-</w:t>
            </w:r>
          </w:p>
        </w:tc>
        <w:tc>
          <w:tcPr>
            <w:tcW w:w="1006" w:type="dxa"/>
            <w:noWrap/>
            <w:vAlign w:val="top"/>
          </w:tcPr>
          <w:p w14:paraId="39A1D44A" w14:textId="2627B834" w:rsidR="001B0A1C" w:rsidRPr="00B3411E"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114.72%</w:t>
            </w:r>
          </w:p>
        </w:tc>
        <w:tc>
          <w:tcPr>
            <w:tcW w:w="1006" w:type="dxa"/>
            <w:noWrap/>
            <w:vAlign w:val="top"/>
          </w:tcPr>
          <w:p w14:paraId="1059E1C5" w14:textId="47BD2B7F" w:rsidR="001B0A1C" w:rsidRPr="00B3411E"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84.16%</w:t>
            </w:r>
          </w:p>
        </w:tc>
        <w:tc>
          <w:tcPr>
            <w:tcW w:w="1006" w:type="dxa"/>
            <w:noWrap/>
            <w:vAlign w:val="top"/>
          </w:tcPr>
          <w:p w14:paraId="6336FB0F" w14:textId="44D96A3B" w:rsidR="001B0A1C" w:rsidRPr="00B3411E"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79.17%</w:t>
            </w:r>
          </w:p>
        </w:tc>
        <w:tc>
          <w:tcPr>
            <w:tcW w:w="1006" w:type="dxa"/>
            <w:noWrap/>
            <w:vAlign w:val="top"/>
          </w:tcPr>
          <w:p w14:paraId="4F4A6D01" w14:textId="57753516" w:rsidR="001B0A1C" w:rsidRPr="00161A96"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b/>
                <w:bCs/>
                <w:color w:val="000000"/>
                <w:sz w:val="18"/>
                <w:szCs w:val="18"/>
              </w:rPr>
            </w:pPr>
            <w:r w:rsidRPr="00161A96">
              <w:rPr>
                <w:rFonts w:cs="Calibri"/>
                <w:b/>
                <w:bCs/>
                <w:color w:val="000000"/>
                <w:sz w:val="18"/>
                <w:szCs w:val="18"/>
              </w:rPr>
              <w:t>105.7%</w:t>
            </w:r>
          </w:p>
        </w:tc>
      </w:tr>
      <w:tr w:rsidR="001B0A1C" w:rsidRPr="00352240" w14:paraId="6AC7B210" w14:textId="77777777" w:rsidTr="001B28D8">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2829F66" w14:textId="77777777" w:rsidR="001B0A1C" w:rsidRPr="00352240" w:rsidRDefault="001B0A1C" w:rsidP="001B0A1C">
            <w:pPr>
              <w:jc w:val="center"/>
              <w:rPr>
                <w:rFonts w:eastAsia="Times New Roman" w:cstheme="minorHAnsi"/>
                <w:b w:val="0"/>
                <w:bCs w:val="0"/>
                <w:color w:val="000000"/>
                <w:sz w:val="18"/>
                <w:szCs w:val="18"/>
              </w:rPr>
            </w:pPr>
            <w:r w:rsidRPr="00352240">
              <w:rPr>
                <w:rFonts w:eastAsia="Times New Roman" w:cstheme="minorHAnsi"/>
                <w:color w:val="000000"/>
                <w:sz w:val="18"/>
                <w:szCs w:val="18"/>
              </w:rPr>
              <w:t>5</w:t>
            </w:r>
          </w:p>
        </w:tc>
        <w:tc>
          <w:tcPr>
            <w:tcW w:w="0" w:type="auto"/>
            <w:noWrap/>
            <w:hideMark/>
          </w:tcPr>
          <w:p w14:paraId="4829F87A" w14:textId="77777777" w:rsidR="001B0A1C" w:rsidRPr="00352240" w:rsidRDefault="001B0A1C" w:rsidP="001B0A1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 w:val="18"/>
                <w:szCs w:val="18"/>
              </w:rPr>
            </w:pPr>
            <w:r w:rsidRPr="00352240">
              <w:rPr>
                <w:rFonts w:eastAsia="Times New Roman" w:cstheme="minorHAnsi"/>
                <w:b/>
                <w:bCs/>
                <w:color w:val="000000"/>
                <w:sz w:val="18"/>
                <w:szCs w:val="18"/>
              </w:rPr>
              <w:t>Equipos de subestación</w:t>
            </w:r>
          </w:p>
        </w:tc>
        <w:tc>
          <w:tcPr>
            <w:tcW w:w="1006" w:type="dxa"/>
            <w:shd w:val="clear" w:color="auto" w:fill="BFBFBF" w:themeFill="background1" w:themeFillShade="BF"/>
            <w:noWrap/>
          </w:tcPr>
          <w:p w14:paraId="0D2E33CB" w14:textId="695C81A2" w:rsidR="001B0A1C" w:rsidRPr="00352240" w:rsidRDefault="001B0A1C" w:rsidP="001B0A1C">
            <w:pPr>
              <w:pStyle w:val="Sinespaciado"/>
              <w:jc w:val="center"/>
              <w:cnfStyle w:val="000000010000" w:firstRow="0" w:lastRow="0" w:firstColumn="0" w:lastColumn="0" w:oddVBand="0" w:evenVBand="0" w:oddHBand="0" w:evenHBand="1" w:firstRowFirstColumn="0" w:firstRowLastColumn="0" w:lastRowFirstColumn="0" w:lastRowLastColumn="0"/>
              <w:rPr>
                <w:sz w:val="18"/>
                <w:szCs w:val="18"/>
              </w:rPr>
            </w:pPr>
            <w:r w:rsidRPr="00352240">
              <w:rPr>
                <w:sz w:val="18"/>
                <w:szCs w:val="18"/>
              </w:rPr>
              <w:t>-</w:t>
            </w:r>
          </w:p>
        </w:tc>
        <w:tc>
          <w:tcPr>
            <w:tcW w:w="1006" w:type="dxa"/>
            <w:noWrap/>
            <w:vAlign w:val="top"/>
          </w:tcPr>
          <w:p w14:paraId="4085B38F" w14:textId="0D33DB38" w:rsidR="001B0A1C" w:rsidRPr="00B3411E"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7.85%</w:t>
            </w:r>
          </w:p>
        </w:tc>
        <w:tc>
          <w:tcPr>
            <w:tcW w:w="1006" w:type="dxa"/>
            <w:noWrap/>
            <w:vAlign w:val="top"/>
          </w:tcPr>
          <w:p w14:paraId="6446535B" w14:textId="44BA4E3D" w:rsidR="001B0A1C" w:rsidRPr="00B3411E"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127.62%</w:t>
            </w:r>
          </w:p>
        </w:tc>
        <w:tc>
          <w:tcPr>
            <w:tcW w:w="1006" w:type="dxa"/>
            <w:noWrap/>
            <w:vAlign w:val="top"/>
          </w:tcPr>
          <w:p w14:paraId="78F8C52A" w14:textId="529691B4" w:rsidR="001B0A1C" w:rsidRPr="00B3411E"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56.25%</w:t>
            </w:r>
          </w:p>
        </w:tc>
        <w:tc>
          <w:tcPr>
            <w:tcW w:w="1006" w:type="dxa"/>
            <w:noWrap/>
            <w:vAlign w:val="top"/>
          </w:tcPr>
          <w:p w14:paraId="7AB0C6CD" w14:textId="1592B554" w:rsidR="001B0A1C" w:rsidRPr="00161A96"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b/>
                <w:bCs/>
                <w:color w:val="000000"/>
                <w:sz w:val="18"/>
                <w:szCs w:val="18"/>
              </w:rPr>
            </w:pPr>
            <w:r w:rsidRPr="00161A96">
              <w:rPr>
                <w:rFonts w:cs="Calibri"/>
                <w:b/>
                <w:bCs/>
                <w:color w:val="000000"/>
                <w:sz w:val="18"/>
                <w:szCs w:val="18"/>
              </w:rPr>
              <w:t>49.0%</w:t>
            </w:r>
          </w:p>
        </w:tc>
      </w:tr>
      <w:tr w:rsidR="001B0A1C" w:rsidRPr="00352240" w14:paraId="2CAE6D93" w14:textId="77777777" w:rsidTr="001B28D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A06F8F1" w14:textId="77777777" w:rsidR="001B0A1C" w:rsidRPr="00352240" w:rsidRDefault="001B0A1C" w:rsidP="001B0A1C">
            <w:pPr>
              <w:jc w:val="center"/>
              <w:rPr>
                <w:rFonts w:eastAsia="Times New Roman" w:cstheme="minorHAnsi"/>
                <w:b w:val="0"/>
                <w:bCs w:val="0"/>
                <w:color w:val="000000"/>
                <w:sz w:val="18"/>
                <w:szCs w:val="18"/>
              </w:rPr>
            </w:pPr>
            <w:r w:rsidRPr="00352240">
              <w:rPr>
                <w:rFonts w:eastAsia="Times New Roman" w:cstheme="minorHAnsi"/>
                <w:color w:val="000000"/>
                <w:sz w:val="18"/>
                <w:szCs w:val="18"/>
              </w:rPr>
              <w:t>6</w:t>
            </w:r>
          </w:p>
        </w:tc>
        <w:tc>
          <w:tcPr>
            <w:tcW w:w="0" w:type="auto"/>
            <w:noWrap/>
            <w:hideMark/>
          </w:tcPr>
          <w:p w14:paraId="4888E308" w14:textId="77777777" w:rsidR="001B0A1C" w:rsidRPr="00352240" w:rsidRDefault="001B0A1C" w:rsidP="001B0A1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352240">
              <w:rPr>
                <w:rFonts w:eastAsia="Times New Roman" w:cstheme="minorHAnsi"/>
                <w:b/>
                <w:bCs/>
                <w:color w:val="000000"/>
                <w:sz w:val="18"/>
                <w:szCs w:val="18"/>
              </w:rPr>
              <w:t>Otros activos subestación</w:t>
            </w:r>
          </w:p>
        </w:tc>
        <w:tc>
          <w:tcPr>
            <w:tcW w:w="1006" w:type="dxa"/>
            <w:shd w:val="clear" w:color="auto" w:fill="BFBFBF" w:themeFill="background1" w:themeFillShade="BF"/>
            <w:noWrap/>
          </w:tcPr>
          <w:p w14:paraId="467A8D90" w14:textId="1CE6082F" w:rsidR="001B0A1C" w:rsidRPr="00352240" w:rsidRDefault="001B0A1C" w:rsidP="001B0A1C">
            <w:pPr>
              <w:pStyle w:val="Sinespaciado"/>
              <w:jc w:val="center"/>
              <w:cnfStyle w:val="000000100000" w:firstRow="0" w:lastRow="0" w:firstColumn="0" w:lastColumn="0" w:oddVBand="0" w:evenVBand="0" w:oddHBand="1" w:evenHBand="0" w:firstRowFirstColumn="0" w:firstRowLastColumn="0" w:lastRowFirstColumn="0" w:lastRowLastColumn="0"/>
              <w:rPr>
                <w:sz w:val="18"/>
                <w:szCs w:val="18"/>
              </w:rPr>
            </w:pPr>
            <w:r w:rsidRPr="00352240">
              <w:rPr>
                <w:sz w:val="18"/>
                <w:szCs w:val="18"/>
              </w:rPr>
              <w:t>-</w:t>
            </w:r>
          </w:p>
        </w:tc>
        <w:tc>
          <w:tcPr>
            <w:tcW w:w="1006" w:type="dxa"/>
            <w:noWrap/>
            <w:vAlign w:val="top"/>
          </w:tcPr>
          <w:p w14:paraId="6695971D" w14:textId="1FAE0C11" w:rsidR="001B0A1C" w:rsidRPr="00B3411E"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456.62%</w:t>
            </w:r>
          </w:p>
        </w:tc>
        <w:tc>
          <w:tcPr>
            <w:tcW w:w="1006" w:type="dxa"/>
            <w:noWrap/>
            <w:vAlign w:val="top"/>
          </w:tcPr>
          <w:p w14:paraId="13D33085" w14:textId="6AA6A9A4" w:rsidR="001B0A1C" w:rsidRPr="00B3411E"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266.19%</w:t>
            </w:r>
          </w:p>
        </w:tc>
        <w:tc>
          <w:tcPr>
            <w:tcW w:w="1006" w:type="dxa"/>
            <w:noWrap/>
            <w:vAlign w:val="top"/>
          </w:tcPr>
          <w:p w14:paraId="27F910E5" w14:textId="141292DD" w:rsidR="001B0A1C" w:rsidRPr="00B3411E"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302.34%</w:t>
            </w:r>
          </w:p>
        </w:tc>
        <w:tc>
          <w:tcPr>
            <w:tcW w:w="1006" w:type="dxa"/>
            <w:noWrap/>
            <w:vAlign w:val="top"/>
          </w:tcPr>
          <w:p w14:paraId="1909EBF9" w14:textId="7EB347D2" w:rsidR="001B0A1C" w:rsidRPr="00161A96"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b/>
                <w:bCs/>
                <w:color w:val="000000"/>
                <w:sz w:val="18"/>
                <w:szCs w:val="18"/>
              </w:rPr>
            </w:pPr>
            <w:r w:rsidRPr="00161A96">
              <w:rPr>
                <w:rFonts w:cs="Calibri"/>
                <w:b/>
                <w:bCs/>
                <w:color w:val="000000"/>
                <w:sz w:val="18"/>
                <w:szCs w:val="18"/>
              </w:rPr>
              <w:t>326.8%</w:t>
            </w:r>
          </w:p>
        </w:tc>
      </w:tr>
      <w:tr w:rsidR="001B0A1C" w:rsidRPr="00352240" w14:paraId="04CF1C07" w14:textId="77777777" w:rsidTr="001B28D8">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AAE6A22" w14:textId="77777777" w:rsidR="001B0A1C" w:rsidRPr="00352240" w:rsidRDefault="001B0A1C" w:rsidP="001B0A1C">
            <w:pPr>
              <w:jc w:val="center"/>
              <w:rPr>
                <w:rFonts w:eastAsia="Times New Roman" w:cstheme="minorHAnsi"/>
                <w:b w:val="0"/>
                <w:bCs w:val="0"/>
                <w:color w:val="000000"/>
                <w:sz w:val="18"/>
                <w:szCs w:val="18"/>
              </w:rPr>
            </w:pPr>
            <w:r w:rsidRPr="00352240">
              <w:rPr>
                <w:rFonts w:eastAsia="Times New Roman" w:cstheme="minorHAnsi"/>
                <w:color w:val="000000"/>
                <w:sz w:val="18"/>
                <w:szCs w:val="18"/>
              </w:rPr>
              <w:t>7</w:t>
            </w:r>
          </w:p>
        </w:tc>
        <w:tc>
          <w:tcPr>
            <w:tcW w:w="0" w:type="auto"/>
            <w:noWrap/>
            <w:hideMark/>
          </w:tcPr>
          <w:p w14:paraId="502A6A00" w14:textId="77777777" w:rsidR="001B0A1C" w:rsidRPr="00352240" w:rsidRDefault="001B0A1C" w:rsidP="001B0A1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 w:val="18"/>
                <w:szCs w:val="18"/>
              </w:rPr>
            </w:pPr>
            <w:r w:rsidRPr="00352240">
              <w:rPr>
                <w:rFonts w:eastAsia="Times New Roman" w:cstheme="minorHAnsi"/>
                <w:b/>
                <w:bCs/>
                <w:color w:val="000000"/>
                <w:sz w:val="18"/>
                <w:szCs w:val="18"/>
              </w:rPr>
              <w:t>Líneas aéreas</w:t>
            </w:r>
          </w:p>
        </w:tc>
        <w:tc>
          <w:tcPr>
            <w:tcW w:w="1006" w:type="dxa"/>
            <w:shd w:val="clear" w:color="auto" w:fill="BFBFBF" w:themeFill="background1" w:themeFillShade="BF"/>
            <w:noWrap/>
          </w:tcPr>
          <w:p w14:paraId="06315F11" w14:textId="3FD4AEDE" w:rsidR="001B0A1C" w:rsidRPr="00352240" w:rsidRDefault="001B0A1C" w:rsidP="001B0A1C">
            <w:pPr>
              <w:pStyle w:val="Sinespaciado"/>
              <w:jc w:val="center"/>
              <w:cnfStyle w:val="000000010000" w:firstRow="0" w:lastRow="0" w:firstColumn="0" w:lastColumn="0" w:oddVBand="0" w:evenVBand="0" w:oddHBand="0" w:evenHBand="1" w:firstRowFirstColumn="0" w:firstRowLastColumn="0" w:lastRowFirstColumn="0" w:lastRowLastColumn="0"/>
              <w:rPr>
                <w:sz w:val="18"/>
                <w:szCs w:val="18"/>
              </w:rPr>
            </w:pPr>
            <w:r w:rsidRPr="00352240">
              <w:rPr>
                <w:sz w:val="18"/>
                <w:szCs w:val="18"/>
              </w:rPr>
              <w:t>-</w:t>
            </w:r>
          </w:p>
        </w:tc>
        <w:tc>
          <w:tcPr>
            <w:tcW w:w="1006" w:type="dxa"/>
            <w:noWrap/>
            <w:vAlign w:val="top"/>
          </w:tcPr>
          <w:p w14:paraId="2F18B338" w14:textId="0628605C" w:rsidR="001B0A1C" w:rsidRPr="00B3411E"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118.60%</w:t>
            </w:r>
          </w:p>
        </w:tc>
        <w:tc>
          <w:tcPr>
            <w:tcW w:w="1006" w:type="dxa"/>
            <w:noWrap/>
            <w:vAlign w:val="top"/>
          </w:tcPr>
          <w:p w14:paraId="61A02CFB" w14:textId="6A400275" w:rsidR="001B0A1C" w:rsidRPr="00B3411E"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55.72%</w:t>
            </w:r>
          </w:p>
        </w:tc>
        <w:tc>
          <w:tcPr>
            <w:tcW w:w="1006" w:type="dxa"/>
            <w:noWrap/>
            <w:vAlign w:val="top"/>
          </w:tcPr>
          <w:p w14:paraId="58EA7784" w14:textId="312A775F" w:rsidR="001B0A1C" w:rsidRPr="00B3411E"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2.77%</w:t>
            </w:r>
          </w:p>
        </w:tc>
        <w:tc>
          <w:tcPr>
            <w:tcW w:w="1006" w:type="dxa"/>
            <w:noWrap/>
            <w:vAlign w:val="top"/>
          </w:tcPr>
          <w:p w14:paraId="35F7F718" w14:textId="647B7C8D" w:rsidR="001B0A1C" w:rsidRPr="00161A96"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b/>
                <w:bCs/>
                <w:color w:val="000000"/>
                <w:sz w:val="18"/>
                <w:szCs w:val="18"/>
              </w:rPr>
            </w:pPr>
            <w:r w:rsidRPr="00161A96">
              <w:rPr>
                <w:rFonts w:cs="Calibri"/>
                <w:b/>
                <w:bCs/>
                <w:color w:val="000000"/>
                <w:sz w:val="18"/>
                <w:szCs w:val="18"/>
              </w:rPr>
              <w:t>91.5%</w:t>
            </w:r>
          </w:p>
        </w:tc>
      </w:tr>
      <w:tr w:rsidR="001B0A1C" w:rsidRPr="00352240" w14:paraId="259406AB" w14:textId="77777777" w:rsidTr="001B28D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872F6E3" w14:textId="77777777" w:rsidR="001B0A1C" w:rsidRPr="00352240" w:rsidRDefault="001B0A1C" w:rsidP="001B0A1C">
            <w:pPr>
              <w:jc w:val="center"/>
              <w:rPr>
                <w:rFonts w:eastAsia="Times New Roman" w:cstheme="minorHAnsi"/>
                <w:b w:val="0"/>
                <w:bCs w:val="0"/>
                <w:color w:val="000000"/>
                <w:sz w:val="18"/>
                <w:szCs w:val="18"/>
              </w:rPr>
            </w:pPr>
            <w:r w:rsidRPr="00352240">
              <w:rPr>
                <w:rFonts w:eastAsia="Times New Roman" w:cstheme="minorHAnsi"/>
                <w:color w:val="000000"/>
                <w:sz w:val="18"/>
                <w:szCs w:val="18"/>
              </w:rPr>
              <w:t>8</w:t>
            </w:r>
          </w:p>
        </w:tc>
        <w:tc>
          <w:tcPr>
            <w:tcW w:w="0" w:type="auto"/>
            <w:noWrap/>
            <w:hideMark/>
          </w:tcPr>
          <w:p w14:paraId="0D761ABD" w14:textId="77777777" w:rsidR="001B0A1C" w:rsidRPr="00352240" w:rsidRDefault="001B0A1C" w:rsidP="001B0A1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352240">
              <w:rPr>
                <w:rFonts w:eastAsia="Times New Roman" w:cstheme="minorHAnsi"/>
                <w:b/>
                <w:bCs/>
                <w:color w:val="000000"/>
                <w:sz w:val="18"/>
                <w:szCs w:val="18"/>
              </w:rPr>
              <w:t>Líneas subterráneas</w:t>
            </w:r>
          </w:p>
        </w:tc>
        <w:tc>
          <w:tcPr>
            <w:tcW w:w="1006" w:type="dxa"/>
            <w:shd w:val="clear" w:color="auto" w:fill="BFBFBF" w:themeFill="background1" w:themeFillShade="BF"/>
            <w:noWrap/>
          </w:tcPr>
          <w:p w14:paraId="06EC87F3" w14:textId="5D45528A" w:rsidR="001B0A1C" w:rsidRPr="00352240" w:rsidRDefault="001B0A1C" w:rsidP="001B0A1C">
            <w:pPr>
              <w:pStyle w:val="Sinespaciado"/>
              <w:jc w:val="center"/>
              <w:cnfStyle w:val="000000100000" w:firstRow="0" w:lastRow="0" w:firstColumn="0" w:lastColumn="0" w:oddVBand="0" w:evenVBand="0" w:oddHBand="1" w:evenHBand="0" w:firstRowFirstColumn="0" w:firstRowLastColumn="0" w:lastRowFirstColumn="0" w:lastRowLastColumn="0"/>
              <w:rPr>
                <w:sz w:val="18"/>
                <w:szCs w:val="18"/>
              </w:rPr>
            </w:pPr>
            <w:r w:rsidRPr="00352240">
              <w:rPr>
                <w:sz w:val="18"/>
                <w:szCs w:val="18"/>
              </w:rPr>
              <w:t>-</w:t>
            </w:r>
          </w:p>
        </w:tc>
        <w:tc>
          <w:tcPr>
            <w:tcW w:w="1006" w:type="dxa"/>
            <w:noWrap/>
            <w:vAlign w:val="top"/>
          </w:tcPr>
          <w:p w14:paraId="3B282D19" w14:textId="27DDA8D0" w:rsidR="001B0A1C" w:rsidRPr="00B3411E"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170.08%</w:t>
            </w:r>
          </w:p>
        </w:tc>
        <w:tc>
          <w:tcPr>
            <w:tcW w:w="1006" w:type="dxa"/>
            <w:noWrap/>
            <w:vAlign w:val="top"/>
          </w:tcPr>
          <w:p w14:paraId="0F56FE4A" w14:textId="23F8074E" w:rsidR="001B0A1C" w:rsidRPr="00B3411E"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98.75%</w:t>
            </w:r>
          </w:p>
        </w:tc>
        <w:tc>
          <w:tcPr>
            <w:tcW w:w="1006" w:type="dxa"/>
            <w:noWrap/>
            <w:vAlign w:val="top"/>
          </w:tcPr>
          <w:p w14:paraId="17660712" w14:textId="1111C421" w:rsidR="001B0A1C" w:rsidRPr="00B3411E"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w:t>
            </w:r>
          </w:p>
        </w:tc>
        <w:tc>
          <w:tcPr>
            <w:tcW w:w="1006" w:type="dxa"/>
            <w:noWrap/>
            <w:vAlign w:val="top"/>
          </w:tcPr>
          <w:p w14:paraId="4029FB21" w14:textId="186E3CDA" w:rsidR="001B0A1C" w:rsidRPr="00161A96"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b/>
                <w:bCs/>
                <w:color w:val="000000"/>
                <w:sz w:val="18"/>
                <w:szCs w:val="18"/>
              </w:rPr>
            </w:pPr>
            <w:r w:rsidRPr="00161A96">
              <w:rPr>
                <w:rFonts w:cs="Calibri"/>
                <w:b/>
                <w:bCs/>
                <w:color w:val="000000"/>
                <w:sz w:val="18"/>
                <w:szCs w:val="18"/>
              </w:rPr>
              <w:t>165.0%</w:t>
            </w:r>
          </w:p>
        </w:tc>
      </w:tr>
      <w:tr w:rsidR="001B0A1C" w:rsidRPr="00352240" w14:paraId="6209E68C" w14:textId="77777777" w:rsidTr="001B28D8">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AD09441" w14:textId="77777777" w:rsidR="001B0A1C" w:rsidRPr="00352240" w:rsidRDefault="001B0A1C" w:rsidP="001B0A1C">
            <w:pPr>
              <w:jc w:val="center"/>
              <w:rPr>
                <w:rFonts w:eastAsia="Times New Roman" w:cstheme="minorHAnsi"/>
                <w:b w:val="0"/>
                <w:bCs w:val="0"/>
                <w:color w:val="000000"/>
                <w:sz w:val="18"/>
                <w:szCs w:val="18"/>
              </w:rPr>
            </w:pPr>
            <w:r w:rsidRPr="00352240">
              <w:rPr>
                <w:rFonts w:eastAsia="Times New Roman" w:cstheme="minorHAnsi"/>
                <w:color w:val="000000"/>
                <w:sz w:val="18"/>
                <w:szCs w:val="18"/>
              </w:rPr>
              <w:t>9</w:t>
            </w:r>
          </w:p>
        </w:tc>
        <w:tc>
          <w:tcPr>
            <w:tcW w:w="0" w:type="auto"/>
            <w:noWrap/>
            <w:hideMark/>
          </w:tcPr>
          <w:p w14:paraId="6ED45C0D" w14:textId="77777777" w:rsidR="001B0A1C" w:rsidRPr="00352240" w:rsidRDefault="001B0A1C" w:rsidP="001B0A1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 w:val="18"/>
                <w:szCs w:val="18"/>
              </w:rPr>
            </w:pPr>
            <w:r w:rsidRPr="00352240">
              <w:rPr>
                <w:rFonts w:eastAsia="Times New Roman" w:cstheme="minorHAnsi"/>
                <w:b/>
                <w:bCs/>
                <w:color w:val="000000"/>
                <w:sz w:val="18"/>
                <w:szCs w:val="18"/>
              </w:rPr>
              <w:t>Equipos de línea</w:t>
            </w:r>
          </w:p>
        </w:tc>
        <w:tc>
          <w:tcPr>
            <w:tcW w:w="1006" w:type="dxa"/>
            <w:shd w:val="clear" w:color="auto" w:fill="BFBFBF" w:themeFill="background1" w:themeFillShade="BF"/>
            <w:noWrap/>
          </w:tcPr>
          <w:p w14:paraId="63DC41C7" w14:textId="477C5472" w:rsidR="001B0A1C" w:rsidRPr="00352240" w:rsidRDefault="001B0A1C" w:rsidP="001B0A1C">
            <w:pPr>
              <w:pStyle w:val="Sinespaciado"/>
              <w:jc w:val="center"/>
              <w:cnfStyle w:val="000000010000" w:firstRow="0" w:lastRow="0" w:firstColumn="0" w:lastColumn="0" w:oddVBand="0" w:evenVBand="0" w:oddHBand="0" w:evenHBand="1" w:firstRowFirstColumn="0" w:firstRowLastColumn="0" w:lastRowFirstColumn="0" w:lastRowLastColumn="0"/>
              <w:rPr>
                <w:sz w:val="18"/>
                <w:szCs w:val="18"/>
              </w:rPr>
            </w:pPr>
            <w:r w:rsidRPr="00352240">
              <w:rPr>
                <w:sz w:val="18"/>
                <w:szCs w:val="18"/>
              </w:rPr>
              <w:t>-</w:t>
            </w:r>
          </w:p>
        </w:tc>
        <w:tc>
          <w:tcPr>
            <w:tcW w:w="1006" w:type="dxa"/>
            <w:noWrap/>
            <w:vAlign w:val="top"/>
          </w:tcPr>
          <w:p w14:paraId="13D44E3B" w14:textId="4B0BCF8F" w:rsidR="001B0A1C" w:rsidRPr="00B3411E"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226.16%</w:t>
            </w:r>
          </w:p>
        </w:tc>
        <w:tc>
          <w:tcPr>
            <w:tcW w:w="1006" w:type="dxa"/>
            <w:noWrap/>
            <w:vAlign w:val="top"/>
          </w:tcPr>
          <w:p w14:paraId="52C9E63A" w14:textId="29CCE342" w:rsidR="001B0A1C" w:rsidRPr="00B3411E"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76.66%</w:t>
            </w:r>
          </w:p>
        </w:tc>
        <w:tc>
          <w:tcPr>
            <w:tcW w:w="1006" w:type="dxa"/>
            <w:noWrap/>
            <w:vAlign w:val="top"/>
          </w:tcPr>
          <w:p w14:paraId="26923323" w14:textId="20686648" w:rsidR="001B0A1C" w:rsidRPr="00B3411E"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w:t>
            </w:r>
          </w:p>
        </w:tc>
        <w:tc>
          <w:tcPr>
            <w:tcW w:w="1006" w:type="dxa"/>
            <w:noWrap/>
            <w:vAlign w:val="top"/>
          </w:tcPr>
          <w:p w14:paraId="51C0870D" w14:textId="0FA1E9CB" w:rsidR="001B0A1C" w:rsidRPr="00161A96"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b/>
                <w:bCs/>
                <w:color w:val="000000"/>
                <w:sz w:val="18"/>
                <w:szCs w:val="18"/>
              </w:rPr>
            </w:pPr>
            <w:r w:rsidRPr="00161A96">
              <w:rPr>
                <w:rFonts w:cs="Calibri"/>
                <w:b/>
                <w:bCs/>
                <w:color w:val="000000"/>
                <w:sz w:val="18"/>
                <w:szCs w:val="18"/>
              </w:rPr>
              <w:t>207.8%</w:t>
            </w:r>
          </w:p>
        </w:tc>
      </w:tr>
      <w:tr w:rsidR="001B0A1C" w:rsidRPr="00352240" w14:paraId="51126D7F" w14:textId="77777777" w:rsidTr="001B28D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0DE671F" w14:textId="77777777" w:rsidR="001B0A1C" w:rsidRPr="00352240" w:rsidRDefault="001B0A1C" w:rsidP="001B0A1C">
            <w:pPr>
              <w:jc w:val="center"/>
              <w:rPr>
                <w:rFonts w:eastAsia="Times New Roman" w:cstheme="minorHAnsi"/>
                <w:b w:val="0"/>
                <w:bCs w:val="0"/>
                <w:color w:val="000000"/>
                <w:sz w:val="18"/>
                <w:szCs w:val="18"/>
              </w:rPr>
            </w:pPr>
            <w:r w:rsidRPr="00352240">
              <w:rPr>
                <w:rFonts w:eastAsia="Times New Roman" w:cstheme="minorHAnsi"/>
                <w:color w:val="000000"/>
                <w:sz w:val="18"/>
                <w:szCs w:val="18"/>
              </w:rPr>
              <w:t>10</w:t>
            </w:r>
          </w:p>
        </w:tc>
        <w:tc>
          <w:tcPr>
            <w:tcW w:w="0" w:type="auto"/>
            <w:noWrap/>
            <w:hideMark/>
          </w:tcPr>
          <w:p w14:paraId="5F26D711" w14:textId="77777777" w:rsidR="001B0A1C" w:rsidRPr="00352240" w:rsidRDefault="001B0A1C" w:rsidP="001B0A1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352240">
              <w:rPr>
                <w:rFonts w:eastAsia="Times New Roman" w:cstheme="minorHAnsi"/>
                <w:b/>
                <w:bCs/>
                <w:color w:val="000000"/>
                <w:sz w:val="18"/>
                <w:szCs w:val="18"/>
              </w:rPr>
              <w:t>Centro de control</w:t>
            </w:r>
          </w:p>
        </w:tc>
        <w:tc>
          <w:tcPr>
            <w:tcW w:w="1006" w:type="dxa"/>
            <w:shd w:val="clear" w:color="auto" w:fill="BFBFBF" w:themeFill="background1" w:themeFillShade="BF"/>
            <w:noWrap/>
          </w:tcPr>
          <w:p w14:paraId="701599F7" w14:textId="07C06ADD" w:rsidR="001B0A1C" w:rsidRPr="00352240" w:rsidRDefault="001B0A1C" w:rsidP="001B0A1C">
            <w:pPr>
              <w:pStyle w:val="Sinespaciado"/>
              <w:jc w:val="center"/>
              <w:cnfStyle w:val="000000100000" w:firstRow="0" w:lastRow="0" w:firstColumn="0" w:lastColumn="0" w:oddVBand="0" w:evenVBand="0" w:oddHBand="1" w:evenHBand="0" w:firstRowFirstColumn="0" w:firstRowLastColumn="0" w:lastRowFirstColumn="0" w:lastRowLastColumn="0"/>
              <w:rPr>
                <w:sz w:val="18"/>
                <w:szCs w:val="18"/>
              </w:rPr>
            </w:pPr>
            <w:r w:rsidRPr="00352240">
              <w:rPr>
                <w:sz w:val="18"/>
                <w:szCs w:val="18"/>
              </w:rPr>
              <w:t>-</w:t>
            </w:r>
          </w:p>
        </w:tc>
        <w:tc>
          <w:tcPr>
            <w:tcW w:w="1006" w:type="dxa"/>
            <w:noWrap/>
            <w:vAlign w:val="top"/>
          </w:tcPr>
          <w:p w14:paraId="07C07D10" w14:textId="2138F4F4" w:rsidR="001B0A1C" w:rsidRPr="00B3411E"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108.13%</w:t>
            </w:r>
          </w:p>
        </w:tc>
        <w:tc>
          <w:tcPr>
            <w:tcW w:w="1006" w:type="dxa"/>
            <w:noWrap/>
            <w:vAlign w:val="top"/>
          </w:tcPr>
          <w:p w14:paraId="7E8A8AAD" w14:textId="3FFB80C3" w:rsidR="001B0A1C" w:rsidRPr="00B3411E"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108.13%</w:t>
            </w:r>
          </w:p>
        </w:tc>
        <w:tc>
          <w:tcPr>
            <w:tcW w:w="1006" w:type="dxa"/>
            <w:noWrap/>
            <w:vAlign w:val="top"/>
          </w:tcPr>
          <w:p w14:paraId="23F71412" w14:textId="49FB74D8" w:rsidR="001B0A1C" w:rsidRPr="00B3411E"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108.13%</w:t>
            </w:r>
          </w:p>
        </w:tc>
        <w:tc>
          <w:tcPr>
            <w:tcW w:w="1006" w:type="dxa"/>
            <w:noWrap/>
            <w:vAlign w:val="top"/>
          </w:tcPr>
          <w:p w14:paraId="58C9CEE1" w14:textId="056A9CCC" w:rsidR="001B0A1C" w:rsidRPr="00161A96"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b/>
                <w:bCs/>
                <w:color w:val="000000"/>
                <w:sz w:val="18"/>
                <w:szCs w:val="18"/>
              </w:rPr>
            </w:pPr>
            <w:r w:rsidRPr="00161A96">
              <w:rPr>
                <w:rFonts w:cs="Calibri"/>
                <w:b/>
                <w:bCs/>
                <w:color w:val="000000"/>
                <w:sz w:val="18"/>
                <w:szCs w:val="18"/>
              </w:rPr>
              <w:t>108.1%</w:t>
            </w:r>
          </w:p>
        </w:tc>
      </w:tr>
      <w:tr w:rsidR="001B0A1C" w:rsidRPr="00352240" w14:paraId="6521B287" w14:textId="77777777" w:rsidTr="001B28D8">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AFF8038" w14:textId="77777777" w:rsidR="001B0A1C" w:rsidRPr="00352240" w:rsidRDefault="001B0A1C" w:rsidP="001B0A1C">
            <w:pPr>
              <w:jc w:val="center"/>
              <w:rPr>
                <w:rFonts w:eastAsia="Times New Roman" w:cstheme="minorHAnsi"/>
                <w:b w:val="0"/>
                <w:bCs w:val="0"/>
                <w:color w:val="000000"/>
                <w:sz w:val="18"/>
                <w:szCs w:val="18"/>
              </w:rPr>
            </w:pPr>
            <w:r w:rsidRPr="00352240">
              <w:rPr>
                <w:rFonts w:eastAsia="Times New Roman" w:cstheme="minorHAnsi"/>
                <w:color w:val="000000"/>
                <w:sz w:val="18"/>
                <w:szCs w:val="18"/>
              </w:rPr>
              <w:t>11</w:t>
            </w:r>
          </w:p>
        </w:tc>
        <w:tc>
          <w:tcPr>
            <w:tcW w:w="0" w:type="auto"/>
            <w:noWrap/>
            <w:hideMark/>
          </w:tcPr>
          <w:p w14:paraId="46E6D170" w14:textId="77777777" w:rsidR="001B0A1C" w:rsidRPr="00352240" w:rsidRDefault="001B0A1C" w:rsidP="001B0A1C">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 w:val="18"/>
                <w:szCs w:val="18"/>
              </w:rPr>
            </w:pPr>
            <w:r w:rsidRPr="00352240">
              <w:rPr>
                <w:rFonts w:eastAsia="Times New Roman" w:cstheme="minorHAnsi"/>
                <w:b/>
                <w:bCs/>
                <w:color w:val="000000"/>
                <w:sz w:val="18"/>
                <w:szCs w:val="18"/>
              </w:rPr>
              <w:t xml:space="preserve">Transformadores de distribución </w:t>
            </w:r>
          </w:p>
        </w:tc>
        <w:tc>
          <w:tcPr>
            <w:tcW w:w="1006" w:type="dxa"/>
            <w:noWrap/>
            <w:vAlign w:val="top"/>
          </w:tcPr>
          <w:p w14:paraId="1FFDA183" w14:textId="3A2B495D" w:rsidR="001B0A1C" w:rsidRPr="00B3411E"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119.22%</w:t>
            </w:r>
          </w:p>
        </w:tc>
        <w:tc>
          <w:tcPr>
            <w:tcW w:w="1006" w:type="dxa"/>
            <w:shd w:val="clear" w:color="auto" w:fill="BFBFBF" w:themeFill="background1" w:themeFillShade="BF"/>
            <w:noWrap/>
          </w:tcPr>
          <w:p w14:paraId="6029E0AD" w14:textId="7BD064C4" w:rsidR="001B0A1C" w:rsidRPr="00B3411E" w:rsidRDefault="001B0A1C" w:rsidP="001B0A1C">
            <w:pPr>
              <w:pStyle w:val="Sinespaciado"/>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w:t>
            </w:r>
          </w:p>
        </w:tc>
        <w:tc>
          <w:tcPr>
            <w:tcW w:w="1006" w:type="dxa"/>
            <w:shd w:val="clear" w:color="auto" w:fill="BFBFBF" w:themeFill="background1" w:themeFillShade="BF"/>
            <w:noWrap/>
          </w:tcPr>
          <w:p w14:paraId="419D2EA1" w14:textId="04B6B429" w:rsidR="001B0A1C" w:rsidRPr="00B3411E" w:rsidRDefault="001B0A1C" w:rsidP="001B0A1C">
            <w:pPr>
              <w:pStyle w:val="Sinespaciado"/>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w:t>
            </w:r>
          </w:p>
        </w:tc>
        <w:tc>
          <w:tcPr>
            <w:tcW w:w="1006" w:type="dxa"/>
            <w:shd w:val="clear" w:color="auto" w:fill="BFBFBF" w:themeFill="background1" w:themeFillShade="BF"/>
            <w:noWrap/>
          </w:tcPr>
          <w:p w14:paraId="4612B1E7" w14:textId="702A2D3B" w:rsidR="001B0A1C" w:rsidRPr="00B3411E" w:rsidRDefault="001B0A1C" w:rsidP="001B0A1C">
            <w:pPr>
              <w:pStyle w:val="Sinespaciado"/>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B3411E">
              <w:rPr>
                <w:rFonts w:cs="Calibri"/>
                <w:color w:val="000000"/>
                <w:sz w:val="18"/>
                <w:szCs w:val="18"/>
              </w:rPr>
              <w:t>-</w:t>
            </w:r>
          </w:p>
        </w:tc>
        <w:tc>
          <w:tcPr>
            <w:tcW w:w="1006" w:type="dxa"/>
            <w:noWrap/>
            <w:vAlign w:val="top"/>
          </w:tcPr>
          <w:p w14:paraId="563FB578" w14:textId="41B48540" w:rsidR="001B0A1C" w:rsidRPr="00161A96"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b/>
                <w:bCs/>
                <w:color w:val="000000"/>
                <w:sz w:val="18"/>
                <w:szCs w:val="18"/>
              </w:rPr>
            </w:pPr>
            <w:r w:rsidRPr="00161A96">
              <w:rPr>
                <w:rFonts w:cs="Calibri"/>
                <w:b/>
                <w:bCs/>
                <w:color w:val="000000"/>
                <w:sz w:val="18"/>
                <w:szCs w:val="18"/>
              </w:rPr>
              <w:t>119.2%</w:t>
            </w:r>
          </w:p>
        </w:tc>
      </w:tr>
      <w:tr w:rsidR="001B0A1C" w:rsidRPr="00352240" w14:paraId="53647DC9" w14:textId="77777777" w:rsidTr="001B28D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8CAE17F" w14:textId="77777777" w:rsidR="001B0A1C" w:rsidRPr="00352240" w:rsidRDefault="001B0A1C" w:rsidP="001B0A1C">
            <w:pPr>
              <w:jc w:val="center"/>
              <w:rPr>
                <w:rFonts w:eastAsia="Times New Roman" w:cstheme="minorHAnsi"/>
                <w:b w:val="0"/>
                <w:bCs w:val="0"/>
                <w:color w:val="000000"/>
                <w:sz w:val="18"/>
                <w:szCs w:val="18"/>
              </w:rPr>
            </w:pPr>
            <w:r w:rsidRPr="00352240">
              <w:rPr>
                <w:rFonts w:eastAsia="Times New Roman" w:cstheme="minorHAnsi"/>
                <w:color w:val="000000"/>
                <w:sz w:val="18"/>
                <w:szCs w:val="18"/>
              </w:rPr>
              <w:t>12</w:t>
            </w:r>
          </w:p>
        </w:tc>
        <w:tc>
          <w:tcPr>
            <w:tcW w:w="0" w:type="auto"/>
            <w:noWrap/>
            <w:hideMark/>
          </w:tcPr>
          <w:p w14:paraId="7A39BA06" w14:textId="77777777" w:rsidR="001B0A1C" w:rsidRPr="00352240" w:rsidRDefault="001B0A1C" w:rsidP="001B0A1C">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352240">
              <w:rPr>
                <w:rFonts w:eastAsia="Times New Roman" w:cstheme="minorHAnsi"/>
                <w:b/>
                <w:bCs/>
                <w:color w:val="000000"/>
                <w:sz w:val="18"/>
                <w:szCs w:val="18"/>
              </w:rPr>
              <w:t>Redes de distribución</w:t>
            </w:r>
          </w:p>
        </w:tc>
        <w:tc>
          <w:tcPr>
            <w:tcW w:w="1006" w:type="dxa"/>
            <w:noWrap/>
            <w:vAlign w:val="top"/>
          </w:tcPr>
          <w:p w14:paraId="13A25FCF" w14:textId="059A01AC" w:rsidR="001B0A1C" w:rsidRPr="00B3411E"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204.59%</w:t>
            </w:r>
          </w:p>
        </w:tc>
        <w:tc>
          <w:tcPr>
            <w:tcW w:w="1006" w:type="dxa"/>
            <w:shd w:val="clear" w:color="auto" w:fill="BFBFBF" w:themeFill="background1" w:themeFillShade="BF"/>
            <w:noWrap/>
          </w:tcPr>
          <w:p w14:paraId="574243C4" w14:textId="1D16344F" w:rsidR="001B0A1C" w:rsidRPr="00B3411E" w:rsidRDefault="001B0A1C" w:rsidP="001B0A1C">
            <w:pPr>
              <w:pStyle w:val="Sinespaciado"/>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w:t>
            </w:r>
          </w:p>
        </w:tc>
        <w:tc>
          <w:tcPr>
            <w:tcW w:w="1006" w:type="dxa"/>
            <w:shd w:val="clear" w:color="auto" w:fill="BFBFBF" w:themeFill="background1" w:themeFillShade="BF"/>
            <w:noWrap/>
          </w:tcPr>
          <w:p w14:paraId="242E9F8E" w14:textId="77E1888C" w:rsidR="001B0A1C" w:rsidRPr="00B3411E" w:rsidRDefault="001B0A1C" w:rsidP="001B0A1C">
            <w:pPr>
              <w:pStyle w:val="Sinespaciado"/>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w:t>
            </w:r>
          </w:p>
        </w:tc>
        <w:tc>
          <w:tcPr>
            <w:tcW w:w="1006" w:type="dxa"/>
            <w:shd w:val="clear" w:color="auto" w:fill="BFBFBF" w:themeFill="background1" w:themeFillShade="BF"/>
            <w:noWrap/>
          </w:tcPr>
          <w:p w14:paraId="2BABCCE6" w14:textId="22405880" w:rsidR="001B0A1C" w:rsidRPr="00B3411E" w:rsidRDefault="001B0A1C" w:rsidP="001B0A1C">
            <w:pPr>
              <w:pStyle w:val="Sinespaciado"/>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B3411E">
              <w:rPr>
                <w:rFonts w:cs="Calibri"/>
                <w:color w:val="000000"/>
                <w:sz w:val="18"/>
                <w:szCs w:val="18"/>
              </w:rPr>
              <w:t>-</w:t>
            </w:r>
          </w:p>
        </w:tc>
        <w:tc>
          <w:tcPr>
            <w:tcW w:w="1006" w:type="dxa"/>
            <w:noWrap/>
            <w:vAlign w:val="top"/>
          </w:tcPr>
          <w:p w14:paraId="78E063E0" w14:textId="5BBA62C1" w:rsidR="001B0A1C" w:rsidRPr="00161A96" w:rsidRDefault="001B0A1C" w:rsidP="001B0A1C">
            <w:pPr>
              <w:pStyle w:val="Sinespaciado"/>
              <w:cnfStyle w:val="000000100000" w:firstRow="0" w:lastRow="0" w:firstColumn="0" w:lastColumn="0" w:oddVBand="0" w:evenVBand="0" w:oddHBand="1" w:evenHBand="0" w:firstRowFirstColumn="0" w:firstRowLastColumn="0" w:lastRowFirstColumn="0" w:lastRowLastColumn="0"/>
              <w:rPr>
                <w:rFonts w:cs="Calibri"/>
                <w:b/>
                <w:bCs/>
                <w:color w:val="000000"/>
                <w:sz w:val="18"/>
                <w:szCs w:val="18"/>
              </w:rPr>
            </w:pPr>
            <w:r w:rsidRPr="00161A96">
              <w:rPr>
                <w:rFonts w:cs="Calibri"/>
                <w:b/>
                <w:bCs/>
                <w:color w:val="000000"/>
                <w:sz w:val="18"/>
                <w:szCs w:val="18"/>
              </w:rPr>
              <w:t>204.6%</w:t>
            </w:r>
          </w:p>
        </w:tc>
      </w:tr>
      <w:tr w:rsidR="001B0A1C" w:rsidRPr="00352240" w14:paraId="779888C5" w14:textId="77777777" w:rsidTr="001B28D8">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513A7A22" w14:textId="77777777" w:rsidR="001B0A1C" w:rsidRPr="00352240" w:rsidRDefault="001B0A1C" w:rsidP="001B0A1C">
            <w:pPr>
              <w:pStyle w:val="Sinespaciado"/>
              <w:jc w:val="center"/>
              <w:rPr>
                <w:rFonts w:eastAsia="Times New Roman" w:cstheme="minorHAnsi"/>
                <w:b w:val="0"/>
                <w:color w:val="000000"/>
                <w:sz w:val="18"/>
                <w:szCs w:val="18"/>
              </w:rPr>
            </w:pPr>
            <w:r w:rsidRPr="00352240">
              <w:rPr>
                <w:rFonts w:eastAsia="Times New Roman" w:cstheme="minorHAnsi"/>
                <w:color w:val="000000"/>
                <w:sz w:val="18"/>
                <w:szCs w:val="18"/>
              </w:rPr>
              <w:t>TOTAL</w:t>
            </w:r>
          </w:p>
        </w:tc>
        <w:tc>
          <w:tcPr>
            <w:tcW w:w="1006" w:type="dxa"/>
            <w:shd w:val="clear" w:color="auto" w:fill="BFE2A8" w:themeFill="accent2" w:themeFillTint="66"/>
            <w:noWrap/>
          </w:tcPr>
          <w:p w14:paraId="4B6C5CB1" w14:textId="08031E06" w:rsidR="001B0A1C" w:rsidRPr="00352240" w:rsidRDefault="00161A96" w:rsidP="001B0A1C">
            <w:pPr>
              <w:pStyle w:val="Sinespaciado"/>
              <w:cnfStyle w:val="000000010000" w:firstRow="0" w:lastRow="0" w:firstColumn="0" w:lastColumn="0" w:oddVBand="0" w:evenVBand="0" w:oddHBand="0" w:evenHBand="1" w:firstRowFirstColumn="0" w:firstRowLastColumn="0" w:lastRowFirstColumn="0" w:lastRowLastColumn="0"/>
              <w:rPr>
                <w:b/>
                <w:bCs/>
                <w:sz w:val="18"/>
                <w:szCs w:val="18"/>
              </w:rPr>
            </w:pPr>
            <w:r>
              <w:rPr>
                <w:rFonts w:cs="Calibri"/>
                <w:b/>
                <w:bCs/>
                <w:color w:val="000000"/>
                <w:sz w:val="18"/>
                <w:szCs w:val="18"/>
              </w:rPr>
              <w:t>163.05</w:t>
            </w:r>
            <w:r w:rsidR="001B0A1C" w:rsidRPr="00E70642">
              <w:rPr>
                <w:rFonts w:cs="Calibri"/>
                <w:b/>
                <w:bCs/>
                <w:color w:val="000000"/>
                <w:sz w:val="18"/>
                <w:szCs w:val="18"/>
              </w:rPr>
              <w:t>%</w:t>
            </w:r>
          </w:p>
        </w:tc>
        <w:tc>
          <w:tcPr>
            <w:tcW w:w="1006" w:type="dxa"/>
            <w:shd w:val="clear" w:color="auto" w:fill="BFE2A8" w:themeFill="accent2" w:themeFillTint="66"/>
            <w:noWrap/>
          </w:tcPr>
          <w:p w14:paraId="172CD330" w14:textId="04940D12" w:rsidR="001B0A1C" w:rsidRPr="00FA547A" w:rsidRDefault="00161A96" w:rsidP="001B0A1C">
            <w:pPr>
              <w:pStyle w:val="Sinespaciado"/>
              <w:cnfStyle w:val="000000010000" w:firstRow="0" w:lastRow="0" w:firstColumn="0" w:lastColumn="0" w:oddVBand="0" w:evenVBand="0" w:oddHBand="0" w:evenHBand="1" w:firstRowFirstColumn="0" w:firstRowLastColumn="0" w:lastRowFirstColumn="0" w:lastRowLastColumn="0"/>
              <w:rPr>
                <w:rFonts w:cs="Calibri"/>
                <w:b/>
                <w:bCs/>
                <w:color w:val="000000"/>
                <w:sz w:val="18"/>
                <w:szCs w:val="18"/>
              </w:rPr>
            </w:pPr>
            <w:r>
              <w:rPr>
                <w:rFonts w:cs="Calibri"/>
                <w:b/>
                <w:bCs/>
                <w:color w:val="000000"/>
                <w:sz w:val="18"/>
                <w:szCs w:val="18"/>
              </w:rPr>
              <w:t>131.03</w:t>
            </w:r>
            <w:r w:rsidR="001B0A1C" w:rsidRPr="00E70642">
              <w:rPr>
                <w:rFonts w:cs="Calibri"/>
                <w:b/>
                <w:bCs/>
                <w:color w:val="000000"/>
                <w:sz w:val="18"/>
                <w:szCs w:val="18"/>
              </w:rPr>
              <w:t>%</w:t>
            </w:r>
          </w:p>
        </w:tc>
        <w:tc>
          <w:tcPr>
            <w:tcW w:w="1006" w:type="dxa"/>
            <w:shd w:val="clear" w:color="auto" w:fill="BFE2A8" w:themeFill="accent2" w:themeFillTint="66"/>
            <w:noWrap/>
          </w:tcPr>
          <w:p w14:paraId="2DAE8698" w14:textId="6588562F" w:rsidR="001B0A1C" w:rsidRPr="00352240" w:rsidRDefault="00161A96" w:rsidP="001B0A1C">
            <w:pPr>
              <w:pStyle w:val="Sinespaciado"/>
              <w:cnfStyle w:val="000000010000" w:firstRow="0" w:lastRow="0" w:firstColumn="0" w:lastColumn="0" w:oddVBand="0" w:evenVBand="0" w:oddHBand="0" w:evenHBand="1" w:firstRowFirstColumn="0" w:firstRowLastColumn="0" w:lastRowFirstColumn="0" w:lastRowLastColumn="0"/>
              <w:rPr>
                <w:b/>
                <w:bCs/>
                <w:sz w:val="18"/>
                <w:szCs w:val="18"/>
              </w:rPr>
            </w:pPr>
            <w:r>
              <w:rPr>
                <w:rFonts w:cs="Calibri"/>
                <w:b/>
                <w:bCs/>
                <w:color w:val="000000"/>
                <w:sz w:val="18"/>
                <w:szCs w:val="18"/>
              </w:rPr>
              <w:t>76.96</w:t>
            </w:r>
            <w:r w:rsidR="001B0A1C" w:rsidRPr="00E70642">
              <w:rPr>
                <w:rFonts w:cs="Calibri"/>
                <w:b/>
                <w:bCs/>
                <w:color w:val="000000"/>
                <w:sz w:val="18"/>
                <w:szCs w:val="18"/>
              </w:rPr>
              <w:t>%</w:t>
            </w:r>
          </w:p>
        </w:tc>
        <w:tc>
          <w:tcPr>
            <w:tcW w:w="1006" w:type="dxa"/>
            <w:shd w:val="clear" w:color="auto" w:fill="BFE2A8" w:themeFill="accent2" w:themeFillTint="66"/>
            <w:noWrap/>
          </w:tcPr>
          <w:p w14:paraId="1B6E4ADD" w14:textId="6B65B719" w:rsidR="001B0A1C" w:rsidRPr="00352240" w:rsidRDefault="00161A96" w:rsidP="001B0A1C">
            <w:pPr>
              <w:pStyle w:val="Sinespaciado"/>
              <w:cnfStyle w:val="000000010000" w:firstRow="0" w:lastRow="0" w:firstColumn="0" w:lastColumn="0" w:oddVBand="0" w:evenVBand="0" w:oddHBand="0" w:evenHBand="1" w:firstRowFirstColumn="0" w:firstRowLastColumn="0" w:lastRowFirstColumn="0" w:lastRowLastColumn="0"/>
              <w:rPr>
                <w:b/>
                <w:bCs/>
                <w:sz w:val="18"/>
                <w:szCs w:val="18"/>
              </w:rPr>
            </w:pPr>
            <w:r>
              <w:rPr>
                <w:rFonts w:cs="Calibri"/>
                <w:b/>
                <w:bCs/>
                <w:color w:val="000000"/>
                <w:sz w:val="18"/>
                <w:szCs w:val="18"/>
              </w:rPr>
              <w:t>61.93</w:t>
            </w:r>
            <w:r w:rsidR="001B0A1C" w:rsidRPr="00965D41">
              <w:rPr>
                <w:rFonts w:cs="Calibri"/>
                <w:b/>
                <w:bCs/>
                <w:color w:val="000000"/>
                <w:sz w:val="18"/>
                <w:szCs w:val="18"/>
              </w:rPr>
              <w:t>%</w:t>
            </w:r>
          </w:p>
        </w:tc>
        <w:tc>
          <w:tcPr>
            <w:tcW w:w="1006" w:type="dxa"/>
            <w:shd w:val="clear" w:color="auto" w:fill="BFE2A8" w:themeFill="accent2" w:themeFillTint="66"/>
            <w:noWrap/>
          </w:tcPr>
          <w:p w14:paraId="713ACB5C" w14:textId="08A136C9" w:rsidR="001B0A1C" w:rsidRPr="00161A96" w:rsidRDefault="001B0A1C" w:rsidP="001B0A1C">
            <w:pPr>
              <w:pStyle w:val="Sinespaciado"/>
              <w:cnfStyle w:val="000000010000" w:firstRow="0" w:lastRow="0" w:firstColumn="0" w:lastColumn="0" w:oddVBand="0" w:evenVBand="0" w:oddHBand="0" w:evenHBand="1" w:firstRowFirstColumn="0" w:firstRowLastColumn="0" w:lastRowFirstColumn="0" w:lastRowLastColumn="0"/>
              <w:rPr>
                <w:rFonts w:cs="Calibri"/>
                <w:b/>
                <w:bCs/>
                <w:color w:val="000000"/>
                <w:sz w:val="18"/>
                <w:szCs w:val="18"/>
              </w:rPr>
            </w:pPr>
            <w:r w:rsidRPr="00161A96">
              <w:rPr>
                <w:rFonts w:cs="Calibri"/>
                <w:b/>
                <w:bCs/>
                <w:color w:val="000000"/>
                <w:sz w:val="18"/>
                <w:szCs w:val="18"/>
              </w:rPr>
              <w:t>119.98%</w:t>
            </w:r>
          </w:p>
        </w:tc>
      </w:tr>
      <w:tr w:rsidR="00693800" w:rsidRPr="002946A9" w14:paraId="51B7556E" w14:textId="77777777" w:rsidTr="001B28D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788" w:type="dxa"/>
            <w:gridSpan w:val="7"/>
            <w:shd w:val="clear" w:color="auto" w:fill="DFF0D3" w:themeFill="accent2" w:themeFillTint="33"/>
            <w:noWrap/>
          </w:tcPr>
          <w:p w14:paraId="7501661D" w14:textId="63A5CEB0" w:rsidR="00693800" w:rsidRPr="002946A9" w:rsidRDefault="00693800" w:rsidP="00693800">
            <w:pPr>
              <w:pStyle w:val="Sinespaciado"/>
              <w:rPr>
                <w:b w:val="0"/>
                <w:bCs w:val="0"/>
                <w:sz w:val="20"/>
                <w:szCs w:val="20"/>
              </w:rPr>
            </w:pPr>
            <w:r w:rsidRPr="00352240">
              <w:rPr>
                <w:i/>
                <w:iCs/>
                <w:sz w:val="20"/>
                <w:szCs w:val="20"/>
              </w:rPr>
              <w:t>N.A.: no aplica</w:t>
            </w:r>
          </w:p>
        </w:tc>
      </w:tr>
    </w:tbl>
    <w:p w14:paraId="589D731A" w14:textId="77777777" w:rsidR="00D753DC" w:rsidRPr="002946A9" w:rsidRDefault="00D753DC" w:rsidP="00DF29CB">
      <w:pPr>
        <w:ind w:left="360"/>
        <w:jc w:val="both"/>
        <w:rPr>
          <w:rFonts w:ascii="Trebuchet MS" w:hAnsi="Trebuchet MS"/>
          <w:szCs w:val="24"/>
        </w:rPr>
      </w:pPr>
    </w:p>
    <w:p w14:paraId="3E494A8E" w14:textId="5031E913" w:rsidR="00061E79" w:rsidRPr="00F36D19" w:rsidRDefault="00B46F0C" w:rsidP="00DF29CB">
      <w:pPr>
        <w:ind w:left="360"/>
        <w:jc w:val="both"/>
        <w:rPr>
          <w:rFonts w:ascii="Trebuchet MS" w:hAnsi="Trebuchet MS"/>
          <w:szCs w:val="24"/>
        </w:rPr>
      </w:pPr>
      <w:r w:rsidRPr="00F36D19">
        <w:rPr>
          <w:rFonts w:ascii="Trebuchet MS" w:hAnsi="Trebuchet MS"/>
          <w:szCs w:val="24"/>
        </w:rPr>
        <w:t xml:space="preserve">De la </w:t>
      </w:r>
      <w:r w:rsidRPr="00F36D19">
        <w:rPr>
          <w:rFonts w:ascii="Trebuchet MS" w:hAnsi="Trebuchet MS"/>
          <w:szCs w:val="24"/>
        </w:rPr>
        <w:fldChar w:fldCharType="begin"/>
      </w:r>
      <w:r w:rsidRPr="00F36D19">
        <w:rPr>
          <w:rFonts w:ascii="Trebuchet MS" w:hAnsi="Trebuchet MS"/>
          <w:szCs w:val="24"/>
        </w:rPr>
        <w:instrText xml:space="preserve"> REF _Ref67477712 \h </w:instrText>
      </w:r>
      <w:r w:rsidR="00DF29CB" w:rsidRPr="00F36D19">
        <w:rPr>
          <w:rFonts w:ascii="Trebuchet MS" w:hAnsi="Trebuchet MS"/>
          <w:szCs w:val="24"/>
        </w:rPr>
        <w:instrText xml:space="preserve"> \* MERGEFORMAT </w:instrText>
      </w:r>
      <w:r w:rsidRPr="00F36D19">
        <w:rPr>
          <w:rFonts w:ascii="Trebuchet MS" w:hAnsi="Trebuchet MS"/>
          <w:szCs w:val="24"/>
        </w:rPr>
      </w:r>
      <w:r w:rsidRPr="00F36D1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9</w:t>
      </w:r>
      <w:r w:rsidRPr="00F36D19">
        <w:rPr>
          <w:rFonts w:ascii="Trebuchet MS" w:hAnsi="Trebuchet MS"/>
          <w:szCs w:val="24"/>
        </w:rPr>
        <w:fldChar w:fldCharType="end"/>
      </w:r>
      <w:r w:rsidRPr="00F36D19">
        <w:rPr>
          <w:rFonts w:ascii="Trebuchet MS" w:hAnsi="Trebuchet MS"/>
          <w:szCs w:val="24"/>
        </w:rPr>
        <w:t xml:space="preserve"> se observa un</w:t>
      </w:r>
      <w:r w:rsidR="000A6742" w:rsidRPr="00F36D19">
        <w:rPr>
          <w:rFonts w:ascii="Trebuchet MS" w:hAnsi="Trebuchet MS"/>
          <w:szCs w:val="24"/>
        </w:rPr>
        <w:t xml:space="preserve">a ejecución </w:t>
      </w:r>
      <w:r w:rsidR="00A82923" w:rsidRPr="00F36D19">
        <w:rPr>
          <w:rFonts w:ascii="Trebuchet MS" w:hAnsi="Trebuchet MS"/>
          <w:szCs w:val="24"/>
        </w:rPr>
        <w:t xml:space="preserve">total </w:t>
      </w:r>
      <w:r w:rsidR="000A6742" w:rsidRPr="00F36D19">
        <w:rPr>
          <w:rFonts w:ascii="Trebuchet MS" w:hAnsi="Trebuchet MS"/>
          <w:szCs w:val="24"/>
        </w:rPr>
        <w:t xml:space="preserve">del </w:t>
      </w:r>
      <w:r w:rsidR="00C6152C">
        <w:rPr>
          <w:rFonts w:ascii="Trebuchet MS" w:hAnsi="Trebuchet MS"/>
          <w:szCs w:val="24"/>
        </w:rPr>
        <w:t>163.05</w:t>
      </w:r>
      <w:r w:rsidR="000A6742" w:rsidRPr="00F36D19">
        <w:rPr>
          <w:rFonts w:ascii="Trebuchet MS" w:hAnsi="Trebuchet MS"/>
          <w:szCs w:val="24"/>
        </w:rPr>
        <w:t xml:space="preserve">% para nivel de tensión 1; del </w:t>
      </w:r>
      <w:r w:rsidR="00C6152C">
        <w:rPr>
          <w:rFonts w:ascii="Trebuchet MS" w:hAnsi="Trebuchet MS"/>
          <w:szCs w:val="24"/>
        </w:rPr>
        <w:t>131.03</w:t>
      </w:r>
      <w:r w:rsidR="000A6742" w:rsidRPr="00F36D19">
        <w:rPr>
          <w:rFonts w:ascii="Trebuchet MS" w:hAnsi="Trebuchet MS"/>
          <w:szCs w:val="24"/>
        </w:rPr>
        <w:t xml:space="preserve">% para nivel 2; del </w:t>
      </w:r>
      <w:r w:rsidR="00C6152C">
        <w:rPr>
          <w:rFonts w:ascii="Trebuchet MS" w:hAnsi="Trebuchet MS"/>
          <w:szCs w:val="24"/>
        </w:rPr>
        <w:t>76.96</w:t>
      </w:r>
      <w:r w:rsidR="000A6742" w:rsidRPr="00F36D19">
        <w:rPr>
          <w:rFonts w:ascii="Trebuchet MS" w:hAnsi="Trebuchet MS"/>
          <w:szCs w:val="24"/>
        </w:rPr>
        <w:t xml:space="preserve">% para nivel 3; y del </w:t>
      </w:r>
      <w:r w:rsidR="00C6152C">
        <w:rPr>
          <w:rFonts w:ascii="Trebuchet MS" w:hAnsi="Trebuchet MS"/>
          <w:szCs w:val="24"/>
        </w:rPr>
        <w:t>61.93</w:t>
      </w:r>
      <w:r w:rsidR="000A6742" w:rsidRPr="00F36D19">
        <w:rPr>
          <w:rFonts w:ascii="Trebuchet MS" w:hAnsi="Trebuchet MS"/>
          <w:szCs w:val="24"/>
        </w:rPr>
        <w:t xml:space="preserve">% para el nivel 4. </w:t>
      </w:r>
      <w:r w:rsidR="004301EA" w:rsidRPr="00F36D19">
        <w:rPr>
          <w:rFonts w:ascii="Trebuchet MS" w:hAnsi="Trebuchet MS"/>
          <w:szCs w:val="24"/>
        </w:rPr>
        <w:t>En términos generales,</w:t>
      </w:r>
      <w:r w:rsidR="008E3C74" w:rsidRPr="00F36D19">
        <w:rPr>
          <w:rFonts w:ascii="Trebuchet MS" w:hAnsi="Trebuchet MS"/>
          <w:szCs w:val="24"/>
        </w:rPr>
        <w:t xml:space="preserve"> el porcentaje de </w:t>
      </w:r>
      <w:r w:rsidR="004301EA" w:rsidRPr="00F36D19">
        <w:rPr>
          <w:rFonts w:ascii="Trebuchet MS" w:hAnsi="Trebuchet MS"/>
          <w:szCs w:val="24"/>
        </w:rPr>
        <w:t>ejecución</w:t>
      </w:r>
      <w:r w:rsidR="00A82923" w:rsidRPr="00F36D19">
        <w:rPr>
          <w:rFonts w:ascii="Trebuchet MS" w:hAnsi="Trebuchet MS"/>
          <w:szCs w:val="24"/>
        </w:rPr>
        <w:t xml:space="preserve"> total </w:t>
      </w:r>
      <w:r w:rsidR="004301EA" w:rsidRPr="00F36D19">
        <w:rPr>
          <w:rFonts w:ascii="Trebuchet MS" w:hAnsi="Trebuchet MS"/>
          <w:szCs w:val="24"/>
        </w:rPr>
        <w:t>obtenida para el plan</w:t>
      </w:r>
      <w:r w:rsidR="008E3C74" w:rsidRPr="00F36D19">
        <w:rPr>
          <w:rFonts w:ascii="Trebuchet MS" w:hAnsi="Trebuchet MS"/>
          <w:szCs w:val="24"/>
        </w:rPr>
        <w:t xml:space="preserve"> 202</w:t>
      </w:r>
      <w:r w:rsidR="006938CB" w:rsidRPr="00F36D19">
        <w:rPr>
          <w:rFonts w:ascii="Trebuchet MS" w:hAnsi="Trebuchet MS"/>
          <w:szCs w:val="24"/>
        </w:rPr>
        <w:t>2</w:t>
      </w:r>
      <w:r w:rsidR="00A82923" w:rsidRPr="00F36D19">
        <w:rPr>
          <w:rFonts w:ascii="Trebuchet MS" w:hAnsi="Trebuchet MS"/>
          <w:szCs w:val="24"/>
        </w:rPr>
        <w:t xml:space="preserve">, si no se consideran acotes, </w:t>
      </w:r>
      <w:r w:rsidR="004301EA" w:rsidRPr="00F36D19">
        <w:rPr>
          <w:rFonts w:ascii="Trebuchet MS" w:hAnsi="Trebuchet MS"/>
          <w:szCs w:val="24"/>
        </w:rPr>
        <w:t xml:space="preserve">fue del </w:t>
      </w:r>
      <w:r w:rsidR="00C666C0">
        <w:rPr>
          <w:rFonts w:ascii="Trebuchet MS" w:hAnsi="Trebuchet MS"/>
          <w:szCs w:val="24"/>
        </w:rPr>
        <w:t>119.98</w:t>
      </w:r>
      <w:r w:rsidR="004301EA" w:rsidRPr="00F36D19">
        <w:rPr>
          <w:rFonts w:ascii="Trebuchet MS" w:hAnsi="Trebuchet MS"/>
          <w:szCs w:val="24"/>
        </w:rPr>
        <w:t>%.</w:t>
      </w:r>
    </w:p>
    <w:p w14:paraId="58CAC97A" w14:textId="5C69A89C" w:rsidR="00F07D70" w:rsidRPr="002946A9" w:rsidRDefault="00F92E3E" w:rsidP="00F07D70">
      <w:pPr>
        <w:ind w:left="360"/>
        <w:jc w:val="both"/>
        <w:rPr>
          <w:rFonts w:ascii="Trebuchet MS" w:hAnsi="Trebuchet MS" w:cs="Arial"/>
        </w:rPr>
      </w:pPr>
      <w:r w:rsidRPr="00F36D19">
        <w:rPr>
          <w:rFonts w:ascii="Trebuchet MS" w:hAnsi="Trebuchet MS" w:cs="Arial"/>
        </w:rPr>
        <w:t xml:space="preserve">Ahora, considerando </w:t>
      </w:r>
      <w:r w:rsidR="00696400" w:rsidRPr="00F36D19">
        <w:rPr>
          <w:rFonts w:ascii="Trebuchet MS" w:hAnsi="Trebuchet MS" w:cs="Arial"/>
        </w:rPr>
        <w:t xml:space="preserve">los valores de </w:t>
      </w:r>
      <w:r w:rsidRPr="00F36D19">
        <w:rPr>
          <w:rFonts w:ascii="Trebuchet MS" w:hAnsi="Trebuchet MS" w:cs="Arial"/>
        </w:rPr>
        <w:t>ejecución acotad</w:t>
      </w:r>
      <w:r w:rsidR="00EB6771" w:rsidRPr="00F36D19">
        <w:rPr>
          <w:rFonts w:ascii="Trebuchet MS" w:hAnsi="Trebuchet MS" w:cs="Arial"/>
        </w:rPr>
        <w:t>a</w:t>
      </w:r>
      <w:r w:rsidR="00816200" w:rsidRPr="00F36D19">
        <w:rPr>
          <w:rFonts w:ascii="Trebuchet MS" w:hAnsi="Trebuchet MS" w:cs="Arial"/>
        </w:rPr>
        <w:t xml:space="preserve"> del 202</w:t>
      </w:r>
      <w:r w:rsidR="00F36D19" w:rsidRPr="00F36D19">
        <w:rPr>
          <w:rFonts w:ascii="Trebuchet MS" w:hAnsi="Trebuchet MS" w:cs="Arial"/>
        </w:rPr>
        <w:t>2</w:t>
      </w:r>
      <w:r w:rsidRPr="00F36D19">
        <w:rPr>
          <w:rFonts w:ascii="Trebuchet MS" w:hAnsi="Trebuchet MS" w:cs="Arial"/>
        </w:rPr>
        <w:t xml:space="preserve"> presentado</w:t>
      </w:r>
      <w:r w:rsidR="00EB6771" w:rsidRPr="00F36D19">
        <w:rPr>
          <w:rFonts w:ascii="Trebuchet MS" w:hAnsi="Trebuchet MS" w:cs="Arial"/>
        </w:rPr>
        <w:t>s</w:t>
      </w:r>
      <w:r w:rsidRPr="00F36D19">
        <w:rPr>
          <w:rFonts w:ascii="Trebuchet MS" w:hAnsi="Trebuchet MS" w:cs="Arial"/>
        </w:rPr>
        <w:t xml:space="preserve"> en la</w:t>
      </w:r>
      <w:r w:rsidR="007E1C3A" w:rsidRPr="00F36D19">
        <w:rPr>
          <w:rFonts w:ascii="Trebuchet MS" w:hAnsi="Trebuchet MS" w:cs="Arial"/>
        </w:rPr>
        <w:t xml:space="preserve"> </w:t>
      </w:r>
      <w:r w:rsidR="007E1C3A" w:rsidRPr="00F36D19">
        <w:rPr>
          <w:rFonts w:ascii="Trebuchet MS" w:hAnsi="Trebuchet MS" w:cs="Arial"/>
        </w:rPr>
        <w:fldChar w:fldCharType="begin"/>
      </w:r>
      <w:r w:rsidR="007E1C3A" w:rsidRPr="00F36D19">
        <w:rPr>
          <w:rFonts w:ascii="Trebuchet MS" w:hAnsi="Trebuchet MS" w:cs="Arial"/>
        </w:rPr>
        <w:instrText xml:space="preserve"> REF _Ref67392343 \h </w:instrText>
      </w:r>
      <w:r w:rsidR="002946A9" w:rsidRPr="00F36D19">
        <w:rPr>
          <w:rFonts w:ascii="Trebuchet MS" w:hAnsi="Trebuchet MS" w:cs="Arial"/>
        </w:rPr>
        <w:instrText xml:space="preserve"> \* MERGEFORMAT </w:instrText>
      </w:r>
      <w:r w:rsidR="007E1C3A" w:rsidRPr="00F36D19">
        <w:rPr>
          <w:rFonts w:ascii="Trebuchet MS" w:hAnsi="Trebuchet MS" w:cs="Arial"/>
        </w:rPr>
      </w:r>
      <w:r w:rsidR="007E1C3A" w:rsidRPr="00F36D19">
        <w:rPr>
          <w:rFonts w:ascii="Trebuchet MS" w:hAnsi="Trebuchet MS" w:cs="Arial"/>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2</w:t>
      </w:r>
      <w:r w:rsidR="007E1C3A" w:rsidRPr="00F36D19">
        <w:rPr>
          <w:rFonts w:ascii="Trebuchet MS" w:hAnsi="Trebuchet MS" w:cs="Arial"/>
        </w:rPr>
        <w:fldChar w:fldCharType="end"/>
      </w:r>
      <w:r w:rsidR="00EB6771" w:rsidRPr="00F36D19">
        <w:rPr>
          <w:rFonts w:ascii="Trebuchet MS" w:hAnsi="Trebuchet MS" w:cs="Arial"/>
        </w:rPr>
        <w:t>,</w:t>
      </w:r>
      <w:r w:rsidR="00337241" w:rsidRPr="00F36D19">
        <w:rPr>
          <w:rFonts w:ascii="Trebuchet MS" w:hAnsi="Trebuchet MS" w:cs="Arial"/>
        </w:rPr>
        <w:t xml:space="preserve"> al dividirlo</w:t>
      </w:r>
      <w:r w:rsidR="003476F0" w:rsidRPr="00F36D19">
        <w:rPr>
          <w:rFonts w:ascii="Trebuchet MS" w:hAnsi="Trebuchet MS" w:cs="Arial"/>
        </w:rPr>
        <w:t>s</w:t>
      </w:r>
      <w:r w:rsidR="00337241" w:rsidRPr="00F36D19">
        <w:rPr>
          <w:rFonts w:ascii="Trebuchet MS" w:hAnsi="Trebuchet MS" w:cs="Arial"/>
        </w:rPr>
        <w:t xml:space="preserve"> entre los valores planeados </w:t>
      </w:r>
      <w:r w:rsidR="0008206A" w:rsidRPr="00F36D19">
        <w:rPr>
          <w:rFonts w:ascii="Trebuchet MS" w:hAnsi="Trebuchet MS" w:cs="Arial"/>
        </w:rPr>
        <w:t xml:space="preserve">de la </w:t>
      </w:r>
      <w:r w:rsidR="00F07D70" w:rsidRPr="00F36D19">
        <w:rPr>
          <w:rFonts w:ascii="Trebuchet MS" w:hAnsi="Trebuchet MS" w:cs="Arial"/>
        </w:rPr>
        <w:fldChar w:fldCharType="begin"/>
      </w:r>
      <w:r w:rsidR="00F07D70" w:rsidRPr="00F36D19">
        <w:rPr>
          <w:rFonts w:ascii="Trebuchet MS" w:hAnsi="Trebuchet MS" w:cs="Arial"/>
        </w:rPr>
        <w:instrText xml:space="preserve"> REF _Ref67067707 \h  \* MERGEFORMAT </w:instrText>
      </w:r>
      <w:r w:rsidR="00F07D70" w:rsidRPr="00F36D19">
        <w:rPr>
          <w:rFonts w:ascii="Trebuchet MS" w:hAnsi="Trebuchet MS" w:cs="Arial"/>
        </w:rPr>
      </w:r>
      <w:r w:rsidR="00F07D70" w:rsidRPr="00F36D19">
        <w:rPr>
          <w:rFonts w:ascii="Trebuchet MS" w:hAnsi="Trebuchet MS" w:cs="Arial"/>
        </w:rPr>
        <w:fldChar w:fldCharType="separate"/>
      </w:r>
      <w:r w:rsidR="00C944CB" w:rsidRPr="002946A9">
        <w:rPr>
          <w:rFonts w:ascii="Trebuchet MS" w:hAnsi="Trebuchet MS"/>
        </w:rPr>
        <w:t xml:space="preserve">Tabla </w:t>
      </w:r>
      <w:r w:rsidR="00C944CB">
        <w:rPr>
          <w:rFonts w:ascii="Trebuchet MS" w:hAnsi="Trebuchet MS"/>
          <w:noProof/>
        </w:rPr>
        <w:t>2</w:t>
      </w:r>
      <w:r w:rsidR="00C944CB" w:rsidRPr="002946A9">
        <w:rPr>
          <w:rFonts w:ascii="Trebuchet MS" w:hAnsi="Trebuchet MS"/>
          <w:noProof/>
        </w:rPr>
        <w:t>.</w:t>
      </w:r>
      <w:r w:rsidR="00C944CB">
        <w:rPr>
          <w:rFonts w:ascii="Trebuchet MS" w:hAnsi="Trebuchet MS"/>
          <w:noProof/>
        </w:rPr>
        <w:t>19</w:t>
      </w:r>
      <w:r w:rsidR="00F07D70" w:rsidRPr="00F36D19">
        <w:rPr>
          <w:rFonts w:ascii="Trebuchet MS" w:hAnsi="Trebuchet MS" w:cs="Arial"/>
        </w:rPr>
        <w:fldChar w:fldCharType="end"/>
      </w:r>
      <w:r w:rsidR="003476F0" w:rsidRPr="00F36D19">
        <w:rPr>
          <w:rFonts w:ascii="Trebuchet MS" w:hAnsi="Trebuchet MS" w:cs="Arial"/>
        </w:rPr>
        <w:t xml:space="preserve">, </w:t>
      </w:r>
      <w:r w:rsidR="00F54AF5" w:rsidRPr="00F36D19">
        <w:rPr>
          <w:rFonts w:ascii="Trebuchet MS" w:hAnsi="Trebuchet MS" w:cs="Arial"/>
        </w:rPr>
        <w:t xml:space="preserve">los </w:t>
      </w:r>
      <w:r w:rsidR="00F07D70" w:rsidRPr="00F36D19">
        <w:rPr>
          <w:rFonts w:ascii="Trebuchet MS" w:hAnsi="Trebuchet MS" w:cs="Arial"/>
        </w:rPr>
        <w:t>porcentaje</w:t>
      </w:r>
      <w:r w:rsidR="00F54AF5" w:rsidRPr="00F36D19">
        <w:rPr>
          <w:rFonts w:ascii="Trebuchet MS" w:hAnsi="Trebuchet MS" w:cs="Arial"/>
        </w:rPr>
        <w:t>s de ejecución se muestran en la</w:t>
      </w:r>
      <w:r w:rsidR="00EC025E" w:rsidRPr="00F36D19">
        <w:rPr>
          <w:rFonts w:ascii="Trebuchet MS" w:hAnsi="Trebuchet MS" w:cs="Arial"/>
        </w:rPr>
        <w:t xml:space="preserve"> </w:t>
      </w:r>
      <w:r w:rsidR="00EC025E" w:rsidRPr="00F36D19">
        <w:rPr>
          <w:rFonts w:ascii="Trebuchet MS" w:hAnsi="Trebuchet MS" w:cs="Arial"/>
        </w:rPr>
        <w:fldChar w:fldCharType="begin"/>
      </w:r>
      <w:r w:rsidR="00EC025E" w:rsidRPr="00F36D19">
        <w:rPr>
          <w:rFonts w:ascii="Trebuchet MS" w:hAnsi="Trebuchet MS" w:cs="Arial"/>
        </w:rPr>
        <w:instrText xml:space="preserve"> REF _Ref67747141 \h </w:instrText>
      </w:r>
      <w:r w:rsidR="002946A9" w:rsidRPr="00F36D19">
        <w:rPr>
          <w:rFonts w:ascii="Trebuchet MS" w:hAnsi="Trebuchet MS" w:cs="Arial"/>
        </w:rPr>
        <w:instrText xml:space="preserve"> \* MERGEFORMAT </w:instrText>
      </w:r>
      <w:r w:rsidR="00EC025E" w:rsidRPr="00F36D19">
        <w:rPr>
          <w:rFonts w:ascii="Trebuchet MS" w:hAnsi="Trebuchet MS" w:cs="Arial"/>
        </w:rPr>
      </w:r>
      <w:r w:rsidR="00EC025E" w:rsidRPr="00F36D19">
        <w:rPr>
          <w:rFonts w:ascii="Trebuchet MS" w:hAnsi="Trebuchet MS" w:cs="Arial"/>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10</w:t>
      </w:r>
      <w:r w:rsidR="00EC025E" w:rsidRPr="00F36D19">
        <w:rPr>
          <w:rFonts w:ascii="Trebuchet MS" w:hAnsi="Trebuchet MS" w:cs="Arial"/>
        </w:rPr>
        <w:fldChar w:fldCharType="end"/>
      </w:r>
      <w:r w:rsidR="00EC025E" w:rsidRPr="00F36D19">
        <w:rPr>
          <w:rFonts w:ascii="Trebuchet MS" w:hAnsi="Trebuchet MS" w:cs="Arial"/>
        </w:rPr>
        <w:t>.</w:t>
      </w:r>
    </w:p>
    <w:p w14:paraId="47E6CBDB" w14:textId="7C277E40" w:rsidR="003D4F0C" w:rsidRPr="002946A9" w:rsidRDefault="003D4F0C" w:rsidP="00873A01">
      <w:pPr>
        <w:spacing w:after="0"/>
        <w:ind w:left="360"/>
        <w:jc w:val="both"/>
        <w:rPr>
          <w:rFonts w:ascii="Trebuchet MS" w:hAnsi="Trebuchet MS"/>
          <w:szCs w:val="24"/>
        </w:rPr>
      </w:pPr>
    </w:p>
    <w:p w14:paraId="19CE708F" w14:textId="50A504F1" w:rsidR="003D4F0C" w:rsidRPr="002946A9" w:rsidRDefault="003D4F0C" w:rsidP="003D4F0C">
      <w:pPr>
        <w:ind w:left="1416" w:hanging="1056"/>
        <w:jc w:val="both"/>
        <w:rPr>
          <w:rFonts w:ascii="Trebuchet MS" w:hAnsi="Trebuchet MS"/>
        </w:rPr>
      </w:pPr>
      <w:bookmarkStart w:id="211" w:name="_Ref67747141"/>
      <w:bookmarkStart w:id="212" w:name="_Toc131032800"/>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10</w:t>
      </w:r>
      <w:r w:rsidRPr="002946A9">
        <w:rPr>
          <w:rFonts w:ascii="Trebuchet MS" w:hAnsi="Trebuchet MS"/>
        </w:rPr>
        <w:fldChar w:fldCharType="end"/>
      </w:r>
      <w:bookmarkEnd w:id="211"/>
      <w:r w:rsidRPr="002946A9">
        <w:rPr>
          <w:rFonts w:ascii="Trebuchet MS" w:hAnsi="Trebuchet MS"/>
        </w:rPr>
        <w:t xml:space="preserve">  Porcentajes de ejecución del plan de inversiones año </w:t>
      </w:r>
      <w:r w:rsidR="00884C0F" w:rsidRPr="002946A9">
        <w:rPr>
          <w:rFonts w:ascii="Trebuchet MS" w:hAnsi="Trebuchet MS"/>
        </w:rPr>
        <w:t>202</w:t>
      </w:r>
      <w:r w:rsidR="00884C0F">
        <w:rPr>
          <w:rFonts w:ascii="Trebuchet MS" w:hAnsi="Trebuchet MS"/>
        </w:rPr>
        <w:t>2</w:t>
      </w:r>
      <w:r w:rsidRPr="002946A9">
        <w:rPr>
          <w:rFonts w:ascii="Trebuchet MS" w:hAnsi="Trebuchet MS"/>
        </w:rPr>
        <w:t>.</w:t>
      </w:r>
      <w:r w:rsidR="00FB6D98" w:rsidRPr="002946A9">
        <w:rPr>
          <w:rFonts w:ascii="Trebuchet MS" w:hAnsi="Trebuchet MS"/>
        </w:rPr>
        <w:t xml:space="preserve"> Ejecución</w:t>
      </w:r>
      <w:r w:rsidR="00D711CD" w:rsidRPr="002946A9">
        <w:rPr>
          <w:rFonts w:ascii="Trebuchet MS" w:hAnsi="Trebuchet MS"/>
        </w:rPr>
        <w:t xml:space="preserve"> </w:t>
      </w:r>
      <w:r w:rsidR="00FB6D98" w:rsidRPr="002946A9">
        <w:rPr>
          <w:rFonts w:ascii="Trebuchet MS" w:hAnsi="Trebuchet MS"/>
        </w:rPr>
        <w:t>acotada</w:t>
      </w:r>
      <w:r w:rsidR="00CE4761" w:rsidRPr="002946A9">
        <w:rPr>
          <w:rFonts w:ascii="Trebuchet MS" w:hAnsi="Trebuchet MS"/>
        </w:rPr>
        <w:t>.</w:t>
      </w:r>
      <w:bookmarkEnd w:id="212"/>
    </w:p>
    <w:tbl>
      <w:tblPr>
        <w:tblStyle w:val="Tablaconcuadrcula5oscura-nfasis1"/>
        <w:tblW w:w="0" w:type="auto"/>
        <w:jc w:val="center"/>
        <w:tblLook w:val="04A0" w:firstRow="1" w:lastRow="0" w:firstColumn="1" w:lastColumn="0" w:noHBand="0" w:noVBand="1"/>
      </w:tblPr>
      <w:tblGrid>
        <w:gridCol w:w="427"/>
        <w:gridCol w:w="3331"/>
        <w:gridCol w:w="1006"/>
        <w:gridCol w:w="1006"/>
        <w:gridCol w:w="1006"/>
        <w:gridCol w:w="1006"/>
        <w:gridCol w:w="933"/>
      </w:tblGrid>
      <w:tr w:rsidR="003D4F0C" w:rsidRPr="00F36D19" w14:paraId="1E55E68C" w14:textId="77777777" w:rsidTr="005535B3">
        <w:trPr>
          <w:cnfStyle w:val="100000000000" w:firstRow="1" w:lastRow="0" w:firstColumn="0" w:lastColumn="0" w:oddVBand="0" w:evenVBand="0" w:oddHBand="0" w:evenHBand="0" w:firstRowFirstColumn="0" w:firstRowLastColumn="0" w:lastRowFirstColumn="0" w:lastRowLastColumn="0"/>
          <w:trHeight w:val="315"/>
          <w:tblHeader/>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hideMark/>
          </w:tcPr>
          <w:p w14:paraId="1FC0E788" w14:textId="77777777" w:rsidR="003D4F0C" w:rsidRPr="00F36D19" w:rsidRDefault="003D4F0C" w:rsidP="00693800">
            <w:pPr>
              <w:rPr>
                <w:rFonts w:eastAsia="Times New Roman" w:cs="Times New Roman"/>
                <w:b w:val="0"/>
                <w:bCs w:val="0"/>
                <w:color w:val="auto"/>
                <w:sz w:val="18"/>
                <w:szCs w:val="18"/>
              </w:rPr>
            </w:pPr>
            <w:r w:rsidRPr="00F36D19">
              <w:rPr>
                <w:rFonts w:cs="Times New Roman"/>
                <w:i/>
                <w:iCs/>
                <w:sz w:val="18"/>
                <w:szCs w:val="18"/>
              </w:rPr>
              <w:t>l</w:t>
            </w:r>
          </w:p>
        </w:tc>
        <w:tc>
          <w:tcPr>
            <w:tcW w:w="0" w:type="auto"/>
            <w:vMerge w:val="restart"/>
            <w:noWrap/>
            <w:hideMark/>
          </w:tcPr>
          <w:p w14:paraId="467F0E1E" w14:textId="77777777" w:rsidR="003D4F0C" w:rsidRPr="00F36D19" w:rsidRDefault="003D4F0C" w:rsidP="00693800">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auto"/>
                <w:sz w:val="18"/>
                <w:szCs w:val="18"/>
              </w:rPr>
            </w:pPr>
            <w:r w:rsidRPr="00F36D19">
              <w:rPr>
                <w:rFonts w:eastAsia="Times New Roman" w:cstheme="minorHAnsi"/>
                <w:sz w:val="18"/>
                <w:szCs w:val="18"/>
              </w:rPr>
              <w:t>Descripción</w:t>
            </w:r>
          </w:p>
        </w:tc>
        <w:tc>
          <w:tcPr>
            <w:tcW w:w="4957" w:type="dxa"/>
            <w:gridSpan w:val="5"/>
            <w:noWrap/>
            <w:hideMark/>
          </w:tcPr>
          <w:p w14:paraId="134D7A34" w14:textId="4B49E7A8" w:rsidR="003D4F0C" w:rsidRPr="00F36D19" w:rsidRDefault="003D4F0C" w:rsidP="00693800">
            <w:pPr>
              <w:pStyle w:val="Sinespaciado"/>
              <w:cnfStyle w:val="100000000000" w:firstRow="1" w:lastRow="0" w:firstColumn="0" w:lastColumn="0" w:oddVBand="0" w:evenVBand="0" w:oddHBand="0" w:evenHBand="0" w:firstRowFirstColumn="0" w:firstRowLastColumn="0" w:lastRowFirstColumn="0" w:lastRowLastColumn="0"/>
              <w:rPr>
                <w:rFonts w:eastAsia="Times New Roman" w:cstheme="minorHAnsi"/>
                <w:i/>
                <w:iCs/>
                <w:color w:val="auto"/>
                <w:sz w:val="18"/>
                <w:szCs w:val="18"/>
              </w:rPr>
            </w:pPr>
            <w:r w:rsidRPr="00F36D19">
              <w:rPr>
                <w:i/>
                <w:iCs/>
                <w:sz w:val="18"/>
                <w:szCs w:val="18"/>
              </w:rPr>
              <w:t>INVR</w:t>
            </w:r>
            <w:r w:rsidRPr="00F36D19">
              <w:rPr>
                <w:i/>
                <w:iCs/>
                <w:sz w:val="18"/>
                <w:szCs w:val="18"/>
                <w:vertAlign w:val="subscript"/>
              </w:rPr>
              <w:t>j,n,l,</w:t>
            </w:r>
            <w:r w:rsidR="00A03E4B" w:rsidRPr="00F36D19">
              <w:rPr>
                <w:i/>
                <w:iCs/>
                <w:sz w:val="18"/>
                <w:szCs w:val="18"/>
                <w:vertAlign w:val="subscript"/>
              </w:rPr>
              <w:t>3</w:t>
            </w:r>
            <w:r w:rsidRPr="00F36D19">
              <w:rPr>
                <w:i/>
                <w:iCs/>
                <w:sz w:val="18"/>
                <w:szCs w:val="18"/>
                <w:vertAlign w:val="subscript"/>
              </w:rPr>
              <w:t xml:space="preserve">_acotado </w:t>
            </w:r>
            <w:r w:rsidRPr="00F36D19">
              <w:rPr>
                <w:i/>
                <w:iCs/>
                <w:sz w:val="18"/>
                <w:szCs w:val="18"/>
              </w:rPr>
              <w:t>/</w:t>
            </w:r>
            <w:r w:rsidRPr="00F36D19">
              <w:rPr>
                <w:rFonts w:cstheme="minorHAnsi"/>
                <w:i/>
                <w:iCs/>
                <w:sz w:val="18"/>
                <w:szCs w:val="18"/>
              </w:rPr>
              <w:t xml:space="preserve"> INVA</w:t>
            </w:r>
            <w:r w:rsidRPr="00F36D19">
              <w:rPr>
                <w:rFonts w:cstheme="minorHAnsi"/>
                <w:i/>
                <w:iCs/>
                <w:sz w:val="18"/>
                <w:szCs w:val="18"/>
                <w:vertAlign w:val="subscript"/>
              </w:rPr>
              <w:t>j,n,l,</w:t>
            </w:r>
            <w:r w:rsidR="00A03E4B" w:rsidRPr="00F36D19">
              <w:rPr>
                <w:rFonts w:cstheme="minorHAnsi"/>
                <w:i/>
                <w:iCs/>
                <w:sz w:val="18"/>
                <w:szCs w:val="18"/>
                <w:vertAlign w:val="subscript"/>
              </w:rPr>
              <w:t>3</w:t>
            </w:r>
          </w:p>
        </w:tc>
      </w:tr>
      <w:tr w:rsidR="003D4F0C" w:rsidRPr="00F36D19" w14:paraId="6B3623E6" w14:textId="77777777" w:rsidTr="005535B3">
        <w:trPr>
          <w:cnfStyle w:val="100000000000" w:firstRow="1" w:lastRow="0" w:firstColumn="0" w:lastColumn="0" w:oddVBand="0" w:evenVBand="0" w:oddHBand="0" w:evenHBand="0" w:firstRowFirstColumn="0" w:firstRowLastColumn="0" w:lastRowFirstColumn="0" w:lastRowLastColumn="0"/>
          <w:trHeight w:val="315"/>
          <w:tblHeader/>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607A518A" w14:textId="77777777" w:rsidR="003D4F0C" w:rsidRPr="00F36D19" w:rsidRDefault="003D4F0C" w:rsidP="00693800">
            <w:pPr>
              <w:pStyle w:val="Sinespaciado"/>
              <w:rPr>
                <w:rFonts w:eastAsia="Times New Roman" w:cstheme="minorHAnsi"/>
                <w:color w:val="000000"/>
                <w:sz w:val="18"/>
                <w:szCs w:val="18"/>
              </w:rPr>
            </w:pPr>
          </w:p>
        </w:tc>
        <w:tc>
          <w:tcPr>
            <w:tcW w:w="0" w:type="auto"/>
            <w:vMerge/>
            <w:hideMark/>
          </w:tcPr>
          <w:p w14:paraId="4F96FC50" w14:textId="77777777" w:rsidR="003D4F0C" w:rsidRPr="00F36D19" w:rsidRDefault="003D4F0C" w:rsidP="00693800">
            <w:pPr>
              <w:pStyle w:val="Sinespaciado"/>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rPr>
            </w:pPr>
          </w:p>
        </w:tc>
        <w:tc>
          <w:tcPr>
            <w:tcW w:w="1006" w:type="dxa"/>
            <w:noWrap/>
            <w:hideMark/>
          </w:tcPr>
          <w:p w14:paraId="6E5A7974" w14:textId="77777777" w:rsidR="003D4F0C" w:rsidRPr="00F36D19" w:rsidRDefault="003D4F0C" w:rsidP="00693800">
            <w:pPr>
              <w:pStyle w:val="Sinespaciado"/>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8"/>
                <w:szCs w:val="18"/>
              </w:rPr>
            </w:pPr>
            <w:r w:rsidRPr="00F36D19">
              <w:rPr>
                <w:rFonts w:eastAsia="Times New Roman" w:cstheme="minorHAnsi"/>
                <w:color w:val="000000"/>
                <w:sz w:val="18"/>
                <w:szCs w:val="18"/>
              </w:rPr>
              <w:t>N1</w:t>
            </w:r>
          </w:p>
        </w:tc>
        <w:tc>
          <w:tcPr>
            <w:tcW w:w="1006" w:type="dxa"/>
            <w:noWrap/>
            <w:hideMark/>
          </w:tcPr>
          <w:p w14:paraId="1FF242AA" w14:textId="77777777" w:rsidR="003D4F0C" w:rsidRPr="00F36D19" w:rsidRDefault="003D4F0C" w:rsidP="00693800">
            <w:pPr>
              <w:pStyle w:val="Sinespaciado"/>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8"/>
                <w:szCs w:val="18"/>
              </w:rPr>
            </w:pPr>
            <w:r w:rsidRPr="00F36D19">
              <w:rPr>
                <w:rFonts w:eastAsia="Times New Roman" w:cstheme="minorHAnsi"/>
                <w:color w:val="000000"/>
                <w:sz w:val="18"/>
                <w:szCs w:val="18"/>
              </w:rPr>
              <w:t>N2</w:t>
            </w:r>
          </w:p>
        </w:tc>
        <w:tc>
          <w:tcPr>
            <w:tcW w:w="1006" w:type="dxa"/>
            <w:noWrap/>
            <w:hideMark/>
          </w:tcPr>
          <w:p w14:paraId="2BF44069" w14:textId="77777777" w:rsidR="003D4F0C" w:rsidRPr="00F36D19" w:rsidRDefault="003D4F0C" w:rsidP="00693800">
            <w:pPr>
              <w:pStyle w:val="Sinespaciado"/>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8"/>
                <w:szCs w:val="18"/>
              </w:rPr>
            </w:pPr>
            <w:r w:rsidRPr="00F36D19">
              <w:rPr>
                <w:rFonts w:eastAsia="Times New Roman" w:cstheme="minorHAnsi"/>
                <w:color w:val="000000"/>
                <w:sz w:val="18"/>
                <w:szCs w:val="18"/>
              </w:rPr>
              <w:t>N3</w:t>
            </w:r>
          </w:p>
        </w:tc>
        <w:tc>
          <w:tcPr>
            <w:tcW w:w="1006" w:type="dxa"/>
            <w:noWrap/>
            <w:hideMark/>
          </w:tcPr>
          <w:p w14:paraId="5457CF04" w14:textId="77777777" w:rsidR="003D4F0C" w:rsidRPr="00F36D19" w:rsidRDefault="003D4F0C" w:rsidP="00693800">
            <w:pPr>
              <w:pStyle w:val="Sinespaciado"/>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8"/>
                <w:szCs w:val="18"/>
              </w:rPr>
            </w:pPr>
            <w:r w:rsidRPr="00F36D19">
              <w:rPr>
                <w:rFonts w:eastAsia="Times New Roman" w:cstheme="minorHAnsi"/>
                <w:color w:val="000000"/>
                <w:sz w:val="18"/>
                <w:szCs w:val="18"/>
              </w:rPr>
              <w:t>N4</w:t>
            </w:r>
          </w:p>
        </w:tc>
        <w:tc>
          <w:tcPr>
            <w:tcW w:w="933" w:type="dxa"/>
            <w:noWrap/>
            <w:hideMark/>
          </w:tcPr>
          <w:p w14:paraId="47ADA23F" w14:textId="77777777" w:rsidR="003D4F0C" w:rsidRPr="00F36D19" w:rsidRDefault="003D4F0C" w:rsidP="00693800">
            <w:pPr>
              <w:pStyle w:val="Sinespaciado"/>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000000"/>
                <w:sz w:val="18"/>
                <w:szCs w:val="18"/>
              </w:rPr>
            </w:pPr>
            <w:r w:rsidRPr="00F36D19">
              <w:rPr>
                <w:rFonts w:eastAsia="Times New Roman" w:cstheme="minorHAnsi"/>
                <w:color w:val="000000"/>
                <w:sz w:val="18"/>
                <w:szCs w:val="18"/>
              </w:rPr>
              <w:t>TOTAL</w:t>
            </w:r>
          </w:p>
        </w:tc>
      </w:tr>
      <w:tr w:rsidR="003D21C9" w:rsidRPr="00F36D19" w14:paraId="43D88DA6" w14:textId="77777777" w:rsidTr="005535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70C26AB" w14:textId="77777777" w:rsidR="003D21C9" w:rsidRPr="00F36D19" w:rsidRDefault="003D21C9" w:rsidP="003D21C9">
            <w:pPr>
              <w:jc w:val="center"/>
              <w:rPr>
                <w:rFonts w:eastAsia="Times New Roman" w:cstheme="minorHAnsi"/>
                <w:b w:val="0"/>
                <w:bCs w:val="0"/>
                <w:color w:val="000000"/>
                <w:sz w:val="18"/>
                <w:szCs w:val="18"/>
              </w:rPr>
            </w:pPr>
            <w:r w:rsidRPr="00F36D19">
              <w:rPr>
                <w:rFonts w:eastAsia="Times New Roman" w:cstheme="minorHAnsi"/>
                <w:color w:val="000000"/>
                <w:sz w:val="18"/>
                <w:szCs w:val="18"/>
              </w:rPr>
              <w:t>1</w:t>
            </w:r>
          </w:p>
        </w:tc>
        <w:tc>
          <w:tcPr>
            <w:tcW w:w="0" w:type="auto"/>
            <w:noWrap/>
            <w:hideMark/>
          </w:tcPr>
          <w:p w14:paraId="48342831" w14:textId="77777777" w:rsidR="003D21C9" w:rsidRPr="00F36D19" w:rsidRDefault="003D21C9" w:rsidP="003D21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F36D19">
              <w:rPr>
                <w:rFonts w:eastAsia="Times New Roman" w:cstheme="minorHAnsi"/>
                <w:b/>
                <w:bCs/>
                <w:color w:val="000000"/>
                <w:sz w:val="18"/>
                <w:szCs w:val="18"/>
              </w:rPr>
              <w:t>Transformadores de potencia</w:t>
            </w:r>
          </w:p>
        </w:tc>
        <w:tc>
          <w:tcPr>
            <w:tcW w:w="1006" w:type="dxa"/>
            <w:shd w:val="clear" w:color="auto" w:fill="BFBFBF" w:themeFill="background1" w:themeFillShade="BF"/>
            <w:noWrap/>
          </w:tcPr>
          <w:p w14:paraId="13F6B0E0" w14:textId="77777777" w:rsidR="003D21C9" w:rsidRPr="00F36D19" w:rsidRDefault="003D21C9" w:rsidP="003D21C9">
            <w:pPr>
              <w:pStyle w:val="Sinespaciado"/>
              <w:jc w:val="center"/>
              <w:cnfStyle w:val="000000100000" w:firstRow="0" w:lastRow="0" w:firstColumn="0" w:lastColumn="0" w:oddVBand="0" w:evenVBand="0" w:oddHBand="1" w:evenHBand="0" w:firstRowFirstColumn="0" w:firstRowLastColumn="0" w:lastRowFirstColumn="0" w:lastRowLastColumn="0"/>
              <w:rPr>
                <w:sz w:val="18"/>
                <w:szCs w:val="18"/>
              </w:rPr>
            </w:pPr>
            <w:r w:rsidRPr="00F36D19">
              <w:rPr>
                <w:sz w:val="18"/>
                <w:szCs w:val="18"/>
              </w:rPr>
              <w:t>-</w:t>
            </w:r>
          </w:p>
        </w:tc>
        <w:tc>
          <w:tcPr>
            <w:tcW w:w="1006" w:type="dxa"/>
            <w:noWrap/>
            <w:vAlign w:val="top"/>
          </w:tcPr>
          <w:p w14:paraId="79EC4961" w14:textId="566FE209" w:rsidR="003D21C9" w:rsidRPr="00DB2E7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106.61%</w:t>
            </w:r>
          </w:p>
        </w:tc>
        <w:tc>
          <w:tcPr>
            <w:tcW w:w="1006" w:type="dxa"/>
            <w:noWrap/>
            <w:vAlign w:val="top"/>
          </w:tcPr>
          <w:p w14:paraId="78C7FD6E" w14:textId="2E3D9F4C" w:rsidR="003D21C9" w:rsidRPr="00DB2E7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66.67%</w:t>
            </w:r>
          </w:p>
        </w:tc>
        <w:tc>
          <w:tcPr>
            <w:tcW w:w="1006" w:type="dxa"/>
            <w:noWrap/>
            <w:vAlign w:val="top"/>
          </w:tcPr>
          <w:p w14:paraId="2B525415" w14:textId="210C3DCE" w:rsidR="003D21C9" w:rsidRPr="00DB2E7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0.00%</w:t>
            </w:r>
          </w:p>
        </w:tc>
        <w:tc>
          <w:tcPr>
            <w:tcW w:w="933" w:type="dxa"/>
            <w:noWrap/>
            <w:vAlign w:val="top"/>
          </w:tcPr>
          <w:p w14:paraId="10706B7E" w14:textId="6DB78C08" w:rsidR="003D21C9" w:rsidRPr="00257FC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b/>
                <w:bCs/>
                <w:color w:val="000000"/>
                <w:sz w:val="18"/>
                <w:szCs w:val="18"/>
              </w:rPr>
            </w:pPr>
            <w:r w:rsidRPr="007E1773">
              <w:rPr>
                <w:rFonts w:cs="Calibri"/>
                <w:b/>
                <w:bCs/>
                <w:color w:val="000000"/>
                <w:sz w:val="18"/>
                <w:szCs w:val="18"/>
              </w:rPr>
              <w:t>86.18%</w:t>
            </w:r>
          </w:p>
        </w:tc>
      </w:tr>
      <w:tr w:rsidR="003D21C9" w:rsidRPr="00F36D19" w14:paraId="327355C9" w14:textId="77777777" w:rsidTr="005535B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5BF0114" w14:textId="77777777" w:rsidR="003D21C9" w:rsidRPr="00F36D19" w:rsidRDefault="003D21C9" w:rsidP="003D21C9">
            <w:pPr>
              <w:jc w:val="center"/>
              <w:rPr>
                <w:rFonts w:eastAsia="Times New Roman" w:cstheme="minorHAnsi"/>
                <w:b w:val="0"/>
                <w:bCs w:val="0"/>
                <w:color w:val="000000"/>
                <w:sz w:val="18"/>
                <w:szCs w:val="18"/>
              </w:rPr>
            </w:pPr>
            <w:r w:rsidRPr="00F36D19">
              <w:rPr>
                <w:rFonts w:eastAsia="Times New Roman" w:cstheme="minorHAnsi"/>
                <w:color w:val="000000"/>
                <w:sz w:val="18"/>
                <w:szCs w:val="18"/>
              </w:rPr>
              <w:t>2</w:t>
            </w:r>
          </w:p>
        </w:tc>
        <w:tc>
          <w:tcPr>
            <w:tcW w:w="0" w:type="auto"/>
            <w:noWrap/>
            <w:hideMark/>
          </w:tcPr>
          <w:p w14:paraId="6B994C0E" w14:textId="77777777" w:rsidR="003D21C9" w:rsidRPr="00F36D19" w:rsidRDefault="003D21C9" w:rsidP="003D21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 w:val="18"/>
                <w:szCs w:val="18"/>
              </w:rPr>
            </w:pPr>
            <w:r w:rsidRPr="00F36D19">
              <w:rPr>
                <w:rFonts w:eastAsia="Times New Roman" w:cstheme="minorHAnsi"/>
                <w:b/>
                <w:bCs/>
                <w:color w:val="000000"/>
                <w:sz w:val="18"/>
                <w:szCs w:val="18"/>
              </w:rPr>
              <w:t>Compensación reactiva</w:t>
            </w:r>
          </w:p>
        </w:tc>
        <w:tc>
          <w:tcPr>
            <w:tcW w:w="1006" w:type="dxa"/>
            <w:shd w:val="clear" w:color="auto" w:fill="BFBFBF" w:themeFill="background1" w:themeFillShade="BF"/>
            <w:noWrap/>
          </w:tcPr>
          <w:p w14:paraId="7307B596" w14:textId="77777777" w:rsidR="003D21C9" w:rsidRPr="00F36D19" w:rsidRDefault="003D21C9" w:rsidP="003D21C9">
            <w:pPr>
              <w:pStyle w:val="Sinespaciado"/>
              <w:jc w:val="center"/>
              <w:cnfStyle w:val="000000010000" w:firstRow="0" w:lastRow="0" w:firstColumn="0" w:lastColumn="0" w:oddVBand="0" w:evenVBand="0" w:oddHBand="0" w:evenHBand="1" w:firstRowFirstColumn="0" w:firstRowLastColumn="0" w:lastRowFirstColumn="0" w:lastRowLastColumn="0"/>
              <w:rPr>
                <w:sz w:val="18"/>
                <w:szCs w:val="18"/>
              </w:rPr>
            </w:pPr>
            <w:r w:rsidRPr="00F36D19">
              <w:rPr>
                <w:sz w:val="18"/>
                <w:szCs w:val="18"/>
              </w:rPr>
              <w:t>-</w:t>
            </w:r>
          </w:p>
        </w:tc>
        <w:tc>
          <w:tcPr>
            <w:tcW w:w="1006" w:type="dxa"/>
            <w:noWrap/>
            <w:vAlign w:val="top"/>
          </w:tcPr>
          <w:p w14:paraId="09CE291E" w14:textId="22864570" w:rsidR="003D21C9" w:rsidRPr="00DB2E7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0.00%</w:t>
            </w:r>
          </w:p>
        </w:tc>
        <w:tc>
          <w:tcPr>
            <w:tcW w:w="1006" w:type="dxa"/>
            <w:noWrap/>
            <w:vAlign w:val="top"/>
          </w:tcPr>
          <w:p w14:paraId="450C0D7C" w14:textId="78719C73" w:rsidR="003D21C9" w:rsidRPr="00DB2E7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0.00%</w:t>
            </w:r>
          </w:p>
        </w:tc>
        <w:tc>
          <w:tcPr>
            <w:tcW w:w="1006" w:type="dxa"/>
            <w:noWrap/>
            <w:vAlign w:val="top"/>
          </w:tcPr>
          <w:p w14:paraId="7A6E209D" w14:textId="70C1F7C8" w:rsidR="003D21C9" w:rsidRPr="00DB2E7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0.00%</w:t>
            </w:r>
          </w:p>
        </w:tc>
        <w:tc>
          <w:tcPr>
            <w:tcW w:w="933" w:type="dxa"/>
            <w:noWrap/>
            <w:vAlign w:val="top"/>
          </w:tcPr>
          <w:p w14:paraId="6DE62DAE" w14:textId="24338EB7" w:rsidR="003D21C9" w:rsidRPr="00257FC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b/>
                <w:bCs/>
                <w:color w:val="000000"/>
                <w:sz w:val="18"/>
                <w:szCs w:val="18"/>
              </w:rPr>
            </w:pPr>
            <w:r w:rsidRPr="007E1773">
              <w:rPr>
                <w:rFonts w:cs="Calibri"/>
                <w:b/>
                <w:bCs/>
                <w:color w:val="000000"/>
                <w:sz w:val="18"/>
                <w:szCs w:val="18"/>
              </w:rPr>
              <w:t>0.00%</w:t>
            </w:r>
          </w:p>
        </w:tc>
      </w:tr>
      <w:tr w:rsidR="003D21C9" w:rsidRPr="00F36D19" w14:paraId="206DF912" w14:textId="77777777" w:rsidTr="005535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DAED750" w14:textId="77777777" w:rsidR="003D21C9" w:rsidRPr="00F36D19" w:rsidRDefault="003D21C9" w:rsidP="003D21C9">
            <w:pPr>
              <w:jc w:val="center"/>
              <w:rPr>
                <w:rFonts w:eastAsia="Times New Roman" w:cstheme="minorHAnsi"/>
                <w:b w:val="0"/>
                <w:bCs w:val="0"/>
                <w:color w:val="000000"/>
                <w:sz w:val="18"/>
                <w:szCs w:val="18"/>
              </w:rPr>
            </w:pPr>
            <w:r w:rsidRPr="00F36D19">
              <w:rPr>
                <w:rFonts w:eastAsia="Times New Roman" w:cstheme="minorHAnsi"/>
                <w:color w:val="000000"/>
                <w:sz w:val="18"/>
                <w:szCs w:val="18"/>
              </w:rPr>
              <w:t>3</w:t>
            </w:r>
          </w:p>
        </w:tc>
        <w:tc>
          <w:tcPr>
            <w:tcW w:w="0" w:type="auto"/>
            <w:noWrap/>
            <w:hideMark/>
          </w:tcPr>
          <w:p w14:paraId="0786E2FF" w14:textId="77777777" w:rsidR="003D21C9" w:rsidRPr="00F36D19" w:rsidRDefault="003D21C9" w:rsidP="003D21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F36D19">
              <w:rPr>
                <w:rFonts w:eastAsia="Times New Roman" w:cstheme="minorHAnsi"/>
                <w:b/>
                <w:bCs/>
                <w:color w:val="000000"/>
                <w:sz w:val="18"/>
                <w:szCs w:val="18"/>
              </w:rPr>
              <w:t>Bahías y celdas</w:t>
            </w:r>
          </w:p>
        </w:tc>
        <w:tc>
          <w:tcPr>
            <w:tcW w:w="1006" w:type="dxa"/>
            <w:shd w:val="clear" w:color="auto" w:fill="BFBFBF" w:themeFill="background1" w:themeFillShade="BF"/>
            <w:noWrap/>
          </w:tcPr>
          <w:p w14:paraId="5CBEF653" w14:textId="77777777" w:rsidR="003D21C9" w:rsidRPr="00F36D19" w:rsidRDefault="003D21C9" w:rsidP="003D21C9">
            <w:pPr>
              <w:pStyle w:val="Sinespaciado"/>
              <w:jc w:val="center"/>
              <w:cnfStyle w:val="000000100000" w:firstRow="0" w:lastRow="0" w:firstColumn="0" w:lastColumn="0" w:oddVBand="0" w:evenVBand="0" w:oddHBand="1" w:evenHBand="0" w:firstRowFirstColumn="0" w:firstRowLastColumn="0" w:lastRowFirstColumn="0" w:lastRowLastColumn="0"/>
              <w:rPr>
                <w:sz w:val="18"/>
                <w:szCs w:val="18"/>
              </w:rPr>
            </w:pPr>
            <w:r w:rsidRPr="00F36D19">
              <w:rPr>
                <w:sz w:val="18"/>
                <w:szCs w:val="18"/>
              </w:rPr>
              <w:t>-</w:t>
            </w:r>
          </w:p>
        </w:tc>
        <w:tc>
          <w:tcPr>
            <w:tcW w:w="1006" w:type="dxa"/>
            <w:noWrap/>
            <w:vAlign w:val="top"/>
          </w:tcPr>
          <w:p w14:paraId="24FCB601" w14:textId="0FB051DA" w:rsidR="003D21C9" w:rsidRPr="00DB2E7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100.63%</w:t>
            </w:r>
          </w:p>
        </w:tc>
        <w:tc>
          <w:tcPr>
            <w:tcW w:w="1006" w:type="dxa"/>
            <w:noWrap/>
            <w:vAlign w:val="top"/>
          </w:tcPr>
          <w:p w14:paraId="0DDF14C4" w14:textId="4424BE66" w:rsidR="003D21C9" w:rsidRPr="00DB2E7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110.00%</w:t>
            </w:r>
          </w:p>
        </w:tc>
        <w:tc>
          <w:tcPr>
            <w:tcW w:w="1006" w:type="dxa"/>
            <w:noWrap/>
            <w:vAlign w:val="top"/>
          </w:tcPr>
          <w:p w14:paraId="422C52DC" w14:textId="5F84CD90" w:rsidR="003D21C9" w:rsidRPr="00DB2E7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63.48%</w:t>
            </w:r>
          </w:p>
        </w:tc>
        <w:tc>
          <w:tcPr>
            <w:tcW w:w="933" w:type="dxa"/>
            <w:noWrap/>
            <w:vAlign w:val="top"/>
          </w:tcPr>
          <w:p w14:paraId="3973897B" w14:textId="61102BBA" w:rsidR="003D21C9" w:rsidRPr="00257FC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b/>
                <w:bCs/>
                <w:color w:val="000000"/>
                <w:sz w:val="18"/>
                <w:szCs w:val="18"/>
              </w:rPr>
            </w:pPr>
            <w:r w:rsidRPr="007E1773">
              <w:rPr>
                <w:rFonts w:cs="Calibri"/>
                <w:b/>
                <w:bCs/>
                <w:color w:val="000000"/>
                <w:sz w:val="18"/>
                <w:szCs w:val="18"/>
              </w:rPr>
              <w:t>82.20%</w:t>
            </w:r>
          </w:p>
        </w:tc>
      </w:tr>
      <w:tr w:rsidR="003D21C9" w:rsidRPr="00F36D19" w14:paraId="212F46E5" w14:textId="77777777" w:rsidTr="005535B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5F8E2A9" w14:textId="77777777" w:rsidR="003D21C9" w:rsidRPr="00F36D19" w:rsidRDefault="003D21C9" w:rsidP="003D21C9">
            <w:pPr>
              <w:jc w:val="center"/>
              <w:rPr>
                <w:rFonts w:eastAsia="Times New Roman" w:cstheme="minorHAnsi"/>
                <w:b w:val="0"/>
                <w:bCs w:val="0"/>
                <w:color w:val="000000"/>
                <w:sz w:val="18"/>
                <w:szCs w:val="18"/>
              </w:rPr>
            </w:pPr>
            <w:r w:rsidRPr="00F36D19">
              <w:rPr>
                <w:rFonts w:eastAsia="Times New Roman" w:cstheme="minorHAnsi"/>
                <w:color w:val="000000"/>
                <w:sz w:val="18"/>
                <w:szCs w:val="18"/>
              </w:rPr>
              <w:t>4</w:t>
            </w:r>
          </w:p>
        </w:tc>
        <w:tc>
          <w:tcPr>
            <w:tcW w:w="0" w:type="auto"/>
            <w:noWrap/>
            <w:hideMark/>
          </w:tcPr>
          <w:p w14:paraId="281C2CEF" w14:textId="77777777" w:rsidR="003D21C9" w:rsidRPr="00F36D19" w:rsidRDefault="003D21C9" w:rsidP="003D21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 w:val="18"/>
                <w:szCs w:val="18"/>
              </w:rPr>
            </w:pPr>
            <w:r w:rsidRPr="00F36D19">
              <w:rPr>
                <w:rFonts w:eastAsia="Times New Roman" w:cstheme="minorHAnsi"/>
                <w:b/>
                <w:bCs/>
                <w:color w:val="000000"/>
                <w:sz w:val="18"/>
                <w:szCs w:val="18"/>
              </w:rPr>
              <w:t>Equipos de control y comunicaciones</w:t>
            </w:r>
          </w:p>
        </w:tc>
        <w:tc>
          <w:tcPr>
            <w:tcW w:w="1006" w:type="dxa"/>
            <w:shd w:val="clear" w:color="auto" w:fill="BFBFBF" w:themeFill="background1" w:themeFillShade="BF"/>
            <w:noWrap/>
          </w:tcPr>
          <w:p w14:paraId="5BF4A7DC" w14:textId="77777777" w:rsidR="003D21C9" w:rsidRPr="00F36D19" w:rsidRDefault="003D21C9" w:rsidP="003D21C9">
            <w:pPr>
              <w:pStyle w:val="Sinespaciado"/>
              <w:jc w:val="center"/>
              <w:cnfStyle w:val="000000010000" w:firstRow="0" w:lastRow="0" w:firstColumn="0" w:lastColumn="0" w:oddVBand="0" w:evenVBand="0" w:oddHBand="0" w:evenHBand="1" w:firstRowFirstColumn="0" w:firstRowLastColumn="0" w:lastRowFirstColumn="0" w:lastRowLastColumn="0"/>
              <w:rPr>
                <w:sz w:val="18"/>
                <w:szCs w:val="18"/>
              </w:rPr>
            </w:pPr>
            <w:r w:rsidRPr="00F36D19">
              <w:rPr>
                <w:sz w:val="18"/>
                <w:szCs w:val="18"/>
              </w:rPr>
              <w:t>-</w:t>
            </w:r>
          </w:p>
        </w:tc>
        <w:tc>
          <w:tcPr>
            <w:tcW w:w="1006" w:type="dxa"/>
            <w:noWrap/>
            <w:vAlign w:val="top"/>
          </w:tcPr>
          <w:p w14:paraId="53D8975C" w14:textId="22EC35FF" w:rsidR="003D21C9" w:rsidRPr="00DB2E7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110.00%</w:t>
            </w:r>
          </w:p>
        </w:tc>
        <w:tc>
          <w:tcPr>
            <w:tcW w:w="1006" w:type="dxa"/>
            <w:noWrap/>
            <w:vAlign w:val="top"/>
          </w:tcPr>
          <w:p w14:paraId="3733889A" w14:textId="073BEC38" w:rsidR="003D21C9" w:rsidRPr="00DB2E7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84.16%</w:t>
            </w:r>
          </w:p>
        </w:tc>
        <w:tc>
          <w:tcPr>
            <w:tcW w:w="1006" w:type="dxa"/>
            <w:noWrap/>
            <w:vAlign w:val="top"/>
          </w:tcPr>
          <w:p w14:paraId="4F0C502A" w14:textId="13ED8DA8" w:rsidR="003D21C9" w:rsidRPr="00DB2E7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79.17%</w:t>
            </w:r>
          </w:p>
        </w:tc>
        <w:tc>
          <w:tcPr>
            <w:tcW w:w="933" w:type="dxa"/>
            <w:noWrap/>
            <w:vAlign w:val="top"/>
          </w:tcPr>
          <w:p w14:paraId="266C3B65" w14:textId="41DF4283" w:rsidR="003D21C9" w:rsidRPr="00257FC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b/>
                <w:bCs/>
                <w:color w:val="000000"/>
                <w:sz w:val="18"/>
                <w:szCs w:val="18"/>
              </w:rPr>
            </w:pPr>
            <w:r w:rsidRPr="007E1773">
              <w:rPr>
                <w:rFonts w:cs="Calibri"/>
                <w:b/>
                <w:bCs/>
                <w:color w:val="000000"/>
                <w:sz w:val="18"/>
                <w:szCs w:val="18"/>
              </w:rPr>
              <w:t>102.27%</w:t>
            </w:r>
          </w:p>
        </w:tc>
      </w:tr>
      <w:tr w:rsidR="003D21C9" w:rsidRPr="00F36D19" w14:paraId="206D31D2" w14:textId="77777777" w:rsidTr="005535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DBF7152" w14:textId="77777777" w:rsidR="003D21C9" w:rsidRPr="00F36D19" w:rsidRDefault="003D21C9" w:rsidP="003D21C9">
            <w:pPr>
              <w:jc w:val="center"/>
              <w:rPr>
                <w:rFonts w:eastAsia="Times New Roman" w:cstheme="minorHAnsi"/>
                <w:b w:val="0"/>
                <w:bCs w:val="0"/>
                <w:color w:val="000000"/>
                <w:sz w:val="18"/>
                <w:szCs w:val="18"/>
              </w:rPr>
            </w:pPr>
            <w:r w:rsidRPr="00F36D19">
              <w:rPr>
                <w:rFonts w:eastAsia="Times New Roman" w:cstheme="minorHAnsi"/>
                <w:color w:val="000000"/>
                <w:sz w:val="18"/>
                <w:szCs w:val="18"/>
              </w:rPr>
              <w:t>5</w:t>
            </w:r>
          </w:p>
        </w:tc>
        <w:tc>
          <w:tcPr>
            <w:tcW w:w="0" w:type="auto"/>
            <w:noWrap/>
            <w:hideMark/>
          </w:tcPr>
          <w:p w14:paraId="246B1E1F" w14:textId="77777777" w:rsidR="003D21C9" w:rsidRPr="00F36D19" w:rsidRDefault="003D21C9" w:rsidP="003D21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F36D19">
              <w:rPr>
                <w:rFonts w:eastAsia="Times New Roman" w:cstheme="minorHAnsi"/>
                <w:b/>
                <w:bCs/>
                <w:color w:val="000000"/>
                <w:sz w:val="18"/>
                <w:szCs w:val="18"/>
              </w:rPr>
              <w:t>Equipos de subestación</w:t>
            </w:r>
          </w:p>
        </w:tc>
        <w:tc>
          <w:tcPr>
            <w:tcW w:w="1006" w:type="dxa"/>
            <w:shd w:val="clear" w:color="auto" w:fill="BFBFBF" w:themeFill="background1" w:themeFillShade="BF"/>
            <w:noWrap/>
          </w:tcPr>
          <w:p w14:paraId="3C6F621B" w14:textId="77777777" w:rsidR="003D21C9" w:rsidRPr="00F36D19" w:rsidRDefault="003D21C9" w:rsidP="003D21C9">
            <w:pPr>
              <w:pStyle w:val="Sinespaciado"/>
              <w:jc w:val="center"/>
              <w:cnfStyle w:val="000000100000" w:firstRow="0" w:lastRow="0" w:firstColumn="0" w:lastColumn="0" w:oddVBand="0" w:evenVBand="0" w:oddHBand="1" w:evenHBand="0" w:firstRowFirstColumn="0" w:firstRowLastColumn="0" w:lastRowFirstColumn="0" w:lastRowLastColumn="0"/>
              <w:rPr>
                <w:sz w:val="18"/>
                <w:szCs w:val="18"/>
              </w:rPr>
            </w:pPr>
            <w:r w:rsidRPr="00F36D19">
              <w:rPr>
                <w:sz w:val="18"/>
                <w:szCs w:val="18"/>
              </w:rPr>
              <w:t>-</w:t>
            </w:r>
          </w:p>
        </w:tc>
        <w:tc>
          <w:tcPr>
            <w:tcW w:w="1006" w:type="dxa"/>
            <w:noWrap/>
            <w:vAlign w:val="top"/>
          </w:tcPr>
          <w:p w14:paraId="18136D4B" w14:textId="650547A7" w:rsidR="003D21C9" w:rsidRPr="00DB2E7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7.85%</w:t>
            </w:r>
          </w:p>
        </w:tc>
        <w:tc>
          <w:tcPr>
            <w:tcW w:w="1006" w:type="dxa"/>
            <w:noWrap/>
            <w:vAlign w:val="top"/>
          </w:tcPr>
          <w:p w14:paraId="3C5494A9" w14:textId="0FD33022" w:rsidR="003D21C9" w:rsidRPr="00DB2E7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110.00%</w:t>
            </w:r>
          </w:p>
        </w:tc>
        <w:tc>
          <w:tcPr>
            <w:tcW w:w="1006" w:type="dxa"/>
            <w:noWrap/>
            <w:vAlign w:val="top"/>
          </w:tcPr>
          <w:p w14:paraId="13D7FD00" w14:textId="534624CD" w:rsidR="003D21C9" w:rsidRPr="00DB2E7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56.25%</w:t>
            </w:r>
          </w:p>
        </w:tc>
        <w:tc>
          <w:tcPr>
            <w:tcW w:w="933" w:type="dxa"/>
            <w:noWrap/>
            <w:vAlign w:val="top"/>
          </w:tcPr>
          <w:p w14:paraId="6011A82A" w14:textId="103F8502" w:rsidR="003D21C9" w:rsidRPr="00257FC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b/>
                <w:bCs/>
                <w:color w:val="000000"/>
                <w:sz w:val="18"/>
                <w:szCs w:val="18"/>
              </w:rPr>
            </w:pPr>
            <w:r w:rsidRPr="007E1773">
              <w:rPr>
                <w:rFonts w:cs="Calibri"/>
                <w:b/>
                <w:bCs/>
                <w:color w:val="000000"/>
                <w:sz w:val="18"/>
                <w:szCs w:val="18"/>
              </w:rPr>
              <w:t>47.46%</w:t>
            </w:r>
          </w:p>
        </w:tc>
      </w:tr>
      <w:tr w:rsidR="003D21C9" w:rsidRPr="00F36D19" w14:paraId="2AE766D1" w14:textId="77777777" w:rsidTr="005535B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81D019C" w14:textId="77777777" w:rsidR="003D21C9" w:rsidRPr="00F36D19" w:rsidRDefault="003D21C9" w:rsidP="003D21C9">
            <w:pPr>
              <w:jc w:val="center"/>
              <w:rPr>
                <w:rFonts w:eastAsia="Times New Roman" w:cstheme="minorHAnsi"/>
                <w:b w:val="0"/>
                <w:bCs w:val="0"/>
                <w:color w:val="000000"/>
                <w:sz w:val="18"/>
                <w:szCs w:val="18"/>
              </w:rPr>
            </w:pPr>
            <w:r w:rsidRPr="00F36D19">
              <w:rPr>
                <w:rFonts w:eastAsia="Times New Roman" w:cstheme="minorHAnsi"/>
                <w:color w:val="000000"/>
                <w:sz w:val="18"/>
                <w:szCs w:val="18"/>
              </w:rPr>
              <w:t>6</w:t>
            </w:r>
          </w:p>
        </w:tc>
        <w:tc>
          <w:tcPr>
            <w:tcW w:w="0" w:type="auto"/>
            <w:noWrap/>
            <w:hideMark/>
          </w:tcPr>
          <w:p w14:paraId="2BD3799E" w14:textId="77777777" w:rsidR="003D21C9" w:rsidRPr="00F36D19" w:rsidRDefault="003D21C9" w:rsidP="003D21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 w:val="18"/>
                <w:szCs w:val="18"/>
              </w:rPr>
            </w:pPr>
            <w:r w:rsidRPr="00F36D19">
              <w:rPr>
                <w:rFonts w:eastAsia="Times New Roman" w:cstheme="minorHAnsi"/>
                <w:b/>
                <w:bCs/>
                <w:color w:val="000000"/>
                <w:sz w:val="18"/>
                <w:szCs w:val="18"/>
              </w:rPr>
              <w:t>Otros activos subestación</w:t>
            </w:r>
          </w:p>
        </w:tc>
        <w:tc>
          <w:tcPr>
            <w:tcW w:w="1006" w:type="dxa"/>
            <w:shd w:val="clear" w:color="auto" w:fill="BFBFBF" w:themeFill="background1" w:themeFillShade="BF"/>
            <w:noWrap/>
          </w:tcPr>
          <w:p w14:paraId="6AED61DC" w14:textId="77777777" w:rsidR="003D21C9" w:rsidRPr="00F36D19" w:rsidRDefault="003D21C9" w:rsidP="003D21C9">
            <w:pPr>
              <w:pStyle w:val="Sinespaciado"/>
              <w:jc w:val="center"/>
              <w:cnfStyle w:val="000000010000" w:firstRow="0" w:lastRow="0" w:firstColumn="0" w:lastColumn="0" w:oddVBand="0" w:evenVBand="0" w:oddHBand="0" w:evenHBand="1" w:firstRowFirstColumn="0" w:firstRowLastColumn="0" w:lastRowFirstColumn="0" w:lastRowLastColumn="0"/>
              <w:rPr>
                <w:sz w:val="18"/>
                <w:szCs w:val="18"/>
              </w:rPr>
            </w:pPr>
            <w:r w:rsidRPr="00F36D19">
              <w:rPr>
                <w:sz w:val="18"/>
                <w:szCs w:val="18"/>
              </w:rPr>
              <w:t>-</w:t>
            </w:r>
          </w:p>
        </w:tc>
        <w:tc>
          <w:tcPr>
            <w:tcW w:w="1006" w:type="dxa"/>
            <w:noWrap/>
            <w:vAlign w:val="top"/>
          </w:tcPr>
          <w:p w14:paraId="2FD02F5B" w14:textId="4AB77D99" w:rsidR="003D21C9" w:rsidRPr="00DB2E7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110.00%</w:t>
            </w:r>
          </w:p>
        </w:tc>
        <w:tc>
          <w:tcPr>
            <w:tcW w:w="1006" w:type="dxa"/>
            <w:noWrap/>
            <w:vAlign w:val="top"/>
          </w:tcPr>
          <w:p w14:paraId="60B58867" w14:textId="3B50EDD6" w:rsidR="003D21C9" w:rsidRPr="00DB2E7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110.00%</w:t>
            </w:r>
          </w:p>
        </w:tc>
        <w:tc>
          <w:tcPr>
            <w:tcW w:w="1006" w:type="dxa"/>
            <w:noWrap/>
            <w:vAlign w:val="top"/>
          </w:tcPr>
          <w:p w14:paraId="2F3EC929" w14:textId="7733C8C2" w:rsidR="003D21C9" w:rsidRPr="00DB2E7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302.34%</w:t>
            </w:r>
          </w:p>
        </w:tc>
        <w:tc>
          <w:tcPr>
            <w:tcW w:w="933" w:type="dxa"/>
            <w:noWrap/>
            <w:vAlign w:val="top"/>
          </w:tcPr>
          <w:p w14:paraId="16B7F965" w14:textId="422843AC" w:rsidR="003D21C9" w:rsidRPr="00257FC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b/>
                <w:bCs/>
                <w:color w:val="000000"/>
                <w:sz w:val="18"/>
                <w:szCs w:val="18"/>
              </w:rPr>
            </w:pPr>
            <w:r w:rsidRPr="007E1773">
              <w:rPr>
                <w:rFonts w:cs="Calibri"/>
                <w:b/>
                <w:bCs/>
                <w:color w:val="000000"/>
                <w:sz w:val="18"/>
                <w:szCs w:val="18"/>
              </w:rPr>
              <w:t>210.16%</w:t>
            </w:r>
          </w:p>
        </w:tc>
      </w:tr>
      <w:tr w:rsidR="003D21C9" w:rsidRPr="00F36D19" w14:paraId="05C78DDF" w14:textId="77777777" w:rsidTr="005535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0A603293" w14:textId="77777777" w:rsidR="003D21C9" w:rsidRPr="00F36D19" w:rsidRDefault="003D21C9" w:rsidP="003D21C9">
            <w:pPr>
              <w:jc w:val="center"/>
              <w:rPr>
                <w:rFonts w:eastAsia="Times New Roman" w:cstheme="minorHAnsi"/>
                <w:b w:val="0"/>
                <w:bCs w:val="0"/>
                <w:color w:val="000000"/>
                <w:sz w:val="18"/>
                <w:szCs w:val="18"/>
              </w:rPr>
            </w:pPr>
            <w:r w:rsidRPr="00F36D19">
              <w:rPr>
                <w:rFonts w:eastAsia="Times New Roman" w:cstheme="minorHAnsi"/>
                <w:color w:val="000000"/>
                <w:sz w:val="18"/>
                <w:szCs w:val="18"/>
              </w:rPr>
              <w:t>7</w:t>
            </w:r>
          </w:p>
        </w:tc>
        <w:tc>
          <w:tcPr>
            <w:tcW w:w="0" w:type="auto"/>
            <w:noWrap/>
            <w:hideMark/>
          </w:tcPr>
          <w:p w14:paraId="2780F24B" w14:textId="77777777" w:rsidR="003D21C9" w:rsidRPr="00F36D19" w:rsidRDefault="003D21C9" w:rsidP="003D21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F36D19">
              <w:rPr>
                <w:rFonts w:eastAsia="Times New Roman" w:cstheme="minorHAnsi"/>
                <w:b/>
                <w:bCs/>
                <w:color w:val="000000"/>
                <w:sz w:val="18"/>
                <w:szCs w:val="18"/>
              </w:rPr>
              <w:t>Líneas aéreas</w:t>
            </w:r>
          </w:p>
        </w:tc>
        <w:tc>
          <w:tcPr>
            <w:tcW w:w="1006" w:type="dxa"/>
            <w:shd w:val="clear" w:color="auto" w:fill="BFBFBF" w:themeFill="background1" w:themeFillShade="BF"/>
            <w:noWrap/>
          </w:tcPr>
          <w:p w14:paraId="18DBE643" w14:textId="77777777" w:rsidR="003D21C9" w:rsidRPr="00F36D19" w:rsidRDefault="003D21C9" w:rsidP="003D21C9">
            <w:pPr>
              <w:pStyle w:val="Sinespaciado"/>
              <w:jc w:val="center"/>
              <w:cnfStyle w:val="000000100000" w:firstRow="0" w:lastRow="0" w:firstColumn="0" w:lastColumn="0" w:oddVBand="0" w:evenVBand="0" w:oddHBand="1" w:evenHBand="0" w:firstRowFirstColumn="0" w:firstRowLastColumn="0" w:lastRowFirstColumn="0" w:lastRowLastColumn="0"/>
              <w:rPr>
                <w:sz w:val="18"/>
                <w:szCs w:val="18"/>
              </w:rPr>
            </w:pPr>
            <w:r w:rsidRPr="00F36D19">
              <w:rPr>
                <w:sz w:val="18"/>
                <w:szCs w:val="18"/>
              </w:rPr>
              <w:t>-</w:t>
            </w:r>
          </w:p>
        </w:tc>
        <w:tc>
          <w:tcPr>
            <w:tcW w:w="1006" w:type="dxa"/>
            <w:noWrap/>
            <w:vAlign w:val="top"/>
          </w:tcPr>
          <w:p w14:paraId="471D68F6" w14:textId="2E0E4DBB" w:rsidR="003D21C9" w:rsidRPr="00DB2E7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110.00%</w:t>
            </w:r>
          </w:p>
        </w:tc>
        <w:tc>
          <w:tcPr>
            <w:tcW w:w="1006" w:type="dxa"/>
            <w:noWrap/>
            <w:vAlign w:val="top"/>
          </w:tcPr>
          <w:p w14:paraId="4E50904A" w14:textId="487249F7" w:rsidR="003D21C9" w:rsidRPr="00DB2E7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55.72%</w:t>
            </w:r>
          </w:p>
        </w:tc>
        <w:tc>
          <w:tcPr>
            <w:tcW w:w="1006" w:type="dxa"/>
            <w:noWrap/>
            <w:vAlign w:val="top"/>
          </w:tcPr>
          <w:p w14:paraId="03BC4872" w14:textId="424BD84E" w:rsidR="003D21C9" w:rsidRPr="00DB2E7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2.77%</w:t>
            </w:r>
          </w:p>
        </w:tc>
        <w:tc>
          <w:tcPr>
            <w:tcW w:w="933" w:type="dxa"/>
            <w:noWrap/>
            <w:vAlign w:val="top"/>
          </w:tcPr>
          <w:p w14:paraId="6933DD8E" w14:textId="592C1CE5" w:rsidR="003D21C9" w:rsidRPr="00257FC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b/>
                <w:bCs/>
                <w:color w:val="000000"/>
                <w:sz w:val="18"/>
                <w:szCs w:val="18"/>
              </w:rPr>
            </w:pPr>
            <w:r w:rsidRPr="007E1773">
              <w:rPr>
                <w:rFonts w:cs="Calibri"/>
                <w:b/>
                <w:bCs/>
                <w:color w:val="000000"/>
                <w:sz w:val="18"/>
                <w:szCs w:val="18"/>
              </w:rPr>
              <w:t>85.63%</w:t>
            </w:r>
          </w:p>
        </w:tc>
      </w:tr>
      <w:tr w:rsidR="003D21C9" w:rsidRPr="00F36D19" w14:paraId="08D00118" w14:textId="77777777" w:rsidTr="005535B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39A4C19" w14:textId="77777777" w:rsidR="003D21C9" w:rsidRPr="00F36D19" w:rsidRDefault="003D21C9" w:rsidP="003D21C9">
            <w:pPr>
              <w:jc w:val="center"/>
              <w:rPr>
                <w:rFonts w:eastAsia="Times New Roman" w:cstheme="minorHAnsi"/>
                <w:b w:val="0"/>
                <w:bCs w:val="0"/>
                <w:color w:val="000000"/>
                <w:sz w:val="18"/>
                <w:szCs w:val="18"/>
              </w:rPr>
            </w:pPr>
            <w:r w:rsidRPr="00F36D19">
              <w:rPr>
                <w:rFonts w:eastAsia="Times New Roman" w:cstheme="minorHAnsi"/>
                <w:color w:val="000000"/>
                <w:sz w:val="18"/>
                <w:szCs w:val="18"/>
              </w:rPr>
              <w:t>8</w:t>
            </w:r>
          </w:p>
        </w:tc>
        <w:tc>
          <w:tcPr>
            <w:tcW w:w="0" w:type="auto"/>
            <w:noWrap/>
            <w:hideMark/>
          </w:tcPr>
          <w:p w14:paraId="61663BBD" w14:textId="77777777" w:rsidR="003D21C9" w:rsidRPr="00F36D19" w:rsidRDefault="003D21C9" w:rsidP="003D21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 w:val="18"/>
                <w:szCs w:val="18"/>
              </w:rPr>
            </w:pPr>
            <w:r w:rsidRPr="00F36D19">
              <w:rPr>
                <w:rFonts w:eastAsia="Times New Roman" w:cstheme="minorHAnsi"/>
                <w:b/>
                <w:bCs/>
                <w:color w:val="000000"/>
                <w:sz w:val="18"/>
                <w:szCs w:val="18"/>
              </w:rPr>
              <w:t>Líneas subterráneas</w:t>
            </w:r>
          </w:p>
        </w:tc>
        <w:tc>
          <w:tcPr>
            <w:tcW w:w="1006" w:type="dxa"/>
            <w:shd w:val="clear" w:color="auto" w:fill="BFBFBF" w:themeFill="background1" w:themeFillShade="BF"/>
            <w:noWrap/>
          </w:tcPr>
          <w:p w14:paraId="2A0EA7A4" w14:textId="77777777" w:rsidR="003D21C9" w:rsidRPr="00F36D19" w:rsidRDefault="003D21C9" w:rsidP="003D21C9">
            <w:pPr>
              <w:pStyle w:val="Sinespaciado"/>
              <w:jc w:val="center"/>
              <w:cnfStyle w:val="000000010000" w:firstRow="0" w:lastRow="0" w:firstColumn="0" w:lastColumn="0" w:oddVBand="0" w:evenVBand="0" w:oddHBand="0" w:evenHBand="1" w:firstRowFirstColumn="0" w:firstRowLastColumn="0" w:lastRowFirstColumn="0" w:lastRowLastColumn="0"/>
              <w:rPr>
                <w:sz w:val="18"/>
                <w:szCs w:val="18"/>
              </w:rPr>
            </w:pPr>
            <w:r w:rsidRPr="00F36D19">
              <w:rPr>
                <w:sz w:val="18"/>
                <w:szCs w:val="18"/>
              </w:rPr>
              <w:t>-</w:t>
            </w:r>
          </w:p>
        </w:tc>
        <w:tc>
          <w:tcPr>
            <w:tcW w:w="1006" w:type="dxa"/>
            <w:noWrap/>
            <w:vAlign w:val="top"/>
          </w:tcPr>
          <w:p w14:paraId="0F41FA39" w14:textId="33E3849B" w:rsidR="003D21C9" w:rsidRPr="00DB2E7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110.00%</w:t>
            </w:r>
          </w:p>
        </w:tc>
        <w:tc>
          <w:tcPr>
            <w:tcW w:w="1006" w:type="dxa"/>
            <w:noWrap/>
            <w:vAlign w:val="top"/>
          </w:tcPr>
          <w:p w14:paraId="712926A9" w14:textId="1E12912B" w:rsidR="003D21C9" w:rsidRPr="00DB2E7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98.75%</w:t>
            </w:r>
          </w:p>
        </w:tc>
        <w:tc>
          <w:tcPr>
            <w:tcW w:w="1006" w:type="dxa"/>
            <w:noWrap/>
            <w:vAlign w:val="top"/>
          </w:tcPr>
          <w:p w14:paraId="52BD05F3" w14:textId="4C785EC5" w:rsidR="003D21C9" w:rsidRPr="00DB2E7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0.00%</w:t>
            </w:r>
          </w:p>
        </w:tc>
        <w:tc>
          <w:tcPr>
            <w:tcW w:w="933" w:type="dxa"/>
            <w:noWrap/>
            <w:vAlign w:val="top"/>
          </w:tcPr>
          <w:p w14:paraId="389A0C20" w14:textId="777E35EF" w:rsidR="003D21C9" w:rsidRPr="00257FC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b/>
                <w:bCs/>
                <w:color w:val="000000"/>
                <w:sz w:val="18"/>
                <w:szCs w:val="18"/>
              </w:rPr>
            </w:pPr>
            <w:r w:rsidRPr="007E1773">
              <w:rPr>
                <w:rFonts w:cs="Calibri"/>
                <w:b/>
                <w:bCs/>
                <w:color w:val="000000"/>
                <w:sz w:val="18"/>
                <w:szCs w:val="18"/>
              </w:rPr>
              <w:t>107.54%</w:t>
            </w:r>
          </w:p>
        </w:tc>
      </w:tr>
      <w:tr w:rsidR="003D21C9" w:rsidRPr="00F36D19" w14:paraId="59ED052A" w14:textId="77777777" w:rsidTr="005535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EC6A48D" w14:textId="77777777" w:rsidR="003D21C9" w:rsidRPr="00F36D19" w:rsidRDefault="003D21C9" w:rsidP="003D21C9">
            <w:pPr>
              <w:jc w:val="center"/>
              <w:rPr>
                <w:rFonts w:eastAsia="Times New Roman" w:cstheme="minorHAnsi"/>
                <w:b w:val="0"/>
                <w:bCs w:val="0"/>
                <w:color w:val="000000"/>
                <w:sz w:val="18"/>
                <w:szCs w:val="18"/>
              </w:rPr>
            </w:pPr>
            <w:r w:rsidRPr="00F36D19">
              <w:rPr>
                <w:rFonts w:eastAsia="Times New Roman" w:cstheme="minorHAnsi"/>
                <w:color w:val="000000"/>
                <w:sz w:val="18"/>
                <w:szCs w:val="18"/>
              </w:rPr>
              <w:t>9</w:t>
            </w:r>
          </w:p>
        </w:tc>
        <w:tc>
          <w:tcPr>
            <w:tcW w:w="0" w:type="auto"/>
            <w:noWrap/>
            <w:hideMark/>
          </w:tcPr>
          <w:p w14:paraId="15A37CDB" w14:textId="77777777" w:rsidR="003D21C9" w:rsidRPr="00F36D19" w:rsidRDefault="003D21C9" w:rsidP="003D21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F36D19">
              <w:rPr>
                <w:rFonts w:eastAsia="Times New Roman" w:cstheme="minorHAnsi"/>
                <w:b/>
                <w:bCs/>
                <w:color w:val="000000"/>
                <w:sz w:val="18"/>
                <w:szCs w:val="18"/>
              </w:rPr>
              <w:t>Equipos de línea</w:t>
            </w:r>
          </w:p>
        </w:tc>
        <w:tc>
          <w:tcPr>
            <w:tcW w:w="1006" w:type="dxa"/>
            <w:shd w:val="clear" w:color="auto" w:fill="BFBFBF" w:themeFill="background1" w:themeFillShade="BF"/>
            <w:noWrap/>
          </w:tcPr>
          <w:p w14:paraId="3BF9A9E9" w14:textId="77777777" w:rsidR="003D21C9" w:rsidRPr="00F36D19" w:rsidRDefault="003D21C9" w:rsidP="003D21C9">
            <w:pPr>
              <w:pStyle w:val="Sinespaciado"/>
              <w:jc w:val="center"/>
              <w:cnfStyle w:val="000000100000" w:firstRow="0" w:lastRow="0" w:firstColumn="0" w:lastColumn="0" w:oddVBand="0" w:evenVBand="0" w:oddHBand="1" w:evenHBand="0" w:firstRowFirstColumn="0" w:firstRowLastColumn="0" w:lastRowFirstColumn="0" w:lastRowLastColumn="0"/>
              <w:rPr>
                <w:sz w:val="18"/>
                <w:szCs w:val="18"/>
              </w:rPr>
            </w:pPr>
            <w:r w:rsidRPr="00F36D19">
              <w:rPr>
                <w:sz w:val="18"/>
                <w:szCs w:val="18"/>
              </w:rPr>
              <w:t>-</w:t>
            </w:r>
          </w:p>
        </w:tc>
        <w:tc>
          <w:tcPr>
            <w:tcW w:w="1006" w:type="dxa"/>
            <w:noWrap/>
            <w:vAlign w:val="top"/>
          </w:tcPr>
          <w:p w14:paraId="73F82D01" w14:textId="01178FB1" w:rsidR="003D21C9" w:rsidRPr="00DB2E7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110.00%</w:t>
            </w:r>
          </w:p>
        </w:tc>
        <w:tc>
          <w:tcPr>
            <w:tcW w:w="1006" w:type="dxa"/>
            <w:noWrap/>
            <w:vAlign w:val="top"/>
          </w:tcPr>
          <w:p w14:paraId="12E365A5" w14:textId="49C1F3A4" w:rsidR="003D21C9" w:rsidRPr="00DB2E7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76.66%</w:t>
            </w:r>
          </w:p>
        </w:tc>
        <w:tc>
          <w:tcPr>
            <w:tcW w:w="1006" w:type="dxa"/>
            <w:noWrap/>
            <w:vAlign w:val="top"/>
          </w:tcPr>
          <w:p w14:paraId="38BF1C2C" w14:textId="4B778FFD" w:rsidR="003D21C9" w:rsidRPr="00DB2E7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0.00%</w:t>
            </w:r>
          </w:p>
        </w:tc>
        <w:tc>
          <w:tcPr>
            <w:tcW w:w="933" w:type="dxa"/>
            <w:noWrap/>
            <w:vAlign w:val="top"/>
          </w:tcPr>
          <w:p w14:paraId="16A8846D" w14:textId="4193101F" w:rsidR="003D21C9" w:rsidRPr="00257FC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b/>
                <w:bCs/>
                <w:color w:val="000000"/>
                <w:sz w:val="18"/>
                <w:szCs w:val="18"/>
              </w:rPr>
            </w:pPr>
            <w:r w:rsidRPr="007E1773">
              <w:rPr>
                <w:rFonts w:cs="Calibri"/>
                <w:b/>
                <w:bCs/>
                <w:color w:val="000000"/>
                <w:sz w:val="18"/>
                <w:szCs w:val="18"/>
              </w:rPr>
              <w:t>105.90%</w:t>
            </w:r>
          </w:p>
        </w:tc>
      </w:tr>
      <w:tr w:rsidR="003D21C9" w:rsidRPr="00F36D19" w14:paraId="49D5EA30" w14:textId="77777777" w:rsidTr="005535B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4EC059B" w14:textId="77777777" w:rsidR="003D21C9" w:rsidRPr="00F36D19" w:rsidRDefault="003D21C9" w:rsidP="003D21C9">
            <w:pPr>
              <w:jc w:val="center"/>
              <w:rPr>
                <w:rFonts w:eastAsia="Times New Roman" w:cstheme="minorHAnsi"/>
                <w:b w:val="0"/>
                <w:bCs w:val="0"/>
                <w:color w:val="000000"/>
                <w:sz w:val="18"/>
                <w:szCs w:val="18"/>
              </w:rPr>
            </w:pPr>
            <w:r w:rsidRPr="00F36D19">
              <w:rPr>
                <w:rFonts w:eastAsia="Times New Roman" w:cstheme="minorHAnsi"/>
                <w:color w:val="000000"/>
                <w:sz w:val="18"/>
                <w:szCs w:val="18"/>
              </w:rPr>
              <w:t>10</w:t>
            </w:r>
          </w:p>
        </w:tc>
        <w:tc>
          <w:tcPr>
            <w:tcW w:w="0" w:type="auto"/>
            <w:noWrap/>
            <w:hideMark/>
          </w:tcPr>
          <w:p w14:paraId="1D9FF3FC" w14:textId="77777777" w:rsidR="003D21C9" w:rsidRPr="00F36D19" w:rsidRDefault="003D21C9" w:rsidP="003D21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 w:val="18"/>
                <w:szCs w:val="18"/>
              </w:rPr>
            </w:pPr>
            <w:r w:rsidRPr="00F36D19">
              <w:rPr>
                <w:rFonts w:eastAsia="Times New Roman" w:cstheme="minorHAnsi"/>
                <w:b/>
                <w:bCs/>
                <w:color w:val="000000"/>
                <w:sz w:val="18"/>
                <w:szCs w:val="18"/>
              </w:rPr>
              <w:t>Centro de control</w:t>
            </w:r>
          </w:p>
        </w:tc>
        <w:tc>
          <w:tcPr>
            <w:tcW w:w="1006" w:type="dxa"/>
            <w:shd w:val="clear" w:color="auto" w:fill="BFBFBF" w:themeFill="background1" w:themeFillShade="BF"/>
            <w:noWrap/>
          </w:tcPr>
          <w:p w14:paraId="1C5FDAF3" w14:textId="77777777" w:rsidR="003D21C9" w:rsidRPr="00F36D19" w:rsidRDefault="003D21C9" w:rsidP="003D21C9">
            <w:pPr>
              <w:pStyle w:val="Sinespaciado"/>
              <w:jc w:val="center"/>
              <w:cnfStyle w:val="000000010000" w:firstRow="0" w:lastRow="0" w:firstColumn="0" w:lastColumn="0" w:oddVBand="0" w:evenVBand="0" w:oddHBand="0" w:evenHBand="1" w:firstRowFirstColumn="0" w:firstRowLastColumn="0" w:lastRowFirstColumn="0" w:lastRowLastColumn="0"/>
              <w:rPr>
                <w:sz w:val="18"/>
                <w:szCs w:val="18"/>
              </w:rPr>
            </w:pPr>
            <w:r w:rsidRPr="00F36D19">
              <w:rPr>
                <w:sz w:val="18"/>
                <w:szCs w:val="18"/>
              </w:rPr>
              <w:t>-</w:t>
            </w:r>
          </w:p>
        </w:tc>
        <w:tc>
          <w:tcPr>
            <w:tcW w:w="1006" w:type="dxa"/>
            <w:noWrap/>
            <w:vAlign w:val="top"/>
          </w:tcPr>
          <w:p w14:paraId="245F4BEF" w14:textId="3C545B92" w:rsidR="003D21C9" w:rsidRPr="00DB2E7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108.13%</w:t>
            </w:r>
          </w:p>
        </w:tc>
        <w:tc>
          <w:tcPr>
            <w:tcW w:w="1006" w:type="dxa"/>
            <w:noWrap/>
            <w:vAlign w:val="top"/>
          </w:tcPr>
          <w:p w14:paraId="76F0D761" w14:textId="6D08193D" w:rsidR="003D21C9" w:rsidRPr="00DB2E7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108.13%</w:t>
            </w:r>
          </w:p>
        </w:tc>
        <w:tc>
          <w:tcPr>
            <w:tcW w:w="1006" w:type="dxa"/>
            <w:noWrap/>
            <w:vAlign w:val="top"/>
          </w:tcPr>
          <w:p w14:paraId="10838FFD" w14:textId="3F1811BA" w:rsidR="003D21C9" w:rsidRPr="00DB2E7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108.13%</w:t>
            </w:r>
          </w:p>
        </w:tc>
        <w:tc>
          <w:tcPr>
            <w:tcW w:w="933" w:type="dxa"/>
            <w:noWrap/>
            <w:vAlign w:val="top"/>
          </w:tcPr>
          <w:p w14:paraId="2237982E" w14:textId="0A05F92E" w:rsidR="003D21C9" w:rsidRPr="00257FC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b/>
                <w:bCs/>
                <w:color w:val="000000"/>
                <w:sz w:val="18"/>
                <w:szCs w:val="18"/>
              </w:rPr>
            </w:pPr>
            <w:r w:rsidRPr="007E1773">
              <w:rPr>
                <w:rFonts w:cs="Calibri"/>
                <w:b/>
                <w:bCs/>
                <w:color w:val="000000"/>
                <w:sz w:val="18"/>
                <w:szCs w:val="18"/>
              </w:rPr>
              <w:t>108.13%</w:t>
            </w:r>
          </w:p>
        </w:tc>
      </w:tr>
      <w:tr w:rsidR="003D21C9" w:rsidRPr="00F36D19" w14:paraId="7BC6AE74" w14:textId="77777777" w:rsidTr="005535B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E86063C" w14:textId="77777777" w:rsidR="003D21C9" w:rsidRPr="00F36D19" w:rsidRDefault="003D21C9" w:rsidP="003D21C9">
            <w:pPr>
              <w:jc w:val="center"/>
              <w:rPr>
                <w:rFonts w:eastAsia="Times New Roman" w:cstheme="minorHAnsi"/>
                <w:b w:val="0"/>
                <w:bCs w:val="0"/>
                <w:color w:val="000000"/>
                <w:sz w:val="18"/>
                <w:szCs w:val="18"/>
              </w:rPr>
            </w:pPr>
            <w:r w:rsidRPr="00F36D19">
              <w:rPr>
                <w:rFonts w:eastAsia="Times New Roman" w:cstheme="minorHAnsi"/>
                <w:color w:val="000000"/>
                <w:sz w:val="18"/>
                <w:szCs w:val="18"/>
              </w:rPr>
              <w:t>11</w:t>
            </w:r>
          </w:p>
        </w:tc>
        <w:tc>
          <w:tcPr>
            <w:tcW w:w="0" w:type="auto"/>
            <w:noWrap/>
            <w:hideMark/>
          </w:tcPr>
          <w:p w14:paraId="66A9FA9F" w14:textId="77777777" w:rsidR="003D21C9" w:rsidRPr="00F36D19" w:rsidRDefault="003D21C9" w:rsidP="003D21C9">
            <w:pPr>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F36D19">
              <w:rPr>
                <w:rFonts w:eastAsia="Times New Roman" w:cstheme="minorHAnsi"/>
                <w:b/>
                <w:bCs/>
                <w:color w:val="000000"/>
                <w:sz w:val="18"/>
                <w:szCs w:val="18"/>
              </w:rPr>
              <w:t xml:space="preserve">Transformadores de distribución </w:t>
            </w:r>
          </w:p>
        </w:tc>
        <w:tc>
          <w:tcPr>
            <w:tcW w:w="1006" w:type="dxa"/>
            <w:noWrap/>
          </w:tcPr>
          <w:p w14:paraId="220082E6" w14:textId="749B9221" w:rsidR="003D21C9" w:rsidRPr="00F36D19" w:rsidRDefault="003D21C9" w:rsidP="003D21C9">
            <w:pPr>
              <w:pStyle w:val="Sinespaciado"/>
              <w:cnfStyle w:val="000000100000" w:firstRow="0" w:lastRow="0" w:firstColumn="0" w:lastColumn="0" w:oddVBand="0" w:evenVBand="0" w:oddHBand="1" w:evenHBand="0" w:firstRowFirstColumn="0" w:firstRowLastColumn="0" w:lastRowFirstColumn="0" w:lastRowLastColumn="0"/>
              <w:rPr>
                <w:sz w:val="18"/>
                <w:szCs w:val="18"/>
              </w:rPr>
            </w:pPr>
            <w:r>
              <w:rPr>
                <w:rFonts w:cs="Calibri"/>
                <w:color w:val="000000"/>
                <w:sz w:val="18"/>
                <w:szCs w:val="18"/>
              </w:rPr>
              <w:t>110</w:t>
            </w:r>
            <w:r w:rsidRPr="00F36D19">
              <w:rPr>
                <w:rFonts w:cs="Calibri"/>
                <w:color w:val="000000"/>
                <w:sz w:val="18"/>
                <w:szCs w:val="18"/>
              </w:rPr>
              <w:t>.</w:t>
            </w:r>
            <w:r>
              <w:rPr>
                <w:rFonts w:cs="Calibri"/>
                <w:color w:val="000000"/>
                <w:sz w:val="18"/>
                <w:szCs w:val="18"/>
              </w:rPr>
              <w:t>00</w:t>
            </w:r>
            <w:r w:rsidRPr="00F36D19">
              <w:rPr>
                <w:rFonts w:cs="Calibri"/>
                <w:color w:val="000000"/>
                <w:sz w:val="18"/>
                <w:szCs w:val="18"/>
              </w:rPr>
              <w:t>%</w:t>
            </w:r>
          </w:p>
        </w:tc>
        <w:tc>
          <w:tcPr>
            <w:tcW w:w="1006" w:type="dxa"/>
            <w:shd w:val="clear" w:color="auto" w:fill="BFBFBF" w:themeFill="background1" w:themeFillShade="BF"/>
            <w:noWrap/>
          </w:tcPr>
          <w:p w14:paraId="08AA82EE" w14:textId="77777777" w:rsidR="003D21C9" w:rsidRPr="00DB2E71" w:rsidRDefault="003D21C9" w:rsidP="003D21C9">
            <w:pPr>
              <w:pStyle w:val="Sinespaciado"/>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w:t>
            </w:r>
          </w:p>
        </w:tc>
        <w:tc>
          <w:tcPr>
            <w:tcW w:w="1006" w:type="dxa"/>
            <w:shd w:val="clear" w:color="auto" w:fill="BFBFBF" w:themeFill="background1" w:themeFillShade="BF"/>
            <w:noWrap/>
          </w:tcPr>
          <w:p w14:paraId="106DA1FB" w14:textId="77777777" w:rsidR="003D21C9" w:rsidRPr="00DB2E71" w:rsidRDefault="003D21C9" w:rsidP="003D21C9">
            <w:pPr>
              <w:pStyle w:val="Sinespaciado"/>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w:t>
            </w:r>
          </w:p>
        </w:tc>
        <w:tc>
          <w:tcPr>
            <w:tcW w:w="1006" w:type="dxa"/>
            <w:shd w:val="clear" w:color="auto" w:fill="BFBFBF" w:themeFill="background1" w:themeFillShade="BF"/>
            <w:noWrap/>
            <w:vAlign w:val="top"/>
          </w:tcPr>
          <w:p w14:paraId="58EBD287" w14:textId="45FF964F" w:rsidR="003D21C9" w:rsidRPr="00DB2E71" w:rsidRDefault="003D21C9" w:rsidP="003D21C9">
            <w:pPr>
              <w:pStyle w:val="Sinespaciado"/>
              <w:jc w:val="center"/>
              <w:cnfStyle w:val="000000100000" w:firstRow="0" w:lastRow="0" w:firstColumn="0" w:lastColumn="0" w:oddVBand="0" w:evenVBand="0" w:oddHBand="1" w:evenHBand="0" w:firstRowFirstColumn="0" w:firstRowLastColumn="0" w:lastRowFirstColumn="0" w:lastRowLastColumn="0"/>
              <w:rPr>
                <w:rFonts w:cs="Calibri"/>
                <w:color w:val="000000"/>
                <w:sz w:val="18"/>
                <w:szCs w:val="18"/>
              </w:rPr>
            </w:pPr>
            <w:r w:rsidRPr="00DB2E71">
              <w:rPr>
                <w:rFonts w:cs="Calibri"/>
                <w:color w:val="000000"/>
                <w:sz w:val="18"/>
                <w:szCs w:val="18"/>
              </w:rPr>
              <w:t>-</w:t>
            </w:r>
          </w:p>
        </w:tc>
        <w:tc>
          <w:tcPr>
            <w:tcW w:w="933" w:type="dxa"/>
            <w:noWrap/>
            <w:vAlign w:val="top"/>
          </w:tcPr>
          <w:p w14:paraId="69F875A8" w14:textId="67CC21AB" w:rsidR="003D21C9" w:rsidRPr="00257FC1" w:rsidRDefault="003D21C9" w:rsidP="003D21C9">
            <w:pPr>
              <w:pStyle w:val="Sinespaciado"/>
              <w:cnfStyle w:val="000000100000" w:firstRow="0" w:lastRow="0" w:firstColumn="0" w:lastColumn="0" w:oddVBand="0" w:evenVBand="0" w:oddHBand="1" w:evenHBand="0" w:firstRowFirstColumn="0" w:firstRowLastColumn="0" w:lastRowFirstColumn="0" w:lastRowLastColumn="0"/>
              <w:rPr>
                <w:rFonts w:cs="Calibri"/>
                <w:b/>
                <w:bCs/>
                <w:color w:val="000000"/>
                <w:sz w:val="18"/>
                <w:szCs w:val="18"/>
              </w:rPr>
            </w:pPr>
            <w:r w:rsidRPr="007E1773">
              <w:rPr>
                <w:rFonts w:cs="Calibri"/>
                <w:b/>
                <w:bCs/>
                <w:color w:val="000000"/>
                <w:sz w:val="18"/>
                <w:szCs w:val="18"/>
              </w:rPr>
              <w:t>110.00%</w:t>
            </w:r>
          </w:p>
        </w:tc>
      </w:tr>
      <w:tr w:rsidR="003D21C9" w:rsidRPr="00F36D19" w14:paraId="0754B9FD" w14:textId="77777777" w:rsidTr="005535B3">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01FA516" w14:textId="77777777" w:rsidR="003D21C9" w:rsidRPr="00F36D19" w:rsidRDefault="003D21C9" w:rsidP="003D21C9">
            <w:pPr>
              <w:jc w:val="center"/>
              <w:rPr>
                <w:rFonts w:eastAsia="Times New Roman" w:cstheme="minorHAnsi"/>
                <w:b w:val="0"/>
                <w:bCs w:val="0"/>
                <w:color w:val="000000"/>
                <w:sz w:val="18"/>
                <w:szCs w:val="18"/>
              </w:rPr>
            </w:pPr>
            <w:r w:rsidRPr="00F36D19">
              <w:rPr>
                <w:rFonts w:eastAsia="Times New Roman" w:cstheme="minorHAnsi"/>
                <w:color w:val="000000"/>
                <w:sz w:val="18"/>
                <w:szCs w:val="18"/>
              </w:rPr>
              <w:t>12</w:t>
            </w:r>
          </w:p>
        </w:tc>
        <w:tc>
          <w:tcPr>
            <w:tcW w:w="0" w:type="auto"/>
            <w:noWrap/>
            <w:hideMark/>
          </w:tcPr>
          <w:p w14:paraId="290CE3BB" w14:textId="77777777" w:rsidR="003D21C9" w:rsidRPr="00F36D19" w:rsidRDefault="003D21C9" w:rsidP="003D21C9">
            <w:pPr>
              <w:jc w:val="left"/>
              <w:cnfStyle w:val="000000010000" w:firstRow="0" w:lastRow="0" w:firstColumn="0" w:lastColumn="0" w:oddVBand="0" w:evenVBand="0" w:oddHBand="0" w:evenHBand="1" w:firstRowFirstColumn="0" w:firstRowLastColumn="0" w:lastRowFirstColumn="0" w:lastRowLastColumn="0"/>
              <w:rPr>
                <w:rFonts w:eastAsia="Times New Roman" w:cstheme="minorHAnsi"/>
                <w:b/>
                <w:bCs/>
                <w:color w:val="000000"/>
                <w:sz w:val="18"/>
                <w:szCs w:val="18"/>
              </w:rPr>
            </w:pPr>
            <w:r w:rsidRPr="00F36D19">
              <w:rPr>
                <w:rFonts w:eastAsia="Times New Roman" w:cstheme="minorHAnsi"/>
                <w:b/>
                <w:bCs/>
                <w:color w:val="000000"/>
                <w:sz w:val="18"/>
                <w:szCs w:val="18"/>
              </w:rPr>
              <w:t>Redes de distribución</w:t>
            </w:r>
          </w:p>
        </w:tc>
        <w:tc>
          <w:tcPr>
            <w:tcW w:w="1006" w:type="dxa"/>
            <w:noWrap/>
          </w:tcPr>
          <w:p w14:paraId="6E895340" w14:textId="6CAABBCC" w:rsidR="003D21C9" w:rsidRPr="00F36D19" w:rsidRDefault="003D21C9" w:rsidP="003D21C9">
            <w:pPr>
              <w:pStyle w:val="Sinespaciado"/>
              <w:cnfStyle w:val="000000010000" w:firstRow="0" w:lastRow="0" w:firstColumn="0" w:lastColumn="0" w:oddVBand="0" w:evenVBand="0" w:oddHBand="0" w:evenHBand="1" w:firstRowFirstColumn="0" w:firstRowLastColumn="0" w:lastRowFirstColumn="0" w:lastRowLastColumn="0"/>
              <w:rPr>
                <w:sz w:val="18"/>
                <w:szCs w:val="18"/>
              </w:rPr>
            </w:pPr>
            <w:r w:rsidRPr="00F36D19">
              <w:rPr>
                <w:rFonts w:cs="Calibri"/>
                <w:color w:val="000000"/>
                <w:sz w:val="18"/>
                <w:szCs w:val="18"/>
              </w:rPr>
              <w:t>110.00%</w:t>
            </w:r>
          </w:p>
        </w:tc>
        <w:tc>
          <w:tcPr>
            <w:tcW w:w="1006" w:type="dxa"/>
            <w:shd w:val="clear" w:color="auto" w:fill="BFBFBF" w:themeFill="background1" w:themeFillShade="BF"/>
            <w:noWrap/>
          </w:tcPr>
          <w:p w14:paraId="254BA1AF" w14:textId="77777777" w:rsidR="003D21C9" w:rsidRPr="00DB2E71" w:rsidRDefault="003D21C9" w:rsidP="003D21C9">
            <w:pPr>
              <w:pStyle w:val="Sinespaciado"/>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w:t>
            </w:r>
          </w:p>
        </w:tc>
        <w:tc>
          <w:tcPr>
            <w:tcW w:w="1006" w:type="dxa"/>
            <w:shd w:val="clear" w:color="auto" w:fill="BFBFBF" w:themeFill="background1" w:themeFillShade="BF"/>
            <w:noWrap/>
          </w:tcPr>
          <w:p w14:paraId="61866B8C" w14:textId="77777777" w:rsidR="003D21C9" w:rsidRPr="00DB2E71" w:rsidRDefault="003D21C9" w:rsidP="003D21C9">
            <w:pPr>
              <w:pStyle w:val="Sinespaciado"/>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w:t>
            </w:r>
          </w:p>
        </w:tc>
        <w:tc>
          <w:tcPr>
            <w:tcW w:w="1006" w:type="dxa"/>
            <w:shd w:val="clear" w:color="auto" w:fill="BFBFBF" w:themeFill="background1" w:themeFillShade="BF"/>
            <w:noWrap/>
          </w:tcPr>
          <w:p w14:paraId="7CD8C3CE" w14:textId="77777777" w:rsidR="003D21C9" w:rsidRPr="00DB2E71" w:rsidRDefault="003D21C9" w:rsidP="003D21C9">
            <w:pPr>
              <w:pStyle w:val="Sinespaciado"/>
              <w:jc w:val="center"/>
              <w:cnfStyle w:val="000000010000" w:firstRow="0" w:lastRow="0" w:firstColumn="0" w:lastColumn="0" w:oddVBand="0" w:evenVBand="0" w:oddHBand="0" w:evenHBand="1" w:firstRowFirstColumn="0" w:firstRowLastColumn="0" w:lastRowFirstColumn="0" w:lastRowLastColumn="0"/>
              <w:rPr>
                <w:rFonts w:cs="Calibri"/>
                <w:color w:val="000000"/>
                <w:sz w:val="18"/>
                <w:szCs w:val="18"/>
              </w:rPr>
            </w:pPr>
            <w:r w:rsidRPr="00DB2E71">
              <w:rPr>
                <w:rFonts w:cs="Calibri"/>
                <w:color w:val="000000"/>
                <w:sz w:val="18"/>
                <w:szCs w:val="18"/>
              </w:rPr>
              <w:t>-</w:t>
            </w:r>
          </w:p>
        </w:tc>
        <w:tc>
          <w:tcPr>
            <w:tcW w:w="933" w:type="dxa"/>
            <w:noWrap/>
            <w:vAlign w:val="top"/>
          </w:tcPr>
          <w:p w14:paraId="22DCAFE5" w14:textId="044284D3" w:rsidR="003D21C9" w:rsidRPr="00257FC1" w:rsidRDefault="003D21C9" w:rsidP="003D21C9">
            <w:pPr>
              <w:pStyle w:val="Sinespaciado"/>
              <w:cnfStyle w:val="000000010000" w:firstRow="0" w:lastRow="0" w:firstColumn="0" w:lastColumn="0" w:oddVBand="0" w:evenVBand="0" w:oddHBand="0" w:evenHBand="1" w:firstRowFirstColumn="0" w:firstRowLastColumn="0" w:lastRowFirstColumn="0" w:lastRowLastColumn="0"/>
              <w:rPr>
                <w:rFonts w:cs="Calibri"/>
                <w:b/>
                <w:bCs/>
                <w:color w:val="000000"/>
                <w:sz w:val="18"/>
                <w:szCs w:val="18"/>
              </w:rPr>
            </w:pPr>
            <w:r w:rsidRPr="007E1773">
              <w:rPr>
                <w:rFonts w:cs="Calibri"/>
                <w:b/>
                <w:bCs/>
                <w:color w:val="000000"/>
                <w:sz w:val="18"/>
                <w:szCs w:val="18"/>
              </w:rPr>
              <w:t>110.00%</w:t>
            </w:r>
          </w:p>
        </w:tc>
      </w:tr>
      <w:tr w:rsidR="008A5B7D" w:rsidRPr="00F36D19" w14:paraId="7F802C1A" w14:textId="77777777" w:rsidTr="005535B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gridSpan w:val="2"/>
            <w:noWrap/>
            <w:hideMark/>
          </w:tcPr>
          <w:p w14:paraId="586FD18F" w14:textId="77777777" w:rsidR="008A5B7D" w:rsidRPr="00F36D19" w:rsidRDefault="008A5B7D" w:rsidP="008A5B7D">
            <w:pPr>
              <w:pStyle w:val="Sinespaciado"/>
              <w:jc w:val="center"/>
              <w:rPr>
                <w:rFonts w:eastAsia="Times New Roman" w:cstheme="minorHAnsi"/>
                <w:b w:val="0"/>
                <w:color w:val="000000"/>
                <w:sz w:val="18"/>
                <w:szCs w:val="18"/>
              </w:rPr>
            </w:pPr>
            <w:r w:rsidRPr="00F36D19">
              <w:rPr>
                <w:rFonts w:eastAsia="Times New Roman" w:cstheme="minorHAnsi"/>
                <w:color w:val="000000"/>
                <w:sz w:val="18"/>
                <w:szCs w:val="18"/>
              </w:rPr>
              <w:t>TOTAL</w:t>
            </w:r>
          </w:p>
        </w:tc>
        <w:tc>
          <w:tcPr>
            <w:tcW w:w="1006" w:type="dxa"/>
            <w:shd w:val="clear" w:color="auto" w:fill="BFE2A8" w:themeFill="accent2" w:themeFillTint="66"/>
            <w:noWrap/>
          </w:tcPr>
          <w:p w14:paraId="54C7530F" w14:textId="3104B473" w:rsidR="008A5B7D" w:rsidRPr="00F36D19" w:rsidRDefault="005535B3" w:rsidP="008A5B7D">
            <w:pPr>
              <w:pStyle w:val="Sinespaciado"/>
              <w:cnfStyle w:val="000000100000" w:firstRow="0" w:lastRow="0" w:firstColumn="0" w:lastColumn="0" w:oddVBand="0" w:evenVBand="0" w:oddHBand="1" w:evenHBand="0" w:firstRowFirstColumn="0" w:firstRowLastColumn="0" w:lastRowFirstColumn="0" w:lastRowLastColumn="0"/>
              <w:rPr>
                <w:b/>
                <w:bCs/>
                <w:sz w:val="18"/>
                <w:szCs w:val="18"/>
              </w:rPr>
            </w:pPr>
            <w:r>
              <w:rPr>
                <w:rFonts w:cs="Calibri"/>
                <w:b/>
                <w:bCs/>
                <w:color w:val="000000"/>
                <w:sz w:val="18"/>
                <w:szCs w:val="18"/>
              </w:rPr>
              <w:t>110.10</w:t>
            </w:r>
            <w:r w:rsidR="008A5B7D" w:rsidRPr="00F36D19">
              <w:rPr>
                <w:rFonts w:cs="Calibri"/>
                <w:b/>
                <w:bCs/>
                <w:color w:val="000000"/>
                <w:sz w:val="18"/>
                <w:szCs w:val="18"/>
              </w:rPr>
              <w:t>%</w:t>
            </w:r>
          </w:p>
        </w:tc>
        <w:tc>
          <w:tcPr>
            <w:tcW w:w="1006" w:type="dxa"/>
            <w:shd w:val="clear" w:color="auto" w:fill="BFE2A8" w:themeFill="accent2" w:themeFillTint="66"/>
            <w:noWrap/>
          </w:tcPr>
          <w:p w14:paraId="7DCA46CE" w14:textId="75E1A35C" w:rsidR="008A5B7D" w:rsidRPr="00F36D19" w:rsidRDefault="00A6090B" w:rsidP="008A5B7D">
            <w:pPr>
              <w:pStyle w:val="Sinespaciado"/>
              <w:cnfStyle w:val="000000100000" w:firstRow="0" w:lastRow="0" w:firstColumn="0" w:lastColumn="0" w:oddVBand="0" w:evenVBand="0" w:oddHBand="1" w:evenHBand="0" w:firstRowFirstColumn="0" w:firstRowLastColumn="0" w:lastRowFirstColumn="0" w:lastRowLastColumn="0"/>
              <w:rPr>
                <w:b/>
                <w:bCs/>
                <w:sz w:val="18"/>
                <w:szCs w:val="18"/>
              </w:rPr>
            </w:pPr>
            <w:r w:rsidRPr="00A6090B">
              <w:rPr>
                <w:rFonts w:cs="Calibri"/>
                <w:b/>
                <w:bCs/>
                <w:color w:val="000000"/>
                <w:sz w:val="18"/>
                <w:szCs w:val="18"/>
              </w:rPr>
              <w:t>108.83%</w:t>
            </w:r>
          </w:p>
        </w:tc>
        <w:tc>
          <w:tcPr>
            <w:tcW w:w="1006" w:type="dxa"/>
            <w:shd w:val="clear" w:color="auto" w:fill="BFE2A8" w:themeFill="accent2" w:themeFillTint="66"/>
            <w:noWrap/>
          </w:tcPr>
          <w:p w14:paraId="540B3D4D" w14:textId="26A2E079" w:rsidR="008A5B7D" w:rsidRPr="00F36D19" w:rsidRDefault="00F601AE" w:rsidP="008A5B7D">
            <w:pPr>
              <w:pStyle w:val="Sinespaciado"/>
              <w:cnfStyle w:val="000000100000" w:firstRow="0" w:lastRow="0" w:firstColumn="0" w:lastColumn="0" w:oddVBand="0" w:evenVBand="0" w:oddHBand="1" w:evenHBand="0" w:firstRowFirstColumn="0" w:firstRowLastColumn="0" w:lastRowFirstColumn="0" w:lastRowLastColumn="0"/>
              <w:rPr>
                <w:b/>
                <w:bCs/>
                <w:sz w:val="18"/>
                <w:szCs w:val="18"/>
              </w:rPr>
            </w:pPr>
            <w:r w:rsidRPr="00F601AE">
              <w:rPr>
                <w:rFonts w:cs="Calibri"/>
                <w:b/>
                <w:bCs/>
                <w:color w:val="000000"/>
                <w:sz w:val="18"/>
                <w:szCs w:val="18"/>
              </w:rPr>
              <w:t>71.08%</w:t>
            </w:r>
          </w:p>
        </w:tc>
        <w:tc>
          <w:tcPr>
            <w:tcW w:w="1006" w:type="dxa"/>
            <w:shd w:val="clear" w:color="auto" w:fill="BFE2A8" w:themeFill="accent2" w:themeFillTint="66"/>
            <w:noWrap/>
          </w:tcPr>
          <w:p w14:paraId="4E3BA58A" w14:textId="317303BD" w:rsidR="008A5B7D" w:rsidRPr="00F36D19" w:rsidRDefault="003D21C9" w:rsidP="008A5B7D">
            <w:pPr>
              <w:pStyle w:val="Sinespaciado"/>
              <w:cnfStyle w:val="000000100000" w:firstRow="0" w:lastRow="0" w:firstColumn="0" w:lastColumn="0" w:oddVBand="0" w:evenVBand="0" w:oddHBand="1" w:evenHBand="0" w:firstRowFirstColumn="0" w:firstRowLastColumn="0" w:lastRowFirstColumn="0" w:lastRowLastColumn="0"/>
              <w:rPr>
                <w:b/>
                <w:bCs/>
                <w:sz w:val="18"/>
                <w:szCs w:val="18"/>
              </w:rPr>
            </w:pPr>
            <w:r w:rsidRPr="003D21C9">
              <w:rPr>
                <w:rFonts w:cs="Calibri"/>
                <w:b/>
                <w:bCs/>
                <w:color w:val="000000"/>
                <w:sz w:val="18"/>
                <w:szCs w:val="18"/>
              </w:rPr>
              <w:t>61.93%</w:t>
            </w:r>
          </w:p>
        </w:tc>
        <w:tc>
          <w:tcPr>
            <w:tcW w:w="933" w:type="dxa"/>
            <w:shd w:val="clear" w:color="auto" w:fill="BFE2A8" w:themeFill="accent2" w:themeFillTint="66"/>
            <w:noWrap/>
          </w:tcPr>
          <w:p w14:paraId="614A6E8E" w14:textId="776A53A1" w:rsidR="008A5B7D" w:rsidRPr="007E1773" w:rsidRDefault="007E1773" w:rsidP="008A5B7D">
            <w:pPr>
              <w:pStyle w:val="Sinespaciado"/>
              <w:cnfStyle w:val="000000100000" w:firstRow="0" w:lastRow="0" w:firstColumn="0" w:lastColumn="0" w:oddVBand="0" w:evenVBand="0" w:oddHBand="1" w:evenHBand="0" w:firstRowFirstColumn="0" w:firstRowLastColumn="0" w:lastRowFirstColumn="0" w:lastRowLastColumn="0"/>
              <w:rPr>
                <w:rFonts w:cs="Calibri"/>
                <w:b/>
                <w:bCs/>
                <w:color w:val="000000"/>
                <w:sz w:val="18"/>
                <w:szCs w:val="18"/>
              </w:rPr>
            </w:pPr>
            <w:r w:rsidRPr="007E1773">
              <w:rPr>
                <w:rFonts w:cs="Calibri"/>
                <w:b/>
                <w:bCs/>
                <w:color w:val="000000"/>
                <w:sz w:val="18"/>
                <w:szCs w:val="18"/>
              </w:rPr>
              <w:t>96.52%</w:t>
            </w:r>
          </w:p>
        </w:tc>
      </w:tr>
      <w:tr w:rsidR="00693800" w:rsidRPr="002946A9" w14:paraId="00F5B028" w14:textId="77777777" w:rsidTr="005535B3">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8715" w:type="dxa"/>
            <w:gridSpan w:val="7"/>
            <w:shd w:val="clear" w:color="auto" w:fill="DFF0D3" w:themeFill="accent2" w:themeFillTint="33"/>
            <w:noWrap/>
          </w:tcPr>
          <w:p w14:paraId="20233003" w14:textId="7FB7863A" w:rsidR="00693800" w:rsidRPr="002946A9" w:rsidRDefault="00693800" w:rsidP="00693800">
            <w:pPr>
              <w:pStyle w:val="Sinespaciado"/>
              <w:rPr>
                <w:b w:val="0"/>
                <w:bCs w:val="0"/>
                <w:i/>
                <w:iCs/>
                <w:sz w:val="20"/>
                <w:szCs w:val="20"/>
              </w:rPr>
            </w:pPr>
            <w:r w:rsidRPr="00F36D19">
              <w:rPr>
                <w:i/>
                <w:iCs/>
                <w:sz w:val="20"/>
                <w:szCs w:val="20"/>
              </w:rPr>
              <w:t>N.A.: no aplica</w:t>
            </w:r>
          </w:p>
        </w:tc>
      </w:tr>
    </w:tbl>
    <w:p w14:paraId="5649EC33" w14:textId="6CF73A97" w:rsidR="00F54AF5" w:rsidRPr="002946A9" w:rsidRDefault="00F54AF5" w:rsidP="00DF29CB">
      <w:pPr>
        <w:ind w:left="360"/>
        <w:jc w:val="both"/>
        <w:rPr>
          <w:rFonts w:ascii="Trebuchet MS" w:hAnsi="Trebuchet MS"/>
          <w:szCs w:val="24"/>
        </w:rPr>
      </w:pPr>
    </w:p>
    <w:p w14:paraId="63F65A46" w14:textId="695FA99F" w:rsidR="007B2ABD" w:rsidRPr="002946A9" w:rsidRDefault="007B2ABD" w:rsidP="003B5EB1">
      <w:pPr>
        <w:spacing w:after="0"/>
        <w:ind w:left="360"/>
        <w:jc w:val="both"/>
        <w:rPr>
          <w:rFonts w:ascii="Trebuchet MS" w:hAnsi="Trebuchet MS"/>
          <w:szCs w:val="24"/>
        </w:rPr>
      </w:pPr>
      <w:r w:rsidRPr="002946A9">
        <w:rPr>
          <w:rFonts w:ascii="Trebuchet MS" w:hAnsi="Trebuchet MS"/>
          <w:szCs w:val="24"/>
        </w:rPr>
        <w:t xml:space="preserve">Considerando la </w:t>
      </w:r>
      <w:r w:rsidR="000902BE" w:rsidRPr="002946A9">
        <w:rPr>
          <w:rFonts w:ascii="Trebuchet MS" w:hAnsi="Trebuchet MS"/>
          <w:szCs w:val="24"/>
        </w:rPr>
        <w:t xml:space="preserve">condición de </w:t>
      </w:r>
      <w:r w:rsidRPr="002946A9">
        <w:rPr>
          <w:rFonts w:ascii="Trebuchet MS" w:hAnsi="Trebuchet MS"/>
          <w:szCs w:val="24"/>
        </w:rPr>
        <w:t xml:space="preserve">la </w:t>
      </w:r>
      <w:r w:rsidRPr="002946A9">
        <w:rPr>
          <w:rFonts w:ascii="Trebuchet MS" w:hAnsi="Trebuchet MS"/>
          <w:szCs w:val="24"/>
        </w:rPr>
        <w:fldChar w:fldCharType="begin"/>
      </w:r>
      <w:r w:rsidRPr="002946A9">
        <w:rPr>
          <w:rFonts w:ascii="Trebuchet MS" w:hAnsi="Trebuchet MS"/>
          <w:szCs w:val="24"/>
        </w:rPr>
        <w:instrText xml:space="preserve"> REF _Ref67747141 \h </w:instrText>
      </w:r>
      <w:r w:rsidR="00BD3499" w:rsidRPr="002946A9">
        <w:rPr>
          <w:rFonts w:ascii="Trebuchet MS" w:hAnsi="Trebuchet MS"/>
          <w:szCs w:val="24"/>
        </w:rPr>
        <w:instrText xml:space="preserve"> \* MERGEFORMAT </w:instrText>
      </w:r>
      <w:r w:rsidRPr="002946A9">
        <w:rPr>
          <w:rFonts w:ascii="Trebuchet MS" w:hAnsi="Trebuchet MS"/>
          <w:szCs w:val="24"/>
        </w:rPr>
      </w:r>
      <w:r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10</w:t>
      </w:r>
      <w:r w:rsidRPr="002946A9">
        <w:rPr>
          <w:rFonts w:ascii="Trebuchet MS" w:hAnsi="Trebuchet MS"/>
          <w:szCs w:val="24"/>
        </w:rPr>
        <w:fldChar w:fldCharType="end"/>
      </w:r>
      <w:r w:rsidR="000902BE" w:rsidRPr="002946A9">
        <w:rPr>
          <w:rFonts w:ascii="Trebuchet MS" w:hAnsi="Trebuchet MS"/>
          <w:szCs w:val="24"/>
        </w:rPr>
        <w:t xml:space="preserve"> se </w:t>
      </w:r>
      <w:r w:rsidRPr="002946A9">
        <w:rPr>
          <w:rFonts w:ascii="Trebuchet MS" w:hAnsi="Trebuchet MS"/>
          <w:szCs w:val="24"/>
        </w:rPr>
        <w:t xml:space="preserve">observa una ejecución total del </w:t>
      </w:r>
      <w:r w:rsidR="009A76DC">
        <w:rPr>
          <w:rFonts w:ascii="Trebuchet MS" w:hAnsi="Trebuchet MS"/>
          <w:szCs w:val="24"/>
        </w:rPr>
        <w:t>110.10</w:t>
      </w:r>
      <w:r w:rsidRPr="002946A9">
        <w:rPr>
          <w:rFonts w:ascii="Trebuchet MS" w:hAnsi="Trebuchet MS"/>
          <w:szCs w:val="24"/>
        </w:rPr>
        <w:t xml:space="preserve">% para nivel de tensión 1; del </w:t>
      </w:r>
      <w:r w:rsidR="008415B2">
        <w:rPr>
          <w:rFonts w:ascii="Trebuchet MS" w:hAnsi="Trebuchet MS"/>
          <w:szCs w:val="24"/>
        </w:rPr>
        <w:t>108.83</w:t>
      </w:r>
      <w:r w:rsidRPr="002946A9">
        <w:rPr>
          <w:rFonts w:ascii="Trebuchet MS" w:hAnsi="Trebuchet MS"/>
          <w:szCs w:val="24"/>
        </w:rPr>
        <w:t xml:space="preserve">% para nivel 2; del </w:t>
      </w:r>
      <w:r w:rsidR="008415B2">
        <w:rPr>
          <w:rFonts w:ascii="Trebuchet MS" w:hAnsi="Trebuchet MS"/>
          <w:szCs w:val="24"/>
        </w:rPr>
        <w:t>71.08</w:t>
      </w:r>
      <w:r w:rsidRPr="002946A9">
        <w:rPr>
          <w:rFonts w:ascii="Trebuchet MS" w:hAnsi="Trebuchet MS"/>
          <w:szCs w:val="24"/>
        </w:rPr>
        <w:t xml:space="preserve">% para nivel 3; y del </w:t>
      </w:r>
      <w:r w:rsidR="008415B2">
        <w:rPr>
          <w:rFonts w:ascii="Trebuchet MS" w:hAnsi="Trebuchet MS"/>
          <w:szCs w:val="24"/>
        </w:rPr>
        <w:t>61.93</w:t>
      </w:r>
      <w:r w:rsidRPr="002946A9">
        <w:rPr>
          <w:rFonts w:ascii="Trebuchet MS" w:hAnsi="Trebuchet MS"/>
          <w:szCs w:val="24"/>
        </w:rPr>
        <w:t xml:space="preserve">% para el nivel 4. En términos generales, el porcentaje de ejecución total obtenida para el plan </w:t>
      </w:r>
      <w:r w:rsidR="00884C0F" w:rsidRPr="002946A9">
        <w:rPr>
          <w:rFonts w:ascii="Trebuchet MS" w:hAnsi="Trebuchet MS"/>
          <w:szCs w:val="24"/>
        </w:rPr>
        <w:t>202</w:t>
      </w:r>
      <w:r w:rsidR="00884C0F">
        <w:rPr>
          <w:rFonts w:ascii="Trebuchet MS" w:hAnsi="Trebuchet MS"/>
          <w:szCs w:val="24"/>
        </w:rPr>
        <w:t>2</w:t>
      </w:r>
      <w:r w:rsidRPr="002946A9">
        <w:rPr>
          <w:rFonts w:ascii="Trebuchet MS" w:hAnsi="Trebuchet MS"/>
          <w:szCs w:val="24"/>
        </w:rPr>
        <w:t xml:space="preserve">, </w:t>
      </w:r>
      <w:r w:rsidR="000902BE" w:rsidRPr="002946A9">
        <w:rPr>
          <w:rFonts w:ascii="Trebuchet MS" w:hAnsi="Trebuchet MS"/>
          <w:szCs w:val="24"/>
        </w:rPr>
        <w:t>bajo la condición de acote</w:t>
      </w:r>
      <w:r w:rsidR="007674E2" w:rsidRPr="002946A9">
        <w:rPr>
          <w:rFonts w:ascii="Trebuchet MS" w:hAnsi="Trebuchet MS"/>
          <w:szCs w:val="24"/>
        </w:rPr>
        <w:t xml:space="preserve">, </w:t>
      </w:r>
      <w:r w:rsidRPr="002946A9">
        <w:rPr>
          <w:rFonts w:ascii="Trebuchet MS" w:hAnsi="Trebuchet MS"/>
          <w:szCs w:val="24"/>
        </w:rPr>
        <w:t xml:space="preserve">fue </w:t>
      </w:r>
      <w:r w:rsidRPr="00956490">
        <w:rPr>
          <w:rFonts w:ascii="Trebuchet MS" w:hAnsi="Trebuchet MS"/>
          <w:szCs w:val="24"/>
        </w:rPr>
        <w:t xml:space="preserve">del </w:t>
      </w:r>
      <w:r w:rsidR="008415B2">
        <w:rPr>
          <w:rFonts w:ascii="Trebuchet MS" w:hAnsi="Trebuchet MS"/>
          <w:szCs w:val="24"/>
        </w:rPr>
        <w:t>96.58</w:t>
      </w:r>
      <w:r w:rsidRPr="00956490">
        <w:rPr>
          <w:rFonts w:ascii="Trebuchet MS" w:hAnsi="Trebuchet MS"/>
          <w:szCs w:val="24"/>
        </w:rPr>
        <w:t>%.</w:t>
      </w:r>
      <w:r w:rsidR="007674E2" w:rsidRPr="002946A9">
        <w:rPr>
          <w:rFonts w:ascii="Trebuchet MS" w:hAnsi="Trebuchet MS"/>
          <w:szCs w:val="24"/>
        </w:rPr>
        <w:t xml:space="preserve"> Se </w:t>
      </w:r>
      <w:r w:rsidR="006D55B0" w:rsidRPr="002946A9">
        <w:rPr>
          <w:rFonts w:ascii="Trebuchet MS" w:hAnsi="Trebuchet MS"/>
          <w:szCs w:val="24"/>
        </w:rPr>
        <w:t>obtuvo una disminución en la ejecución debido al acote de los niveles de tensión 1, 2 y 3.</w:t>
      </w:r>
      <w:r w:rsidR="007674E2" w:rsidRPr="002946A9">
        <w:rPr>
          <w:rFonts w:ascii="Trebuchet MS" w:hAnsi="Trebuchet MS"/>
          <w:szCs w:val="24"/>
        </w:rPr>
        <w:t xml:space="preserve"> </w:t>
      </w:r>
    </w:p>
    <w:p w14:paraId="638F996E" w14:textId="16FE046E" w:rsidR="00F54AF5" w:rsidRPr="002946A9" w:rsidRDefault="00F54AF5" w:rsidP="00DF29CB">
      <w:pPr>
        <w:ind w:left="360"/>
        <w:jc w:val="both"/>
        <w:rPr>
          <w:rFonts w:ascii="Trebuchet MS" w:hAnsi="Trebuchet MS"/>
          <w:szCs w:val="24"/>
        </w:rPr>
      </w:pPr>
    </w:p>
    <w:p w14:paraId="74DD2843" w14:textId="6D457C55" w:rsidR="009E2F1B" w:rsidRPr="002946A9" w:rsidRDefault="00903CCF" w:rsidP="00DF29CB">
      <w:pPr>
        <w:numPr>
          <w:ilvl w:val="2"/>
          <w:numId w:val="2"/>
        </w:numPr>
        <w:jc w:val="both"/>
        <w:outlineLvl w:val="2"/>
        <w:rPr>
          <w:rFonts w:ascii="Trebuchet MS" w:hAnsi="Trebuchet MS"/>
          <w:b/>
          <w:bCs/>
          <w:szCs w:val="24"/>
        </w:rPr>
      </w:pPr>
      <w:bookmarkStart w:id="213" w:name="_Toc131109368"/>
      <w:r w:rsidRPr="002946A9">
        <w:rPr>
          <w:rFonts w:ascii="Trebuchet MS" w:hAnsi="Trebuchet MS"/>
          <w:b/>
          <w:bCs/>
          <w:szCs w:val="24"/>
        </w:rPr>
        <w:t>Desviaciones respecto al plan de inversiones</w:t>
      </w:r>
      <w:r w:rsidR="00AD1FD0" w:rsidRPr="002946A9">
        <w:rPr>
          <w:rFonts w:ascii="Trebuchet MS" w:hAnsi="Trebuchet MS"/>
          <w:b/>
          <w:bCs/>
          <w:szCs w:val="24"/>
        </w:rPr>
        <w:t xml:space="preserve"> aprobado</w:t>
      </w:r>
      <w:bookmarkEnd w:id="213"/>
      <w:r w:rsidR="009E2F1B" w:rsidRPr="002946A9">
        <w:rPr>
          <w:rFonts w:ascii="Trebuchet MS" w:hAnsi="Trebuchet MS"/>
          <w:b/>
          <w:bCs/>
          <w:szCs w:val="24"/>
        </w:rPr>
        <w:t xml:space="preserve">  </w:t>
      </w:r>
    </w:p>
    <w:p w14:paraId="79EB42F7" w14:textId="19AEB87A" w:rsidR="009534AF" w:rsidRPr="00BC0B1F" w:rsidRDefault="0019664C" w:rsidP="00014DE6">
      <w:pPr>
        <w:ind w:left="360"/>
        <w:jc w:val="both"/>
        <w:rPr>
          <w:rFonts w:ascii="Trebuchet MS" w:hAnsi="Trebuchet MS"/>
          <w:szCs w:val="24"/>
        </w:rPr>
      </w:pPr>
      <w:r w:rsidRPr="002946A9">
        <w:rPr>
          <w:rFonts w:ascii="Trebuchet MS" w:hAnsi="Trebuchet MS"/>
          <w:szCs w:val="24"/>
        </w:rPr>
        <w:t xml:space="preserve">En el año </w:t>
      </w:r>
      <w:r w:rsidR="006C025F" w:rsidRPr="002946A9">
        <w:rPr>
          <w:rFonts w:ascii="Trebuchet MS" w:hAnsi="Trebuchet MS"/>
          <w:szCs w:val="24"/>
        </w:rPr>
        <w:t>202</w:t>
      </w:r>
      <w:r w:rsidR="006C025F">
        <w:rPr>
          <w:rFonts w:ascii="Trebuchet MS" w:hAnsi="Trebuchet MS"/>
          <w:szCs w:val="24"/>
        </w:rPr>
        <w:t>2</w:t>
      </w:r>
      <w:r w:rsidR="005C3DCE" w:rsidRPr="002946A9">
        <w:rPr>
          <w:rFonts w:ascii="Trebuchet MS" w:hAnsi="Trebuchet MS"/>
          <w:szCs w:val="24"/>
        </w:rPr>
        <w:t xml:space="preserve">, para EPM </w:t>
      </w:r>
      <w:r w:rsidRPr="002946A9">
        <w:rPr>
          <w:rFonts w:ascii="Trebuchet MS" w:hAnsi="Trebuchet MS"/>
          <w:szCs w:val="24"/>
        </w:rPr>
        <w:t xml:space="preserve">existen desviaciones de la ejecución respecto </w:t>
      </w:r>
      <w:r w:rsidR="005C3DCE" w:rsidRPr="002946A9">
        <w:rPr>
          <w:rFonts w:ascii="Trebuchet MS" w:hAnsi="Trebuchet MS"/>
          <w:szCs w:val="24"/>
        </w:rPr>
        <w:t xml:space="preserve">a lo planteado en el </w:t>
      </w:r>
      <w:r w:rsidR="009534AF" w:rsidRPr="002946A9">
        <w:rPr>
          <w:rFonts w:ascii="Trebuchet MS" w:hAnsi="Trebuchet MS"/>
          <w:szCs w:val="24"/>
        </w:rPr>
        <w:t xml:space="preserve">plan de </w:t>
      </w:r>
      <w:r w:rsidR="009534AF" w:rsidRPr="00BC0B1F">
        <w:rPr>
          <w:rFonts w:ascii="Trebuchet MS" w:hAnsi="Trebuchet MS"/>
          <w:szCs w:val="24"/>
        </w:rPr>
        <w:t>inversiones</w:t>
      </w:r>
      <w:r w:rsidR="00BD23CF" w:rsidRPr="00BC0B1F">
        <w:rPr>
          <w:rFonts w:ascii="Trebuchet MS" w:hAnsi="Trebuchet MS"/>
          <w:szCs w:val="24"/>
        </w:rPr>
        <w:t xml:space="preserve">, </w:t>
      </w:r>
      <w:r w:rsidR="009534AF" w:rsidRPr="00BC0B1F">
        <w:rPr>
          <w:rFonts w:ascii="Trebuchet MS" w:hAnsi="Trebuchet MS"/>
          <w:szCs w:val="24"/>
        </w:rPr>
        <w:t>en su generalidad obedecen las siguientes causas:</w:t>
      </w:r>
    </w:p>
    <w:p w14:paraId="5174E61B" w14:textId="48E9677F" w:rsidR="009534AF" w:rsidRPr="00BC0B1F" w:rsidRDefault="009534AF" w:rsidP="00014DE6">
      <w:pPr>
        <w:pStyle w:val="Prrafodelista"/>
        <w:numPr>
          <w:ilvl w:val="0"/>
          <w:numId w:val="7"/>
        </w:numPr>
        <w:jc w:val="both"/>
        <w:rPr>
          <w:rFonts w:ascii="Trebuchet MS" w:hAnsi="Trebuchet MS"/>
          <w:szCs w:val="24"/>
        </w:rPr>
      </w:pPr>
      <w:r w:rsidRPr="00BC0B1F">
        <w:rPr>
          <w:rFonts w:ascii="Trebuchet MS" w:hAnsi="Trebuchet MS"/>
          <w:szCs w:val="24"/>
        </w:rPr>
        <w:t>Fuerza mayor: Causas de fuerza mayor que impidieron la construcción y puesta en operación de la UC como lo es</w:t>
      </w:r>
      <w:r w:rsidR="000962DB" w:rsidRPr="00BC0B1F">
        <w:rPr>
          <w:rFonts w:ascii="Trebuchet MS" w:hAnsi="Trebuchet MS"/>
          <w:szCs w:val="24"/>
        </w:rPr>
        <w:t>,</w:t>
      </w:r>
      <w:r w:rsidRPr="00BC0B1F">
        <w:rPr>
          <w:rFonts w:ascii="Trebuchet MS" w:hAnsi="Trebuchet MS"/>
          <w:szCs w:val="24"/>
        </w:rPr>
        <w:t xml:space="preserve"> por ejemplo</w:t>
      </w:r>
      <w:r w:rsidR="000962DB" w:rsidRPr="00BC0B1F">
        <w:rPr>
          <w:rFonts w:ascii="Trebuchet MS" w:hAnsi="Trebuchet MS"/>
          <w:szCs w:val="24"/>
        </w:rPr>
        <w:t>,</w:t>
      </w:r>
      <w:r w:rsidRPr="00BC0B1F">
        <w:rPr>
          <w:rFonts w:ascii="Trebuchet MS" w:hAnsi="Trebuchet MS"/>
          <w:szCs w:val="24"/>
        </w:rPr>
        <w:t xml:space="preserve"> </w:t>
      </w:r>
      <w:r w:rsidR="000A4D92" w:rsidRPr="00BC0B1F">
        <w:rPr>
          <w:rFonts w:ascii="Trebuchet MS" w:hAnsi="Trebuchet MS"/>
          <w:szCs w:val="24"/>
        </w:rPr>
        <w:t>emergencia sanitaria por Covid-19</w:t>
      </w:r>
      <w:r w:rsidR="00221BC4" w:rsidRPr="00BC0B1F">
        <w:rPr>
          <w:rFonts w:ascii="Trebuchet MS" w:hAnsi="Trebuchet MS"/>
          <w:szCs w:val="24"/>
        </w:rPr>
        <w:t xml:space="preserve"> que implicó retrasos en el sistema logístico mundial y por tanto retrasos en la llegada de materiales y equipos</w:t>
      </w:r>
      <w:r w:rsidR="00F9480B" w:rsidRPr="00BC0B1F">
        <w:rPr>
          <w:rFonts w:ascii="Trebuchet MS" w:hAnsi="Trebuchet MS"/>
          <w:szCs w:val="24"/>
        </w:rPr>
        <w:t xml:space="preserve">, </w:t>
      </w:r>
      <w:r w:rsidRPr="00BC0B1F">
        <w:rPr>
          <w:rFonts w:ascii="Trebuchet MS" w:hAnsi="Trebuchet MS"/>
          <w:szCs w:val="24"/>
        </w:rPr>
        <w:t>retrasos por procesos jurídicos en la imposición de servidumbres, incumplimiento de proveedores en la entrega de equipos y problemas de orden público que impidieron el acceso a las zonas de los proyectos.</w:t>
      </w:r>
    </w:p>
    <w:p w14:paraId="58D2C557" w14:textId="77777777" w:rsidR="00BD23CF" w:rsidRPr="00BC0B1F" w:rsidRDefault="00BD23CF" w:rsidP="00014DE6">
      <w:pPr>
        <w:pStyle w:val="Prrafodelista"/>
        <w:ind w:left="1080"/>
        <w:jc w:val="both"/>
        <w:rPr>
          <w:rFonts w:ascii="Trebuchet MS" w:hAnsi="Trebuchet MS"/>
          <w:szCs w:val="24"/>
        </w:rPr>
      </w:pPr>
    </w:p>
    <w:p w14:paraId="0FADFD0A" w14:textId="77777777" w:rsidR="00BD23CF" w:rsidRPr="00BC0B1F" w:rsidRDefault="009534AF" w:rsidP="00014DE6">
      <w:pPr>
        <w:pStyle w:val="Prrafodelista"/>
        <w:numPr>
          <w:ilvl w:val="0"/>
          <w:numId w:val="7"/>
        </w:numPr>
        <w:jc w:val="both"/>
        <w:rPr>
          <w:rFonts w:ascii="Trebuchet MS" w:hAnsi="Trebuchet MS"/>
          <w:szCs w:val="24"/>
        </w:rPr>
      </w:pPr>
      <w:r w:rsidRPr="00BC0B1F">
        <w:rPr>
          <w:rFonts w:ascii="Trebuchet MS" w:hAnsi="Trebuchet MS"/>
          <w:szCs w:val="24"/>
        </w:rPr>
        <w:t>Ajustes administrativos: Decisiones empresariales que llevaron a adelantar o atrasar proyectos u obras específicas o a construir los activos en diferentes circuitos o subestaciones al aprobado en el plan de inversiones.</w:t>
      </w:r>
    </w:p>
    <w:p w14:paraId="20D12840" w14:textId="77777777" w:rsidR="00BD23CF" w:rsidRPr="00BC0B1F" w:rsidRDefault="00BD23CF" w:rsidP="00014DE6">
      <w:pPr>
        <w:pStyle w:val="Prrafodelista"/>
        <w:jc w:val="both"/>
        <w:rPr>
          <w:rFonts w:ascii="Trebuchet MS" w:hAnsi="Trebuchet MS"/>
          <w:szCs w:val="24"/>
        </w:rPr>
      </w:pPr>
    </w:p>
    <w:p w14:paraId="62DE659C" w14:textId="77777777" w:rsidR="00BD23CF" w:rsidRPr="00BC0B1F" w:rsidRDefault="009534AF" w:rsidP="00014DE6">
      <w:pPr>
        <w:pStyle w:val="Prrafodelista"/>
        <w:numPr>
          <w:ilvl w:val="0"/>
          <w:numId w:val="7"/>
        </w:numPr>
        <w:jc w:val="both"/>
        <w:rPr>
          <w:rFonts w:ascii="Trebuchet MS" w:hAnsi="Trebuchet MS"/>
          <w:szCs w:val="24"/>
        </w:rPr>
      </w:pPr>
      <w:r w:rsidRPr="00BC0B1F">
        <w:rPr>
          <w:rFonts w:ascii="Trebuchet MS" w:hAnsi="Trebuchet MS"/>
          <w:szCs w:val="24"/>
        </w:rPr>
        <w:t>Ingeniería/levantamiento: Los proyectos aprobados que contaban con ingeniería conceptual deben pasar por un proceso de levantamiento e ingeniería de detalle que puede conllevar a cambios sustanciales en el diseño.</w:t>
      </w:r>
    </w:p>
    <w:p w14:paraId="08ECF99A" w14:textId="77777777" w:rsidR="00BD23CF" w:rsidRPr="00BC0B1F" w:rsidRDefault="00BD23CF" w:rsidP="00014DE6">
      <w:pPr>
        <w:pStyle w:val="Prrafodelista"/>
        <w:jc w:val="both"/>
        <w:rPr>
          <w:rFonts w:ascii="Trebuchet MS" w:hAnsi="Trebuchet MS"/>
          <w:szCs w:val="24"/>
        </w:rPr>
      </w:pPr>
    </w:p>
    <w:p w14:paraId="7A5E829E" w14:textId="51B653EC" w:rsidR="00C6003B" w:rsidRPr="00BC0B1F" w:rsidRDefault="009534AF" w:rsidP="00014DE6">
      <w:pPr>
        <w:pStyle w:val="Prrafodelista"/>
        <w:numPr>
          <w:ilvl w:val="0"/>
          <w:numId w:val="7"/>
        </w:numPr>
        <w:jc w:val="both"/>
        <w:rPr>
          <w:rFonts w:ascii="Trebuchet MS" w:hAnsi="Trebuchet MS"/>
          <w:szCs w:val="24"/>
        </w:rPr>
      </w:pPr>
      <w:r w:rsidRPr="00BC0B1F">
        <w:rPr>
          <w:rFonts w:ascii="Trebuchet MS" w:hAnsi="Trebuchet MS"/>
          <w:szCs w:val="24"/>
        </w:rPr>
        <w:t>Otros permisos: Inconvenientes al gestionar y conseguir permisos relacionados con la construcción de los activos diferente a licencias ambientales, como lo son permisos de construcción tanto de entes públicos como concesionarios, permisos de tránsito, etc.</w:t>
      </w:r>
    </w:p>
    <w:p w14:paraId="58247232" w14:textId="77777777" w:rsidR="00221BC4" w:rsidRPr="00BC0B1F" w:rsidRDefault="00221BC4" w:rsidP="00221BC4">
      <w:pPr>
        <w:pStyle w:val="Prrafodelista"/>
        <w:rPr>
          <w:rFonts w:ascii="Trebuchet MS" w:hAnsi="Trebuchet MS"/>
          <w:szCs w:val="24"/>
        </w:rPr>
      </w:pPr>
    </w:p>
    <w:p w14:paraId="5ABE7892" w14:textId="77777777" w:rsidR="00221BC4" w:rsidRPr="00BC0B1F" w:rsidRDefault="00221BC4" w:rsidP="00221BC4">
      <w:pPr>
        <w:pStyle w:val="Prrafodelista"/>
        <w:ind w:left="1080"/>
        <w:jc w:val="both"/>
        <w:rPr>
          <w:rFonts w:ascii="Trebuchet MS" w:hAnsi="Trebuchet MS"/>
          <w:szCs w:val="24"/>
        </w:rPr>
      </w:pPr>
    </w:p>
    <w:p w14:paraId="16C5DDDD" w14:textId="77777777" w:rsidR="00C6003B" w:rsidRPr="00BC0B1F" w:rsidRDefault="00C6003B" w:rsidP="00014DE6">
      <w:pPr>
        <w:pStyle w:val="Prrafodelista"/>
        <w:jc w:val="both"/>
        <w:rPr>
          <w:rFonts w:ascii="Trebuchet MS" w:hAnsi="Trebuchet MS"/>
          <w:szCs w:val="24"/>
        </w:rPr>
      </w:pPr>
    </w:p>
    <w:p w14:paraId="0802F075" w14:textId="073A10E5" w:rsidR="00B05B77" w:rsidRPr="00BC0B1F" w:rsidRDefault="00723F79" w:rsidP="00014DE6">
      <w:pPr>
        <w:pStyle w:val="Prrafodelista"/>
        <w:numPr>
          <w:ilvl w:val="0"/>
          <w:numId w:val="7"/>
        </w:numPr>
        <w:jc w:val="both"/>
        <w:rPr>
          <w:rFonts w:ascii="Trebuchet MS" w:hAnsi="Trebuchet MS"/>
          <w:szCs w:val="24"/>
        </w:rPr>
      </w:pPr>
      <w:r w:rsidRPr="00BC0B1F">
        <w:rPr>
          <w:rFonts w:ascii="Trebuchet MS" w:hAnsi="Trebuchet MS"/>
          <w:szCs w:val="24"/>
        </w:rPr>
        <w:t xml:space="preserve">Cambio de fecha de entrada en operación </w:t>
      </w:r>
      <w:r w:rsidR="006B4A7D" w:rsidRPr="00BC0B1F">
        <w:rPr>
          <w:rFonts w:ascii="Trebuchet MS" w:hAnsi="Trebuchet MS"/>
          <w:szCs w:val="24"/>
        </w:rPr>
        <w:t>debido a</w:t>
      </w:r>
      <w:r w:rsidRPr="00BC0B1F">
        <w:rPr>
          <w:rFonts w:ascii="Trebuchet MS" w:hAnsi="Trebuchet MS"/>
          <w:szCs w:val="24"/>
        </w:rPr>
        <w:t xml:space="preserve"> terceros:</w:t>
      </w:r>
      <w:r w:rsidR="00EA5210" w:rsidRPr="00BC0B1F">
        <w:rPr>
          <w:rFonts w:ascii="Trebuchet MS" w:hAnsi="Trebuchet MS"/>
          <w:szCs w:val="24"/>
        </w:rPr>
        <w:t xml:space="preserve"> </w:t>
      </w:r>
      <w:r w:rsidR="00397A46" w:rsidRPr="00BC0B1F">
        <w:rPr>
          <w:rFonts w:ascii="Trebuchet MS" w:hAnsi="Trebuchet MS"/>
          <w:szCs w:val="24"/>
        </w:rPr>
        <w:t xml:space="preserve">Terceros </w:t>
      </w:r>
      <w:r w:rsidR="006B4A7D" w:rsidRPr="00BC0B1F">
        <w:rPr>
          <w:rFonts w:ascii="Trebuchet MS" w:hAnsi="Trebuchet MS"/>
          <w:szCs w:val="24"/>
        </w:rPr>
        <w:t xml:space="preserve">presentan cambios en la fecha de entrada </w:t>
      </w:r>
      <w:r w:rsidR="00397A46" w:rsidRPr="00BC0B1F">
        <w:rPr>
          <w:rFonts w:ascii="Trebuchet MS" w:hAnsi="Trebuchet MS"/>
          <w:szCs w:val="24"/>
        </w:rPr>
        <w:t>en operación de sus proyectos</w:t>
      </w:r>
      <w:r w:rsidR="00EA5210" w:rsidRPr="00BC0B1F">
        <w:rPr>
          <w:rFonts w:ascii="Trebuchet MS" w:hAnsi="Trebuchet MS"/>
          <w:szCs w:val="24"/>
        </w:rPr>
        <w:t>,</w:t>
      </w:r>
      <w:r w:rsidR="00397A46" w:rsidRPr="00BC0B1F">
        <w:rPr>
          <w:rFonts w:ascii="Trebuchet MS" w:hAnsi="Trebuchet MS"/>
          <w:szCs w:val="24"/>
        </w:rPr>
        <w:t xml:space="preserve"> lo que retrasa la entrada en operación de UC </w:t>
      </w:r>
      <w:r w:rsidR="007E243E" w:rsidRPr="00BC0B1F">
        <w:rPr>
          <w:rFonts w:ascii="Trebuchet MS" w:hAnsi="Trebuchet MS"/>
          <w:szCs w:val="24"/>
        </w:rPr>
        <w:t>construidas por el</w:t>
      </w:r>
      <w:r w:rsidR="00397A46" w:rsidRPr="00BC0B1F">
        <w:rPr>
          <w:rFonts w:ascii="Trebuchet MS" w:hAnsi="Trebuchet MS"/>
          <w:szCs w:val="24"/>
        </w:rPr>
        <w:t xml:space="preserve"> OR</w:t>
      </w:r>
      <w:r w:rsidR="00501E32" w:rsidRPr="00BC0B1F">
        <w:rPr>
          <w:rFonts w:ascii="Trebuchet MS" w:hAnsi="Trebuchet MS"/>
          <w:szCs w:val="24"/>
        </w:rPr>
        <w:t xml:space="preserve"> que pertenecen a </w:t>
      </w:r>
      <w:r w:rsidR="00660E02" w:rsidRPr="00BC0B1F">
        <w:rPr>
          <w:rFonts w:ascii="Trebuchet MS" w:hAnsi="Trebuchet MS"/>
          <w:szCs w:val="24"/>
        </w:rPr>
        <w:t>dichos</w:t>
      </w:r>
      <w:r w:rsidR="00501E32" w:rsidRPr="00BC0B1F">
        <w:rPr>
          <w:rFonts w:ascii="Trebuchet MS" w:hAnsi="Trebuchet MS"/>
          <w:szCs w:val="24"/>
        </w:rPr>
        <w:t xml:space="preserve"> proyectos.</w:t>
      </w:r>
      <w:r w:rsidRPr="00BC0B1F">
        <w:rPr>
          <w:rFonts w:ascii="Trebuchet MS" w:hAnsi="Trebuchet MS"/>
          <w:szCs w:val="24"/>
        </w:rPr>
        <w:t xml:space="preserve"> </w:t>
      </w:r>
    </w:p>
    <w:p w14:paraId="17E390AF" w14:textId="77777777" w:rsidR="009534AF" w:rsidRPr="002946A9" w:rsidRDefault="009534AF" w:rsidP="00DF29CB">
      <w:pPr>
        <w:ind w:left="360"/>
        <w:jc w:val="both"/>
        <w:rPr>
          <w:rFonts w:ascii="Trebuchet MS" w:hAnsi="Trebuchet MS"/>
          <w:szCs w:val="24"/>
        </w:rPr>
      </w:pPr>
    </w:p>
    <w:p w14:paraId="10324A64" w14:textId="15C5E3D7" w:rsidR="009534AF" w:rsidRPr="002946A9" w:rsidRDefault="009534AF" w:rsidP="00DF29CB">
      <w:pPr>
        <w:ind w:left="360"/>
        <w:jc w:val="both"/>
        <w:rPr>
          <w:rFonts w:ascii="Trebuchet MS" w:hAnsi="Trebuchet MS"/>
          <w:szCs w:val="24"/>
        </w:rPr>
      </w:pPr>
      <w:r w:rsidRPr="00AF73B9">
        <w:rPr>
          <w:rFonts w:ascii="Trebuchet MS" w:hAnsi="Trebuchet MS"/>
          <w:szCs w:val="24"/>
        </w:rPr>
        <w:t>Una de las razones por las que fue necesari</w:t>
      </w:r>
      <w:r w:rsidR="00014DE6" w:rsidRPr="00AF73B9">
        <w:rPr>
          <w:rFonts w:ascii="Trebuchet MS" w:hAnsi="Trebuchet MS"/>
          <w:szCs w:val="24"/>
        </w:rPr>
        <w:t>a</w:t>
      </w:r>
      <w:r w:rsidRPr="00AF73B9">
        <w:rPr>
          <w:rFonts w:ascii="Trebuchet MS" w:hAnsi="Trebuchet MS"/>
          <w:szCs w:val="24"/>
        </w:rPr>
        <w:t xml:space="preserve"> la creación de proyectos adicionales </w:t>
      </w:r>
      <w:r w:rsidR="00014DE6" w:rsidRPr="00AF73B9">
        <w:rPr>
          <w:rFonts w:ascii="Trebuchet MS" w:hAnsi="Trebuchet MS"/>
          <w:szCs w:val="24"/>
        </w:rPr>
        <w:t xml:space="preserve">al plan, </w:t>
      </w:r>
      <w:r w:rsidRPr="00AF73B9">
        <w:rPr>
          <w:rFonts w:ascii="Trebuchet MS" w:hAnsi="Trebuchet MS"/>
          <w:szCs w:val="24"/>
        </w:rPr>
        <w:t>es que en el Anexo 4 (INVTR) no se cuenta con columnas de número de conductores, esto hace que cuando el número de conductores instalados no concuerd</w:t>
      </w:r>
      <w:r w:rsidR="00314067" w:rsidRPr="00AF73B9">
        <w:rPr>
          <w:rFonts w:ascii="Trebuchet MS" w:hAnsi="Trebuchet MS"/>
          <w:szCs w:val="24"/>
        </w:rPr>
        <w:t>e</w:t>
      </w:r>
      <w:r w:rsidRPr="00AF73B9">
        <w:rPr>
          <w:rFonts w:ascii="Trebuchet MS" w:hAnsi="Trebuchet MS"/>
          <w:szCs w:val="24"/>
        </w:rPr>
        <w:t xml:space="preserve"> con el del plan</w:t>
      </w:r>
      <w:r w:rsidR="003C48B2" w:rsidRPr="00AF73B9">
        <w:rPr>
          <w:rFonts w:ascii="Trebuchet MS" w:hAnsi="Trebuchet MS"/>
          <w:szCs w:val="24"/>
        </w:rPr>
        <w:t xml:space="preserve"> (</w:t>
      </w:r>
      <w:r w:rsidRPr="00AF73B9">
        <w:rPr>
          <w:rFonts w:ascii="Trebuchet MS" w:hAnsi="Trebuchet MS"/>
          <w:szCs w:val="24"/>
        </w:rPr>
        <w:t>lo cual es común</w:t>
      </w:r>
      <w:r w:rsidR="00314067" w:rsidRPr="00AF73B9">
        <w:rPr>
          <w:rFonts w:ascii="Trebuchet MS" w:hAnsi="Trebuchet MS"/>
          <w:szCs w:val="24"/>
        </w:rPr>
        <w:t>,</w:t>
      </w:r>
      <w:r w:rsidRPr="00AF73B9">
        <w:rPr>
          <w:rFonts w:ascii="Trebuchet MS" w:hAnsi="Trebuchet MS"/>
          <w:szCs w:val="24"/>
        </w:rPr>
        <w:t xml:space="preserve"> ya que muchos circuitos pueden iniciar </w:t>
      </w:r>
      <w:r w:rsidR="00775248" w:rsidRPr="00AF73B9">
        <w:rPr>
          <w:rFonts w:ascii="Trebuchet MS" w:hAnsi="Trebuchet MS"/>
          <w:szCs w:val="24"/>
        </w:rPr>
        <w:t xml:space="preserve">en tramos </w:t>
      </w:r>
      <w:r w:rsidRPr="00AF73B9">
        <w:rPr>
          <w:rFonts w:ascii="Trebuchet MS" w:hAnsi="Trebuchet MS"/>
          <w:szCs w:val="24"/>
        </w:rPr>
        <w:t>trifásicos, pero en cierto</w:t>
      </w:r>
      <w:r w:rsidR="00775248" w:rsidRPr="00AF73B9">
        <w:rPr>
          <w:rFonts w:ascii="Trebuchet MS" w:hAnsi="Trebuchet MS"/>
          <w:szCs w:val="24"/>
        </w:rPr>
        <w:t>s</w:t>
      </w:r>
      <w:r w:rsidRPr="00AF73B9">
        <w:rPr>
          <w:rFonts w:ascii="Trebuchet MS" w:hAnsi="Trebuchet MS"/>
          <w:szCs w:val="24"/>
        </w:rPr>
        <w:t xml:space="preserve"> punto</w:t>
      </w:r>
      <w:r w:rsidR="00775248" w:rsidRPr="00AF73B9">
        <w:rPr>
          <w:rFonts w:ascii="Trebuchet MS" w:hAnsi="Trebuchet MS"/>
          <w:szCs w:val="24"/>
        </w:rPr>
        <w:t>s</w:t>
      </w:r>
      <w:r w:rsidRPr="00AF73B9">
        <w:rPr>
          <w:rFonts w:ascii="Trebuchet MS" w:hAnsi="Trebuchet MS"/>
          <w:szCs w:val="24"/>
        </w:rPr>
        <w:t xml:space="preserve"> se </w:t>
      </w:r>
      <w:r w:rsidR="00BA46F0" w:rsidRPr="00AF73B9">
        <w:rPr>
          <w:rFonts w:ascii="Trebuchet MS" w:hAnsi="Trebuchet MS"/>
          <w:szCs w:val="24"/>
        </w:rPr>
        <w:t xml:space="preserve">pueden </w:t>
      </w:r>
      <w:r w:rsidR="00775248" w:rsidRPr="00AF73B9">
        <w:rPr>
          <w:rFonts w:ascii="Trebuchet MS" w:hAnsi="Trebuchet MS"/>
          <w:szCs w:val="24"/>
        </w:rPr>
        <w:t>deriva</w:t>
      </w:r>
      <w:r w:rsidR="00BA46F0" w:rsidRPr="00AF73B9">
        <w:rPr>
          <w:rFonts w:ascii="Trebuchet MS" w:hAnsi="Trebuchet MS"/>
          <w:szCs w:val="24"/>
        </w:rPr>
        <w:t>r</w:t>
      </w:r>
      <w:r w:rsidR="00775248" w:rsidRPr="00AF73B9">
        <w:rPr>
          <w:rFonts w:ascii="Trebuchet MS" w:hAnsi="Trebuchet MS"/>
          <w:szCs w:val="24"/>
        </w:rPr>
        <w:t xml:space="preserve"> tramos </w:t>
      </w:r>
      <w:r w:rsidRPr="00AF73B9">
        <w:rPr>
          <w:rFonts w:ascii="Trebuchet MS" w:hAnsi="Trebuchet MS"/>
          <w:szCs w:val="24"/>
        </w:rPr>
        <w:t>monofásicos</w:t>
      </w:r>
      <w:r w:rsidR="00775248" w:rsidRPr="00AF73B9">
        <w:rPr>
          <w:rFonts w:ascii="Trebuchet MS" w:hAnsi="Trebuchet MS"/>
          <w:szCs w:val="24"/>
        </w:rPr>
        <w:t>)</w:t>
      </w:r>
      <w:r w:rsidRPr="00AF73B9">
        <w:rPr>
          <w:rFonts w:ascii="Trebuchet MS" w:hAnsi="Trebuchet MS"/>
          <w:szCs w:val="24"/>
        </w:rPr>
        <w:t>,</w:t>
      </w:r>
      <w:r w:rsidR="00C26D06" w:rsidRPr="00AF73B9">
        <w:rPr>
          <w:rFonts w:ascii="Trebuchet MS" w:hAnsi="Trebuchet MS"/>
          <w:szCs w:val="24"/>
        </w:rPr>
        <w:t xml:space="preserve"> </w:t>
      </w:r>
      <w:r w:rsidRPr="00AF73B9">
        <w:rPr>
          <w:rFonts w:ascii="Trebuchet MS" w:hAnsi="Trebuchet MS"/>
          <w:szCs w:val="24"/>
        </w:rPr>
        <w:t>s</w:t>
      </w:r>
      <w:r w:rsidR="009B7640" w:rsidRPr="00AF73B9">
        <w:rPr>
          <w:rFonts w:ascii="Trebuchet MS" w:hAnsi="Trebuchet MS"/>
          <w:szCs w:val="24"/>
        </w:rPr>
        <w:t xml:space="preserve">e </w:t>
      </w:r>
      <w:r w:rsidR="00C95B69" w:rsidRPr="00AF73B9">
        <w:rPr>
          <w:rFonts w:ascii="Trebuchet MS" w:hAnsi="Trebuchet MS"/>
          <w:szCs w:val="24"/>
        </w:rPr>
        <w:t>deban c</w:t>
      </w:r>
      <w:r w:rsidRPr="00AF73B9">
        <w:rPr>
          <w:rFonts w:ascii="Trebuchet MS" w:hAnsi="Trebuchet MS"/>
          <w:szCs w:val="24"/>
        </w:rPr>
        <w:t>rear más proyectos</w:t>
      </w:r>
      <w:r w:rsidR="00603582" w:rsidRPr="00AF73B9">
        <w:rPr>
          <w:rFonts w:ascii="Trebuchet MS" w:hAnsi="Trebuchet MS"/>
          <w:szCs w:val="24"/>
        </w:rPr>
        <w:t xml:space="preserve">, convirtiéndose en </w:t>
      </w:r>
      <w:r w:rsidRPr="00AF73B9">
        <w:rPr>
          <w:rFonts w:ascii="Trebuchet MS" w:hAnsi="Trebuchet MS"/>
          <w:szCs w:val="24"/>
        </w:rPr>
        <w:t>una desviación del plan.</w:t>
      </w:r>
    </w:p>
    <w:p w14:paraId="6BB47EA2" w14:textId="2CFB24BC" w:rsidR="009534AF" w:rsidRPr="002946A9" w:rsidRDefault="009534AF" w:rsidP="00DF29CB">
      <w:pPr>
        <w:ind w:left="360"/>
        <w:jc w:val="both"/>
        <w:rPr>
          <w:rFonts w:ascii="Trebuchet MS" w:hAnsi="Trebuchet MS"/>
          <w:szCs w:val="24"/>
        </w:rPr>
      </w:pPr>
      <w:r w:rsidRPr="002946A9">
        <w:rPr>
          <w:rFonts w:ascii="Trebuchet MS" w:hAnsi="Trebuchet MS"/>
          <w:szCs w:val="24"/>
        </w:rPr>
        <w:t xml:space="preserve">En el Anexo 7 se presentan los proyectos aprobados para </w:t>
      </w:r>
      <w:r w:rsidR="005F34E0" w:rsidRPr="002946A9">
        <w:rPr>
          <w:rFonts w:ascii="Trebuchet MS" w:hAnsi="Trebuchet MS"/>
          <w:szCs w:val="24"/>
        </w:rPr>
        <w:t xml:space="preserve">el </w:t>
      </w:r>
      <w:r w:rsidR="00C7200E" w:rsidRPr="002946A9">
        <w:rPr>
          <w:rFonts w:ascii="Trebuchet MS" w:hAnsi="Trebuchet MS"/>
          <w:szCs w:val="24"/>
        </w:rPr>
        <w:t xml:space="preserve">año </w:t>
      </w:r>
      <w:r w:rsidR="00983D66" w:rsidRPr="002946A9">
        <w:rPr>
          <w:rFonts w:ascii="Trebuchet MS" w:hAnsi="Trebuchet MS"/>
          <w:szCs w:val="24"/>
        </w:rPr>
        <w:t>202</w:t>
      </w:r>
      <w:r w:rsidR="00983D66">
        <w:rPr>
          <w:rFonts w:ascii="Trebuchet MS" w:hAnsi="Trebuchet MS"/>
          <w:szCs w:val="24"/>
        </w:rPr>
        <w:t>2</w:t>
      </w:r>
      <w:r w:rsidR="00983D66" w:rsidRPr="002946A9">
        <w:rPr>
          <w:rFonts w:ascii="Trebuchet MS" w:hAnsi="Trebuchet MS"/>
          <w:szCs w:val="24"/>
        </w:rPr>
        <w:t xml:space="preserve"> </w:t>
      </w:r>
      <w:r w:rsidRPr="002946A9">
        <w:rPr>
          <w:rFonts w:ascii="Trebuchet MS" w:hAnsi="Trebuchet MS"/>
          <w:szCs w:val="24"/>
        </w:rPr>
        <w:t>y su porcentaje de</w:t>
      </w:r>
      <w:r w:rsidR="007606FE" w:rsidRPr="002946A9">
        <w:rPr>
          <w:rFonts w:ascii="Trebuchet MS" w:hAnsi="Trebuchet MS"/>
          <w:szCs w:val="24"/>
        </w:rPr>
        <w:t xml:space="preserve"> ejecución</w:t>
      </w:r>
      <w:r w:rsidRPr="002946A9">
        <w:rPr>
          <w:rFonts w:ascii="Trebuchet MS" w:hAnsi="Trebuchet MS"/>
          <w:szCs w:val="24"/>
        </w:rPr>
        <w:t xml:space="preserve">. </w:t>
      </w:r>
      <w:r w:rsidR="00C7200E" w:rsidRPr="002946A9">
        <w:rPr>
          <w:rFonts w:ascii="Trebuchet MS" w:hAnsi="Trebuchet MS"/>
          <w:szCs w:val="24"/>
        </w:rPr>
        <w:t>E</w:t>
      </w:r>
      <w:r w:rsidRPr="002946A9">
        <w:rPr>
          <w:rFonts w:ascii="Trebuchet MS" w:hAnsi="Trebuchet MS"/>
          <w:szCs w:val="24"/>
        </w:rPr>
        <w:t>l detalle</w:t>
      </w:r>
      <w:r w:rsidR="00BA5D63" w:rsidRPr="002946A9">
        <w:rPr>
          <w:rFonts w:ascii="Trebuchet MS" w:hAnsi="Trebuchet MS"/>
          <w:szCs w:val="24"/>
        </w:rPr>
        <w:t xml:space="preserve"> </w:t>
      </w:r>
      <w:r w:rsidR="007606FE" w:rsidRPr="002946A9">
        <w:rPr>
          <w:rFonts w:ascii="Trebuchet MS" w:hAnsi="Trebuchet MS"/>
          <w:szCs w:val="24"/>
        </w:rPr>
        <w:t xml:space="preserve">y la justificación </w:t>
      </w:r>
      <w:r w:rsidRPr="002946A9">
        <w:rPr>
          <w:rFonts w:ascii="Trebuchet MS" w:hAnsi="Trebuchet MS"/>
          <w:szCs w:val="24"/>
        </w:rPr>
        <w:t xml:space="preserve">de </w:t>
      </w:r>
      <w:r w:rsidR="00C7200E" w:rsidRPr="002946A9">
        <w:rPr>
          <w:rFonts w:ascii="Trebuchet MS" w:hAnsi="Trebuchet MS"/>
          <w:szCs w:val="24"/>
        </w:rPr>
        <w:t>la</w:t>
      </w:r>
      <w:r w:rsidR="008A4A13" w:rsidRPr="002946A9">
        <w:rPr>
          <w:rFonts w:ascii="Trebuchet MS" w:hAnsi="Trebuchet MS"/>
          <w:szCs w:val="24"/>
        </w:rPr>
        <w:t xml:space="preserve"> </w:t>
      </w:r>
      <w:r w:rsidR="007606FE" w:rsidRPr="002946A9">
        <w:rPr>
          <w:rFonts w:ascii="Trebuchet MS" w:hAnsi="Trebuchet MS"/>
          <w:szCs w:val="24"/>
        </w:rPr>
        <w:t>desviaci</w:t>
      </w:r>
      <w:r w:rsidR="008A4A13" w:rsidRPr="002946A9">
        <w:rPr>
          <w:rFonts w:ascii="Trebuchet MS" w:hAnsi="Trebuchet MS"/>
          <w:szCs w:val="24"/>
        </w:rPr>
        <w:t xml:space="preserve">ón </w:t>
      </w:r>
      <w:r w:rsidRPr="002946A9">
        <w:rPr>
          <w:rFonts w:ascii="Trebuchet MS" w:hAnsi="Trebuchet MS"/>
          <w:szCs w:val="24"/>
        </w:rPr>
        <w:t>de cada unidad constructiva</w:t>
      </w:r>
      <w:r w:rsidR="005F34E0" w:rsidRPr="002946A9">
        <w:rPr>
          <w:rFonts w:ascii="Trebuchet MS" w:hAnsi="Trebuchet MS"/>
          <w:szCs w:val="24"/>
        </w:rPr>
        <w:t xml:space="preserve"> asociada a cada proyecto</w:t>
      </w:r>
      <w:r w:rsidRPr="002946A9">
        <w:rPr>
          <w:rFonts w:ascii="Trebuchet MS" w:hAnsi="Trebuchet MS"/>
          <w:szCs w:val="24"/>
        </w:rPr>
        <w:t xml:space="preserve"> </w:t>
      </w:r>
      <w:r w:rsidR="00023203" w:rsidRPr="002946A9">
        <w:rPr>
          <w:rFonts w:ascii="Trebuchet MS" w:hAnsi="Trebuchet MS"/>
          <w:szCs w:val="24"/>
        </w:rPr>
        <w:t xml:space="preserve">se puede consultar en el </w:t>
      </w:r>
      <w:r w:rsidRPr="00276217">
        <w:rPr>
          <w:rFonts w:ascii="Trebuchet MS" w:hAnsi="Trebuchet MS"/>
          <w:szCs w:val="24"/>
        </w:rPr>
        <w:t>Anexo 4.</w:t>
      </w:r>
    </w:p>
    <w:p w14:paraId="71E72130" w14:textId="77777777" w:rsidR="009E2F1B" w:rsidRPr="002946A9" w:rsidRDefault="009E2F1B" w:rsidP="00DF29CB">
      <w:pPr>
        <w:ind w:left="360"/>
        <w:jc w:val="both"/>
        <w:rPr>
          <w:rFonts w:ascii="Trebuchet MS" w:hAnsi="Trebuchet MS"/>
          <w:szCs w:val="24"/>
        </w:rPr>
      </w:pPr>
    </w:p>
    <w:p w14:paraId="738AC2EB" w14:textId="7B5C1421" w:rsidR="00AB7A63" w:rsidRPr="0003327E" w:rsidRDefault="00AB7A63" w:rsidP="00DF29CB">
      <w:pPr>
        <w:numPr>
          <w:ilvl w:val="2"/>
          <w:numId w:val="2"/>
        </w:numPr>
        <w:jc w:val="both"/>
        <w:outlineLvl w:val="2"/>
        <w:rPr>
          <w:rFonts w:ascii="Trebuchet MS" w:hAnsi="Trebuchet MS"/>
          <w:b/>
          <w:bCs/>
          <w:szCs w:val="24"/>
        </w:rPr>
      </w:pPr>
      <w:bookmarkStart w:id="214" w:name="_Toc131109369"/>
      <w:bookmarkStart w:id="215" w:name="_Hlk124325326"/>
      <w:r w:rsidRPr="0003327E">
        <w:rPr>
          <w:rFonts w:ascii="Trebuchet MS" w:hAnsi="Trebuchet MS"/>
          <w:b/>
          <w:bCs/>
          <w:szCs w:val="24"/>
        </w:rPr>
        <w:t>Cumplimiento de las metas de calidad del servicio</w:t>
      </w:r>
      <w:bookmarkEnd w:id="214"/>
      <w:r w:rsidRPr="0003327E">
        <w:rPr>
          <w:rFonts w:ascii="Trebuchet MS" w:hAnsi="Trebuchet MS"/>
          <w:b/>
          <w:bCs/>
          <w:szCs w:val="24"/>
        </w:rPr>
        <w:t xml:space="preserve">  </w:t>
      </w:r>
    </w:p>
    <w:p w14:paraId="5FF49DBA" w14:textId="3F2EE501" w:rsidR="00352D3D" w:rsidRPr="0003327E" w:rsidRDefault="00EB5A90" w:rsidP="004B5A56">
      <w:pPr>
        <w:ind w:left="360"/>
        <w:jc w:val="both"/>
        <w:rPr>
          <w:rFonts w:ascii="Trebuchet MS" w:hAnsi="Trebuchet MS"/>
          <w:szCs w:val="24"/>
        </w:rPr>
      </w:pPr>
      <w:r w:rsidRPr="0003327E">
        <w:rPr>
          <w:rFonts w:ascii="Trebuchet MS" w:hAnsi="Trebuchet MS"/>
          <w:szCs w:val="24"/>
        </w:rPr>
        <w:t>El</w:t>
      </w:r>
      <w:r w:rsidR="0052507D" w:rsidRPr="0003327E">
        <w:rPr>
          <w:rFonts w:ascii="Trebuchet MS" w:hAnsi="Trebuchet MS"/>
          <w:szCs w:val="24"/>
        </w:rPr>
        <w:t xml:space="preserve"> resultado de los indicadores de calidad media</w:t>
      </w:r>
      <w:r w:rsidRPr="0003327E">
        <w:rPr>
          <w:rFonts w:ascii="Trebuchet MS" w:hAnsi="Trebuchet MS"/>
          <w:szCs w:val="24"/>
        </w:rPr>
        <w:t>,</w:t>
      </w:r>
      <w:r w:rsidR="0052507D" w:rsidRPr="0003327E">
        <w:rPr>
          <w:rFonts w:ascii="Trebuchet MS" w:hAnsi="Trebuchet MS"/>
          <w:szCs w:val="24"/>
        </w:rPr>
        <w:t xml:space="preserve"> </w:t>
      </w:r>
      <w:r w:rsidR="0052507D" w:rsidRPr="0003327E">
        <w:rPr>
          <w:rFonts w:ascii="Trebuchet MS" w:hAnsi="Trebuchet MS"/>
          <w:i/>
          <w:iCs/>
          <w:szCs w:val="24"/>
        </w:rPr>
        <w:t>SAIDI</w:t>
      </w:r>
      <w:r w:rsidR="0052507D" w:rsidRPr="0003327E">
        <w:rPr>
          <w:rFonts w:ascii="Trebuchet MS" w:hAnsi="Trebuchet MS"/>
          <w:i/>
          <w:iCs/>
          <w:szCs w:val="24"/>
          <w:vertAlign w:val="subscript"/>
        </w:rPr>
        <w:t>j,t</w:t>
      </w:r>
      <w:r w:rsidR="0052507D" w:rsidRPr="0003327E">
        <w:rPr>
          <w:rFonts w:ascii="Trebuchet MS" w:hAnsi="Trebuchet MS"/>
          <w:szCs w:val="24"/>
        </w:rPr>
        <w:t xml:space="preserve"> y </w:t>
      </w:r>
      <w:r w:rsidR="0052507D" w:rsidRPr="0003327E">
        <w:rPr>
          <w:rFonts w:ascii="Trebuchet MS" w:hAnsi="Trebuchet MS"/>
          <w:i/>
          <w:iCs/>
          <w:szCs w:val="24"/>
        </w:rPr>
        <w:t>SAIFI</w:t>
      </w:r>
      <w:r w:rsidR="0052507D" w:rsidRPr="0003327E">
        <w:rPr>
          <w:rFonts w:ascii="Trebuchet MS" w:hAnsi="Trebuchet MS"/>
          <w:i/>
          <w:iCs/>
          <w:szCs w:val="24"/>
          <w:vertAlign w:val="subscript"/>
        </w:rPr>
        <w:t>j,t</w:t>
      </w:r>
      <w:r w:rsidR="0052507D" w:rsidRPr="0003327E">
        <w:rPr>
          <w:rFonts w:ascii="Trebuchet MS" w:hAnsi="Trebuchet MS"/>
          <w:szCs w:val="24"/>
        </w:rPr>
        <w:t>,</w:t>
      </w:r>
      <w:r w:rsidR="00B33311" w:rsidRPr="0003327E">
        <w:rPr>
          <w:rFonts w:ascii="Trebuchet MS" w:hAnsi="Trebuchet MS"/>
          <w:szCs w:val="24"/>
        </w:rPr>
        <w:t xml:space="preserve"> para el año </w:t>
      </w:r>
      <w:r w:rsidR="00DE22F7" w:rsidRPr="0003327E">
        <w:rPr>
          <w:rFonts w:ascii="Trebuchet MS" w:hAnsi="Trebuchet MS"/>
          <w:szCs w:val="24"/>
        </w:rPr>
        <w:t>202</w:t>
      </w:r>
      <w:r w:rsidR="00DE22F7" w:rsidRPr="00EF3F98">
        <w:rPr>
          <w:rFonts w:ascii="Trebuchet MS" w:hAnsi="Trebuchet MS"/>
          <w:szCs w:val="24"/>
        </w:rPr>
        <w:t>2</w:t>
      </w:r>
      <w:r w:rsidR="00DE22F7" w:rsidRPr="0003327E">
        <w:rPr>
          <w:rFonts w:ascii="Trebuchet MS" w:hAnsi="Trebuchet MS"/>
          <w:szCs w:val="24"/>
        </w:rPr>
        <w:t xml:space="preserve"> </w:t>
      </w:r>
      <w:r w:rsidRPr="0003327E">
        <w:rPr>
          <w:rFonts w:ascii="Trebuchet MS" w:hAnsi="Trebuchet MS"/>
          <w:szCs w:val="24"/>
        </w:rPr>
        <w:t>se presenta en la</w:t>
      </w:r>
      <w:r w:rsidR="00352D3D" w:rsidRPr="0003327E">
        <w:rPr>
          <w:rFonts w:ascii="Trebuchet MS" w:hAnsi="Trebuchet MS"/>
          <w:szCs w:val="24"/>
        </w:rPr>
        <w:t xml:space="preserve"> </w:t>
      </w:r>
      <w:r w:rsidR="00352D3D" w:rsidRPr="0003327E">
        <w:rPr>
          <w:rFonts w:ascii="Trebuchet MS" w:hAnsi="Trebuchet MS"/>
          <w:szCs w:val="24"/>
        </w:rPr>
        <w:fldChar w:fldCharType="begin"/>
      </w:r>
      <w:r w:rsidR="00352D3D" w:rsidRPr="0003327E">
        <w:rPr>
          <w:rFonts w:ascii="Trebuchet MS" w:hAnsi="Trebuchet MS"/>
          <w:szCs w:val="24"/>
        </w:rPr>
        <w:instrText xml:space="preserve"> REF _Ref67479610 \h </w:instrText>
      </w:r>
      <w:r w:rsidR="00DF29CB" w:rsidRPr="0003327E">
        <w:rPr>
          <w:rFonts w:ascii="Trebuchet MS" w:hAnsi="Trebuchet MS"/>
          <w:szCs w:val="24"/>
        </w:rPr>
        <w:instrText xml:space="preserve"> \* MERGEFORMAT </w:instrText>
      </w:r>
      <w:r w:rsidR="00352D3D" w:rsidRPr="0003327E">
        <w:rPr>
          <w:rFonts w:ascii="Trebuchet MS" w:hAnsi="Trebuchet MS"/>
          <w:szCs w:val="24"/>
        </w:rPr>
      </w:r>
      <w:r w:rsidR="00352D3D" w:rsidRPr="0003327E">
        <w:rPr>
          <w:rFonts w:ascii="Trebuchet MS" w:hAnsi="Trebuchet MS"/>
          <w:szCs w:val="24"/>
        </w:rPr>
        <w:fldChar w:fldCharType="separate"/>
      </w:r>
      <w:r w:rsidR="00C944CB" w:rsidRPr="0003327E">
        <w:rPr>
          <w:rFonts w:ascii="Trebuchet MS" w:hAnsi="Trebuchet MS"/>
        </w:rPr>
        <w:t xml:space="preserve">Tabla </w:t>
      </w:r>
      <w:r w:rsidR="00C944CB">
        <w:rPr>
          <w:rFonts w:ascii="Trebuchet MS" w:hAnsi="Trebuchet MS"/>
          <w:noProof/>
        </w:rPr>
        <w:t>3</w:t>
      </w:r>
      <w:r w:rsidR="00C944CB" w:rsidRPr="0003327E">
        <w:rPr>
          <w:rFonts w:ascii="Trebuchet MS" w:hAnsi="Trebuchet MS"/>
          <w:noProof/>
        </w:rPr>
        <w:t>.</w:t>
      </w:r>
      <w:r w:rsidR="00C944CB">
        <w:rPr>
          <w:rFonts w:ascii="Trebuchet MS" w:hAnsi="Trebuchet MS"/>
          <w:noProof/>
        </w:rPr>
        <w:t>11</w:t>
      </w:r>
      <w:r w:rsidR="00352D3D" w:rsidRPr="0003327E">
        <w:rPr>
          <w:rFonts w:ascii="Trebuchet MS" w:hAnsi="Trebuchet MS"/>
          <w:szCs w:val="24"/>
        </w:rPr>
        <w:fldChar w:fldCharType="end"/>
      </w:r>
      <w:r w:rsidR="00352D3D" w:rsidRPr="0003327E">
        <w:rPr>
          <w:rFonts w:ascii="Trebuchet MS" w:hAnsi="Trebuchet MS"/>
          <w:szCs w:val="24"/>
        </w:rPr>
        <w:t xml:space="preserve">. </w:t>
      </w:r>
    </w:p>
    <w:p w14:paraId="4DC7ACCF" w14:textId="77777777" w:rsidR="00276217" w:rsidRPr="0003327E" w:rsidRDefault="00276217" w:rsidP="00DF29CB">
      <w:pPr>
        <w:spacing w:after="0"/>
        <w:ind w:left="1416" w:hanging="1056"/>
        <w:jc w:val="both"/>
        <w:rPr>
          <w:rFonts w:ascii="Trebuchet MS" w:hAnsi="Trebuchet MS"/>
        </w:rPr>
      </w:pPr>
      <w:bookmarkStart w:id="216" w:name="_Ref67479258"/>
    </w:p>
    <w:p w14:paraId="6BC1B397" w14:textId="53ACA16A" w:rsidR="00BC6C5E" w:rsidRPr="0003327E" w:rsidRDefault="00BC6C5E" w:rsidP="00DF29CB">
      <w:pPr>
        <w:ind w:left="1416" w:hanging="1056"/>
        <w:jc w:val="both"/>
        <w:rPr>
          <w:rFonts w:ascii="Trebuchet MS" w:hAnsi="Trebuchet MS"/>
        </w:rPr>
      </w:pPr>
      <w:bookmarkStart w:id="217" w:name="_Ref67479610"/>
      <w:bookmarkStart w:id="218" w:name="_Toc131032801"/>
      <w:r w:rsidRPr="0003327E">
        <w:rPr>
          <w:rFonts w:ascii="Trebuchet MS" w:hAnsi="Trebuchet MS"/>
        </w:rPr>
        <w:t xml:space="preserve">Tabla </w:t>
      </w:r>
      <w:r w:rsidRPr="0003327E">
        <w:rPr>
          <w:rFonts w:ascii="Trebuchet MS" w:hAnsi="Trebuchet MS"/>
        </w:rPr>
        <w:fldChar w:fldCharType="begin"/>
      </w:r>
      <w:r w:rsidRPr="0003327E">
        <w:rPr>
          <w:rFonts w:ascii="Trebuchet MS" w:hAnsi="Trebuchet MS"/>
        </w:rPr>
        <w:instrText xml:space="preserve"> STYLEREF 1 \s </w:instrText>
      </w:r>
      <w:r w:rsidRPr="0003327E">
        <w:rPr>
          <w:rFonts w:ascii="Trebuchet MS" w:hAnsi="Trebuchet MS"/>
        </w:rPr>
        <w:fldChar w:fldCharType="separate"/>
      </w:r>
      <w:r w:rsidR="00C944CB">
        <w:rPr>
          <w:rFonts w:ascii="Trebuchet MS" w:hAnsi="Trebuchet MS"/>
          <w:noProof/>
        </w:rPr>
        <w:t>3</w:t>
      </w:r>
      <w:r w:rsidRPr="0003327E">
        <w:rPr>
          <w:rFonts w:ascii="Trebuchet MS" w:hAnsi="Trebuchet MS"/>
        </w:rPr>
        <w:fldChar w:fldCharType="end"/>
      </w:r>
      <w:r w:rsidRPr="0003327E">
        <w:rPr>
          <w:rFonts w:ascii="Trebuchet MS" w:hAnsi="Trebuchet MS"/>
        </w:rPr>
        <w:t>.</w:t>
      </w:r>
      <w:r w:rsidRPr="0003327E">
        <w:rPr>
          <w:rFonts w:ascii="Trebuchet MS" w:hAnsi="Trebuchet MS"/>
        </w:rPr>
        <w:fldChar w:fldCharType="begin"/>
      </w:r>
      <w:r w:rsidRPr="0003327E">
        <w:rPr>
          <w:rFonts w:ascii="Trebuchet MS" w:hAnsi="Trebuchet MS"/>
        </w:rPr>
        <w:instrText xml:space="preserve"> SEQ Tabla \* ARABIC \s 1 </w:instrText>
      </w:r>
      <w:r w:rsidRPr="0003327E">
        <w:rPr>
          <w:rFonts w:ascii="Trebuchet MS" w:hAnsi="Trebuchet MS"/>
        </w:rPr>
        <w:fldChar w:fldCharType="separate"/>
      </w:r>
      <w:r w:rsidR="00C944CB">
        <w:rPr>
          <w:rFonts w:ascii="Trebuchet MS" w:hAnsi="Trebuchet MS"/>
          <w:noProof/>
        </w:rPr>
        <w:t>11</w:t>
      </w:r>
      <w:r w:rsidRPr="0003327E">
        <w:rPr>
          <w:rFonts w:ascii="Trebuchet MS" w:hAnsi="Trebuchet MS"/>
        </w:rPr>
        <w:fldChar w:fldCharType="end"/>
      </w:r>
      <w:bookmarkEnd w:id="216"/>
      <w:bookmarkEnd w:id="217"/>
      <w:r w:rsidRPr="0003327E">
        <w:rPr>
          <w:rFonts w:ascii="Trebuchet MS" w:hAnsi="Trebuchet MS"/>
        </w:rPr>
        <w:t xml:space="preserve">  </w:t>
      </w:r>
      <w:r w:rsidR="00342342" w:rsidRPr="0003327E">
        <w:rPr>
          <w:rFonts w:ascii="Trebuchet MS" w:hAnsi="Trebuchet MS"/>
        </w:rPr>
        <w:t xml:space="preserve">Resultado de indicadores de calidad media EPM - año </w:t>
      </w:r>
      <w:r w:rsidR="00DE22F7" w:rsidRPr="0003327E">
        <w:rPr>
          <w:rFonts w:ascii="Trebuchet MS" w:hAnsi="Trebuchet MS"/>
        </w:rPr>
        <w:t>202</w:t>
      </w:r>
      <w:r w:rsidR="00DE22F7" w:rsidRPr="00EF3F98">
        <w:rPr>
          <w:rFonts w:ascii="Trebuchet MS" w:hAnsi="Trebuchet MS"/>
        </w:rPr>
        <w:t>2</w:t>
      </w:r>
      <w:r w:rsidR="00342342" w:rsidRPr="0003327E">
        <w:rPr>
          <w:rFonts w:ascii="Trebuchet MS" w:hAnsi="Trebuchet MS"/>
        </w:rPr>
        <w:t>.</w:t>
      </w:r>
      <w:bookmarkEnd w:id="218"/>
    </w:p>
    <w:tbl>
      <w:tblPr>
        <w:tblStyle w:val="Tablaconcuadrcula5oscura-nfasis1"/>
        <w:tblW w:w="0" w:type="auto"/>
        <w:jc w:val="center"/>
        <w:tblLook w:val="04A0" w:firstRow="1" w:lastRow="0" w:firstColumn="1" w:lastColumn="0" w:noHBand="0" w:noVBand="1"/>
      </w:tblPr>
      <w:tblGrid>
        <w:gridCol w:w="2747"/>
        <w:gridCol w:w="2268"/>
        <w:gridCol w:w="1984"/>
      </w:tblGrid>
      <w:tr w:rsidR="00BC6C5E" w:rsidRPr="0003327E" w14:paraId="0BE606A9" w14:textId="77777777" w:rsidTr="00F862E3">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747" w:type="dxa"/>
            <w:hideMark/>
          </w:tcPr>
          <w:p w14:paraId="42679D6A" w14:textId="77777777" w:rsidR="00BC6C5E" w:rsidRPr="0003327E" w:rsidRDefault="00BC6C5E" w:rsidP="00F862E3">
            <w:pPr>
              <w:rPr>
                <w:rFonts w:eastAsia="Times New Roman" w:cs="Calibri"/>
                <w:bCs w:val="0"/>
                <w:color w:val="auto"/>
                <w:sz w:val="20"/>
                <w:szCs w:val="20"/>
              </w:rPr>
            </w:pPr>
            <w:r w:rsidRPr="0003327E">
              <w:rPr>
                <w:rFonts w:eastAsia="Times New Roman" w:cs="Calibri"/>
                <w:sz w:val="20"/>
                <w:szCs w:val="20"/>
              </w:rPr>
              <w:t>Descripción</w:t>
            </w:r>
          </w:p>
        </w:tc>
        <w:tc>
          <w:tcPr>
            <w:tcW w:w="2268" w:type="dxa"/>
            <w:hideMark/>
          </w:tcPr>
          <w:p w14:paraId="1C0EC2E1" w14:textId="3B70F427" w:rsidR="00BC6C5E" w:rsidRPr="0003327E" w:rsidRDefault="00BC6C5E" w:rsidP="00F862E3">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20"/>
                <w:szCs w:val="20"/>
              </w:rPr>
            </w:pPr>
            <w:r w:rsidRPr="0003327E">
              <w:rPr>
                <w:rFonts w:eastAsia="Times New Roman" w:cs="Times New Roman"/>
                <w:i/>
                <w:sz w:val="20"/>
                <w:szCs w:val="20"/>
                <w:lang w:val="es-ES_tradnl" w:eastAsia="es-ES"/>
              </w:rPr>
              <w:t>SAIDI</w:t>
            </w:r>
            <w:r w:rsidRPr="0003327E">
              <w:rPr>
                <w:rFonts w:eastAsia="Times New Roman" w:cs="Times New Roman"/>
                <w:i/>
                <w:sz w:val="20"/>
                <w:szCs w:val="20"/>
                <w:vertAlign w:val="subscript"/>
                <w:lang w:val="es-ES_tradnl" w:eastAsia="es-ES"/>
              </w:rPr>
              <w:t>j,</w:t>
            </w:r>
            <w:r w:rsidR="00347B3B" w:rsidRPr="0003327E">
              <w:rPr>
                <w:rFonts w:eastAsia="Times New Roman" w:cs="Times New Roman"/>
                <w:i/>
                <w:sz w:val="20"/>
                <w:szCs w:val="20"/>
                <w:vertAlign w:val="subscript"/>
                <w:lang w:val="es-ES_tradnl" w:eastAsia="es-ES"/>
              </w:rPr>
              <w:t>3</w:t>
            </w:r>
          </w:p>
        </w:tc>
        <w:tc>
          <w:tcPr>
            <w:tcW w:w="1984" w:type="dxa"/>
            <w:hideMark/>
          </w:tcPr>
          <w:p w14:paraId="7D56F445" w14:textId="5017DEEE" w:rsidR="00BC6C5E" w:rsidRPr="0003327E" w:rsidRDefault="00BC6C5E" w:rsidP="00F862E3">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20"/>
                <w:szCs w:val="20"/>
              </w:rPr>
            </w:pPr>
            <w:r w:rsidRPr="0003327E">
              <w:rPr>
                <w:rFonts w:eastAsia="Times New Roman" w:cs="Times New Roman"/>
                <w:i/>
                <w:sz w:val="20"/>
                <w:szCs w:val="20"/>
                <w:lang w:val="es-ES_tradnl" w:eastAsia="es-ES"/>
              </w:rPr>
              <w:t>SAIFI</w:t>
            </w:r>
            <w:r w:rsidRPr="0003327E">
              <w:rPr>
                <w:rFonts w:eastAsia="Times New Roman" w:cs="Times New Roman"/>
                <w:i/>
                <w:sz w:val="20"/>
                <w:szCs w:val="20"/>
                <w:vertAlign w:val="subscript"/>
                <w:lang w:val="es-ES_tradnl" w:eastAsia="es-ES"/>
              </w:rPr>
              <w:t>j,</w:t>
            </w:r>
            <w:r w:rsidR="00347B3B" w:rsidRPr="0003327E">
              <w:rPr>
                <w:rFonts w:eastAsia="Times New Roman" w:cs="Times New Roman"/>
                <w:i/>
                <w:sz w:val="20"/>
                <w:szCs w:val="20"/>
                <w:vertAlign w:val="subscript"/>
                <w:lang w:val="es-ES_tradnl" w:eastAsia="es-ES"/>
              </w:rPr>
              <w:t>3</w:t>
            </w:r>
          </w:p>
        </w:tc>
      </w:tr>
      <w:tr w:rsidR="00BC6C5E" w:rsidRPr="0003327E" w14:paraId="551B6552" w14:textId="77777777" w:rsidTr="00A90AFB">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2747" w:type="dxa"/>
            <w:noWrap/>
          </w:tcPr>
          <w:p w14:paraId="129A4429" w14:textId="247B0140" w:rsidR="00BC6C5E" w:rsidRPr="0003327E" w:rsidRDefault="00BC6C5E" w:rsidP="00A90AFB">
            <w:pPr>
              <w:rPr>
                <w:rFonts w:eastAsia="Times New Roman" w:cs="Calibri"/>
                <w:bCs w:val="0"/>
                <w:color w:val="auto"/>
                <w:sz w:val="20"/>
                <w:szCs w:val="20"/>
              </w:rPr>
            </w:pPr>
            <w:r w:rsidRPr="0003327E">
              <w:rPr>
                <w:rFonts w:eastAsia="Times New Roman" w:cs="Calibri"/>
                <w:sz w:val="20"/>
                <w:szCs w:val="20"/>
              </w:rPr>
              <w:t>Banda de indiferencia</w:t>
            </w:r>
            <w:r w:rsidR="00342342" w:rsidRPr="0003327E">
              <w:rPr>
                <w:rFonts w:eastAsia="Times New Roman" w:cs="Calibri"/>
                <w:sz w:val="20"/>
                <w:szCs w:val="20"/>
              </w:rPr>
              <w:t xml:space="preserve"> plan</w:t>
            </w:r>
          </w:p>
        </w:tc>
        <w:tc>
          <w:tcPr>
            <w:tcW w:w="2268" w:type="dxa"/>
            <w:noWrap/>
          </w:tcPr>
          <w:p w14:paraId="4335864D" w14:textId="61492E9C" w:rsidR="00BC6C5E" w:rsidRPr="0003327E" w:rsidRDefault="00490AD5" w:rsidP="00F862E3">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03327E">
              <w:rPr>
                <w:rFonts w:eastAsia="Times New Roman" w:cs="Calibri"/>
                <w:sz w:val="20"/>
                <w:szCs w:val="20"/>
              </w:rPr>
              <w:t>9.952 – 10.002 horas</w:t>
            </w:r>
          </w:p>
        </w:tc>
        <w:tc>
          <w:tcPr>
            <w:tcW w:w="1984" w:type="dxa"/>
            <w:noWrap/>
          </w:tcPr>
          <w:p w14:paraId="776E14A8" w14:textId="77777777" w:rsidR="00BC6C5E" w:rsidRPr="0003327E" w:rsidRDefault="00BC6C5E" w:rsidP="00F862E3">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03327E">
              <w:rPr>
                <w:rFonts w:eastAsia="Times New Roman" w:cs="Calibri"/>
                <w:sz w:val="20"/>
                <w:szCs w:val="20"/>
              </w:rPr>
              <w:t>8.955 – 9.045 veces</w:t>
            </w:r>
          </w:p>
        </w:tc>
      </w:tr>
      <w:tr w:rsidR="00BC6C5E" w:rsidRPr="0003327E" w14:paraId="6DE52102" w14:textId="77777777" w:rsidTr="00A90AFB">
        <w:trPr>
          <w:cnfStyle w:val="000000010000" w:firstRow="0" w:lastRow="0" w:firstColumn="0" w:lastColumn="0" w:oddVBand="0" w:evenVBand="0" w:oddHBand="0" w:evenHBand="1"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2747" w:type="dxa"/>
            <w:noWrap/>
          </w:tcPr>
          <w:p w14:paraId="170AD109" w14:textId="1E39161C" w:rsidR="00BC6C5E" w:rsidRPr="0003327E" w:rsidRDefault="00BC6C5E" w:rsidP="00A90AFB">
            <w:pPr>
              <w:rPr>
                <w:rFonts w:eastAsia="Times New Roman" w:cs="Calibri"/>
                <w:bCs w:val="0"/>
                <w:color w:val="auto"/>
                <w:sz w:val="20"/>
                <w:szCs w:val="20"/>
              </w:rPr>
            </w:pPr>
            <w:r w:rsidRPr="0003327E">
              <w:rPr>
                <w:rFonts w:eastAsia="Times New Roman" w:cs="Calibri"/>
                <w:sz w:val="20"/>
                <w:szCs w:val="20"/>
              </w:rPr>
              <w:t xml:space="preserve">Valor obtenido - año </w:t>
            </w:r>
            <w:r w:rsidR="00DE22F7" w:rsidRPr="0003327E">
              <w:rPr>
                <w:rFonts w:eastAsia="Times New Roman" w:cs="Calibri"/>
                <w:sz w:val="20"/>
                <w:szCs w:val="20"/>
              </w:rPr>
              <w:t>202</w:t>
            </w:r>
            <w:r w:rsidR="00DE22F7" w:rsidRPr="00EF3F98">
              <w:rPr>
                <w:rFonts w:eastAsia="Times New Roman" w:cs="Calibri"/>
                <w:sz w:val="20"/>
                <w:szCs w:val="20"/>
              </w:rPr>
              <w:t>2</w:t>
            </w:r>
          </w:p>
        </w:tc>
        <w:tc>
          <w:tcPr>
            <w:tcW w:w="2268" w:type="dxa"/>
            <w:noWrap/>
          </w:tcPr>
          <w:p w14:paraId="1501FC5F" w14:textId="3688C6AC" w:rsidR="00BC6C5E" w:rsidRPr="0003327E" w:rsidRDefault="003705FA" w:rsidP="00F862E3">
            <w:pPr>
              <w:jc w:val="center"/>
              <w:cnfStyle w:val="000000010000" w:firstRow="0" w:lastRow="0" w:firstColumn="0" w:lastColumn="0" w:oddVBand="0" w:evenVBand="0" w:oddHBand="0" w:evenHBand="1" w:firstRowFirstColumn="0" w:firstRowLastColumn="0" w:lastRowFirstColumn="0" w:lastRowLastColumn="0"/>
              <w:rPr>
                <w:rFonts w:eastAsia="Times New Roman" w:cs="Calibri"/>
                <w:b/>
                <w:sz w:val="20"/>
                <w:szCs w:val="20"/>
              </w:rPr>
            </w:pPr>
            <w:r w:rsidRPr="0003327E">
              <w:rPr>
                <w:rFonts w:eastAsia="Times New Roman" w:cs="Calibri"/>
                <w:b/>
                <w:sz w:val="20"/>
                <w:szCs w:val="20"/>
              </w:rPr>
              <w:t>13.</w:t>
            </w:r>
            <w:r w:rsidR="00727FA3" w:rsidRPr="00EF3F98">
              <w:rPr>
                <w:rFonts w:eastAsia="Times New Roman" w:cs="Calibri"/>
                <w:b/>
                <w:sz w:val="20"/>
                <w:szCs w:val="20"/>
              </w:rPr>
              <w:t>14</w:t>
            </w:r>
            <w:r w:rsidR="00727FA3" w:rsidRPr="0003327E">
              <w:rPr>
                <w:rFonts w:eastAsia="Times New Roman" w:cs="Calibri"/>
                <w:b/>
                <w:sz w:val="20"/>
                <w:szCs w:val="20"/>
              </w:rPr>
              <w:t xml:space="preserve"> </w:t>
            </w:r>
            <w:r w:rsidR="00BC6C5E" w:rsidRPr="0003327E">
              <w:rPr>
                <w:rFonts w:eastAsia="Times New Roman" w:cs="Calibri"/>
                <w:b/>
                <w:sz w:val="20"/>
                <w:szCs w:val="20"/>
              </w:rPr>
              <w:t>horas</w:t>
            </w:r>
          </w:p>
        </w:tc>
        <w:tc>
          <w:tcPr>
            <w:tcW w:w="1984" w:type="dxa"/>
            <w:noWrap/>
          </w:tcPr>
          <w:p w14:paraId="083B8189" w14:textId="2F1378B6" w:rsidR="00BC6C5E" w:rsidRPr="0003327E" w:rsidRDefault="00727FA3" w:rsidP="00F862E3">
            <w:pPr>
              <w:jc w:val="center"/>
              <w:cnfStyle w:val="000000010000" w:firstRow="0" w:lastRow="0" w:firstColumn="0" w:lastColumn="0" w:oddVBand="0" w:evenVBand="0" w:oddHBand="0" w:evenHBand="1" w:firstRowFirstColumn="0" w:firstRowLastColumn="0" w:lastRowFirstColumn="0" w:lastRowLastColumn="0"/>
              <w:rPr>
                <w:rFonts w:eastAsia="Times New Roman" w:cs="Calibri"/>
                <w:b/>
                <w:sz w:val="20"/>
                <w:szCs w:val="20"/>
              </w:rPr>
            </w:pPr>
            <w:r w:rsidRPr="00EF3F98">
              <w:rPr>
                <w:rFonts w:eastAsia="Times New Roman" w:cs="Calibri"/>
                <w:b/>
                <w:sz w:val="20"/>
                <w:szCs w:val="20"/>
              </w:rPr>
              <w:t>7.87</w:t>
            </w:r>
            <w:r w:rsidR="00BC6C5E" w:rsidRPr="0003327E">
              <w:rPr>
                <w:rFonts w:eastAsia="Times New Roman" w:cs="Calibri"/>
                <w:b/>
                <w:sz w:val="20"/>
                <w:szCs w:val="20"/>
              </w:rPr>
              <w:t>veces</w:t>
            </w:r>
          </w:p>
        </w:tc>
      </w:tr>
    </w:tbl>
    <w:p w14:paraId="025999A2" w14:textId="77777777" w:rsidR="00BC6C5E" w:rsidRPr="0003327E" w:rsidRDefault="00BC6C5E" w:rsidP="00DF29CB">
      <w:pPr>
        <w:ind w:left="360"/>
        <w:jc w:val="both"/>
        <w:rPr>
          <w:rFonts w:ascii="Trebuchet MS" w:hAnsi="Trebuchet MS"/>
          <w:szCs w:val="24"/>
        </w:rPr>
      </w:pPr>
    </w:p>
    <w:p w14:paraId="273822D1" w14:textId="21B57191" w:rsidR="00EB5A90" w:rsidRPr="002946A9" w:rsidRDefault="00676275" w:rsidP="005E02D1">
      <w:pPr>
        <w:spacing w:after="0"/>
        <w:ind w:left="360"/>
        <w:jc w:val="both"/>
        <w:rPr>
          <w:rFonts w:ascii="Trebuchet MS" w:hAnsi="Trebuchet MS"/>
          <w:szCs w:val="24"/>
        </w:rPr>
      </w:pPr>
      <w:r w:rsidRPr="0003327E">
        <w:rPr>
          <w:rFonts w:ascii="Trebuchet MS" w:hAnsi="Trebuchet MS"/>
          <w:szCs w:val="24"/>
        </w:rPr>
        <w:t xml:space="preserve">De la </w:t>
      </w:r>
      <w:r w:rsidRPr="0003327E">
        <w:rPr>
          <w:rFonts w:ascii="Trebuchet MS" w:hAnsi="Trebuchet MS"/>
          <w:szCs w:val="24"/>
        </w:rPr>
        <w:fldChar w:fldCharType="begin"/>
      </w:r>
      <w:r w:rsidRPr="0003327E">
        <w:rPr>
          <w:rFonts w:ascii="Trebuchet MS" w:hAnsi="Trebuchet MS"/>
          <w:szCs w:val="24"/>
        </w:rPr>
        <w:instrText xml:space="preserve"> REF _Ref67479610 \h </w:instrText>
      </w:r>
      <w:r w:rsidR="00DF29CB" w:rsidRPr="0003327E">
        <w:rPr>
          <w:rFonts w:ascii="Trebuchet MS" w:hAnsi="Trebuchet MS"/>
          <w:szCs w:val="24"/>
        </w:rPr>
        <w:instrText xml:space="preserve"> \* MERGEFORMAT </w:instrText>
      </w:r>
      <w:r w:rsidRPr="0003327E">
        <w:rPr>
          <w:rFonts w:ascii="Trebuchet MS" w:hAnsi="Trebuchet MS"/>
          <w:szCs w:val="24"/>
        </w:rPr>
      </w:r>
      <w:r w:rsidRPr="0003327E">
        <w:rPr>
          <w:rFonts w:ascii="Trebuchet MS" w:hAnsi="Trebuchet MS"/>
          <w:szCs w:val="24"/>
        </w:rPr>
        <w:fldChar w:fldCharType="separate"/>
      </w:r>
      <w:r w:rsidR="00C944CB" w:rsidRPr="0003327E">
        <w:rPr>
          <w:rFonts w:ascii="Trebuchet MS" w:hAnsi="Trebuchet MS"/>
        </w:rPr>
        <w:t xml:space="preserve">Tabla </w:t>
      </w:r>
      <w:r w:rsidR="00C944CB">
        <w:rPr>
          <w:rFonts w:ascii="Trebuchet MS" w:hAnsi="Trebuchet MS"/>
          <w:noProof/>
        </w:rPr>
        <w:t>3</w:t>
      </w:r>
      <w:r w:rsidR="00C944CB" w:rsidRPr="0003327E">
        <w:rPr>
          <w:rFonts w:ascii="Trebuchet MS" w:hAnsi="Trebuchet MS"/>
          <w:noProof/>
        </w:rPr>
        <w:t>.</w:t>
      </w:r>
      <w:r w:rsidR="00C944CB">
        <w:rPr>
          <w:rFonts w:ascii="Trebuchet MS" w:hAnsi="Trebuchet MS"/>
          <w:noProof/>
        </w:rPr>
        <w:t>11</w:t>
      </w:r>
      <w:r w:rsidRPr="0003327E">
        <w:rPr>
          <w:rFonts w:ascii="Trebuchet MS" w:hAnsi="Trebuchet MS"/>
          <w:szCs w:val="24"/>
        </w:rPr>
        <w:fldChar w:fldCharType="end"/>
      </w:r>
      <w:r w:rsidRPr="0003327E">
        <w:rPr>
          <w:rFonts w:ascii="Trebuchet MS" w:hAnsi="Trebuchet MS"/>
          <w:szCs w:val="24"/>
        </w:rPr>
        <w:t xml:space="preserve"> se observa que </w:t>
      </w:r>
      <w:r w:rsidR="00B4289E" w:rsidRPr="0003327E">
        <w:rPr>
          <w:rFonts w:ascii="Trebuchet MS" w:hAnsi="Trebuchet MS"/>
          <w:szCs w:val="24"/>
        </w:rPr>
        <w:t xml:space="preserve">para el </w:t>
      </w:r>
      <w:r w:rsidR="00B4289E" w:rsidRPr="0003327E">
        <w:rPr>
          <w:rFonts w:ascii="Trebuchet MS" w:hAnsi="Trebuchet MS"/>
        </w:rPr>
        <w:t xml:space="preserve">indicador </w:t>
      </w:r>
      <w:r w:rsidR="00B4289E" w:rsidRPr="0003327E">
        <w:rPr>
          <w:rFonts w:ascii="Trebuchet MS" w:eastAsia="Times New Roman" w:hAnsi="Trebuchet MS" w:cs="Times New Roman"/>
          <w:i/>
          <w:lang w:val="es-ES_tradnl" w:eastAsia="es-ES"/>
        </w:rPr>
        <w:t>SAIFI</w:t>
      </w:r>
      <w:r w:rsidR="00B4289E" w:rsidRPr="0003327E">
        <w:rPr>
          <w:rFonts w:ascii="Trebuchet MS" w:eastAsia="Times New Roman" w:hAnsi="Trebuchet MS" w:cs="Times New Roman"/>
          <w:i/>
          <w:vertAlign w:val="subscript"/>
          <w:lang w:val="es-ES_tradnl" w:eastAsia="es-ES"/>
        </w:rPr>
        <w:t>j,</w:t>
      </w:r>
      <w:r w:rsidR="00AC3626">
        <w:rPr>
          <w:rFonts w:ascii="Trebuchet MS" w:eastAsia="Times New Roman" w:hAnsi="Trebuchet MS" w:cs="Times New Roman"/>
          <w:i/>
          <w:vertAlign w:val="subscript"/>
          <w:lang w:val="es-ES_tradnl" w:eastAsia="es-ES"/>
        </w:rPr>
        <w:t>4</w:t>
      </w:r>
      <w:r w:rsidR="00B4289E" w:rsidRPr="0003327E">
        <w:rPr>
          <w:rFonts w:ascii="Trebuchet MS" w:hAnsi="Trebuchet MS"/>
        </w:rPr>
        <w:t>, el</w:t>
      </w:r>
      <w:r w:rsidR="00B4289E" w:rsidRPr="0003327E">
        <w:rPr>
          <w:rFonts w:ascii="Trebuchet MS" w:hAnsi="Trebuchet MS"/>
          <w:szCs w:val="24"/>
        </w:rPr>
        <w:t xml:space="preserve"> valor obtenido se encuentra por debajo del límite inferior se la banda de indiferencia,</w:t>
      </w:r>
      <w:r w:rsidR="00572FBC" w:rsidRPr="0003327E">
        <w:rPr>
          <w:rFonts w:ascii="Trebuchet MS" w:hAnsi="Trebuchet MS"/>
          <w:szCs w:val="24"/>
        </w:rPr>
        <w:t xml:space="preserve"> cumpliendo así con la meta y logrando un incentivo </w:t>
      </w:r>
      <w:r w:rsidR="007C71CA" w:rsidRPr="0003327E">
        <w:rPr>
          <w:rFonts w:ascii="Trebuchet MS" w:hAnsi="Trebuchet MS"/>
          <w:szCs w:val="24"/>
        </w:rPr>
        <w:t xml:space="preserve">económico </w:t>
      </w:r>
      <w:r w:rsidR="00572FBC" w:rsidRPr="0003327E">
        <w:rPr>
          <w:rFonts w:ascii="Trebuchet MS" w:hAnsi="Trebuchet MS"/>
          <w:szCs w:val="24"/>
        </w:rPr>
        <w:t>positivo para EPM</w:t>
      </w:r>
      <w:r w:rsidR="007C71CA" w:rsidRPr="0003327E">
        <w:rPr>
          <w:rFonts w:ascii="Trebuchet MS" w:hAnsi="Trebuchet MS"/>
          <w:szCs w:val="24"/>
        </w:rPr>
        <w:t xml:space="preserve">, acorde a lo establecido en el numeral </w:t>
      </w:r>
      <w:r w:rsidR="004F5E72" w:rsidRPr="0003327E">
        <w:rPr>
          <w:rFonts w:ascii="Trebuchet MS" w:hAnsi="Trebuchet MS"/>
          <w:szCs w:val="24"/>
        </w:rPr>
        <w:t>5.2.</w:t>
      </w:r>
      <w:r w:rsidR="007D7C5C" w:rsidRPr="0003327E">
        <w:rPr>
          <w:rFonts w:ascii="Trebuchet MS" w:hAnsi="Trebuchet MS"/>
          <w:szCs w:val="24"/>
        </w:rPr>
        <w:t>3.2 de la resolución CREG 015 del 2018.</w:t>
      </w:r>
    </w:p>
    <w:bookmarkEnd w:id="215"/>
    <w:p w14:paraId="1B7F7C75" w14:textId="473C52F6" w:rsidR="00B35BF6" w:rsidRPr="002946A9" w:rsidRDefault="00B35BF6" w:rsidP="00DF29CB">
      <w:pPr>
        <w:ind w:left="360"/>
        <w:jc w:val="both"/>
        <w:rPr>
          <w:rFonts w:ascii="Trebuchet MS" w:hAnsi="Trebuchet MS"/>
          <w:szCs w:val="24"/>
        </w:rPr>
      </w:pPr>
    </w:p>
    <w:p w14:paraId="42C65711" w14:textId="5F3741E6" w:rsidR="00AB7A63" w:rsidRPr="00FC2C20" w:rsidRDefault="00AB7A63" w:rsidP="00DF29CB">
      <w:pPr>
        <w:numPr>
          <w:ilvl w:val="2"/>
          <w:numId w:val="2"/>
        </w:numPr>
        <w:jc w:val="both"/>
        <w:outlineLvl w:val="2"/>
        <w:rPr>
          <w:rFonts w:ascii="Trebuchet MS" w:hAnsi="Trebuchet MS"/>
          <w:b/>
          <w:bCs/>
          <w:szCs w:val="24"/>
        </w:rPr>
      </w:pPr>
      <w:bookmarkStart w:id="219" w:name="_Toc131109370"/>
      <w:r w:rsidRPr="00FC2C20">
        <w:rPr>
          <w:rFonts w:ascii="Trebuchet MS" w:hAnsi="Trebuchet MS"/>
          <w:b/>
          <w:bCs/>
          <w:szCs w:val="24"/>
        </w:rPr>
        <w:t>Cumplimiento de</w:t>
      </w:r>
      <w:r w:rsidR="003302C1" w:rsidRPr="00FC2C20">
        <w:rPr>
          <w:rFonts w:ascii="Trebuchet MS" w:hAnsi="Trebuchet MS"/>
          <w:b/>
          <w:bCs/>
          <w:szCs w:val="24"/>
        </w:rPr>
        <w:t xml:space="preserve"> los índices de pérdidas</w:t>
      </w:r>
      <w:bookmarkEnd w:id="219"/>
      <w:r w:rsidRPr="00FC2C20">
        <w:rPr>
          <w:rFonts w:ascii="Trebuchet MS" w:hAnsi="Trebuchet MS"/>
          <w:b/>
          <w:bCs/>
          <w:szCs w:val="24"/>
        </w:rPr>
        <w:t xml:space="preserve">  </w:t>
      </w:r>
    </w:p>
    <w:p w14:paraId="31260AF6" w14:textId="17ABC59B" w:rsidR="00580B05" w:rsidRPr="00FC2C20" w:rsidRDefault="00686E4E" w:rsidP="00580B05">
      <w:pPr>
        <w:spacing w:after="0"/>
        <w:ind w:left="360"/>
        <w:jc w:val="both"/>
        <w:rPr>
          <w:rFonts w:ascii="Trebuchet MS" w:hAnsi="Trebuchet MS"/>
          <w:szCs w:val="24"/>
        </w:rPr>
      </w:pPr>
      <w:r w:rsidRPr="00FC2C20">
        <w:rPr>
          <w:rFonts w:ascii="Trebuchet MS" w:hAnsi="Trebuchet MS"/>
          <w:szCs w:val="24"/>
        </w:rPr>
        <w:t xml:space="preserve">Para el año </w:t>
      </w:r>
      <w:r w:rsidR="00580B05" w:rsidRPr="00FC2C20">
        <w:rPr>
          <w:rFonts w:ascii="Trebuchet MS" w:hAnsi="Trebuchet MS"/>
          <w:szCs w:val="24"/>
        </w:rPr>
        <w:t>202</w:t>
      </w:r>
      <w:r w:rsidR="00811307" w:rsidRPr="00FC2C20">
        <w:rPr>
          <w:rFonts w:ascii="Trebuchet MS" w:hAnsi="Trebuchet MS"/>
          <w:szCs w:val="24"/>
        </w:rPr>
        <w:t>2</w:t>
      </w:r>
      <w:r w:rsidR="00580B05" w:rsidRPr="00FC2C20">
        <w:rPr>
          <w:rFonts w:ascii="Trebuchet MS" w:hAnsi="Trebuchet MS"/>
          <w:szCs w:val="24"/>
        </w:rPr>
        <w:t xml:space="preserve"> el valor del IP para el nivel de tensión 4 fue de </w:t>
      </w:r>
      <w:r w:rsidR="00580B05" w:rsidRPr="003C7E21">
        <w:rPr>
          <w:rFonts w:ascii="Trebuchet MS" w:hAnsi="Trebuchet MS"/>
          <w:szCs w:val="24"/>
        </w:rPr>
        <w:t>0.9</w:t>
      </w:r>
      <w:r w:rsidR="003C7E21" w:rsidRPr="003C7E21">
        <w:rPr>
          <w:rFonts w:ascii="Trebuchet MS" w:hAnsi="Trebuchet MS"/>
          <w:szCs w:val="24"/>
        </w:rPr>
        <w:t>2</w:t>
      </w:r>
      <w:r w:rsidR="00580B05" w:rsidRPr="00FC2C20">
        <w:rPr>
          <w:rFonts w:ascii="Trebuchet MS" w:hAnsi="Trebuchet MS"/>
          <w:szCs w:val="24"/>
        </w:rPr>
        <w:t xml:space="preserve"> %, este fue calculado de acuerdo con la metodología de la resolución CREG 015 de 2018 y CREG 036 de 2019. Para los niveles 2 y 3 se utilizan los valores aprobados en resolución particular al OR de 1.12 % y 1.21%, respectivamente. Para el año 202</w:t>
      </w:r>
      <w:r w:rsidR="00811307" w:rsidRPr="00FC2C20">
        <w:rPr>
          <w:rFonts w:ascii="Trebuchet MS" w:hAnsi="Trebuchet MS"/>
          <w:szCs w:val="24"/>
        </w:rPr>
        <w:t>2</w:t>
      </w:r>
      <w:r w:rsidR="00580B05" w:rsidRPr="00FC2C20">
        <w:rPr>
          <w:rFonts w:ascii="Trebuchet MS" w:hAnsi="Trebuchet MS"/>
          <w:szCs w:val="24"/>
        </w:rPr>
        <w:t xml:space="preserve">, el nivel de tensión 1, cerró con un valor de </w:t>
      </w:r>
      <w:r w:rsidR="0052223F">
        <w:rPr>
          <w:rFonts w:ascii="Trebuchet MS" w:hAnsi="Trebuchet MS"/>
          <w:szCs w:val="24"/>
        </w:rPr>
        <w:t>10.81</w:t>
      </w:r>
      <w:r w:rsidR="00580B05" w:rsidRPr="00FC2C20">
        <w:rPr>
          <w:rFonts w:ascii="Trebuchet MS" w:hAnsi="Trebuchet MS"/>
          <w:szCs w:val="24"/>
        </w:rPr>
        <w:t>%.</w:t>
      </w:r>
    </w:p>
    <w:p w14:paraId="2F83F84C" w14:textId="77777777" w:rsidR="00580B05" w:rsidRPr="00FC2C20" w:rsidRDefault="00580B05" w:rsidP="00580B05">
      <w:pPr>
        <w:spacing w:after="0"/>
        <w:ind w:left="360"/>
        <w:jc w:val="both"/>
        <w:rPr>
          <w:rFonts w:ascii="Trebuchet MS" w:hAnsi="Trebuchet MS"/>
          <w:szCs w:val="24"/>
        </w:rPr>
      </w:pPr>
    </w:p>
    <w:p w14:paraId="1B7F5670" w14:textId="0782714C" w:rsidR="00580B05" w:rsidRPr="00FC2C20" w:rsidRDefault="00580B05" w:rsidP="00580B05">
      <w:pPr>
        <w:spacing w:after="0"/>
        <w:ind w:left="360"/>
        <w:jc w:val="both"/>
        <w:rPr>
          <w:rFonts w:ascii="Trebuchet MS" w:hAnsi="Trebuchet MS"/>
          <w:szCs w:val="24"/>
        </w:rPr>
      </w:pPr>
      <w:r w:rsidRPr="00FC2C20">
        <w:rPr>
          <w:rFonts w:ascii="Trebuchet MS" w:hAnsi="Trebuchet MS"/>
          <w:szCs w:val="24"/>
        </w:rPr>
        <w:t>Los flujos de energía fueron calculados con la mejor información disponible para la variable EsVSFC, debido a dificultades en el reporte de información de otros OR que no han ingresado en el esquema de la Resolución CREG 015 de 2018, lo cual no ha permitido la certificación en el SUI de varios formatos TC2 del año 202</w:t>
      </w:r>
      <w:r w:rsidR="00FC2C20" w:rsidRPr="00FC2C20">
        <w:rPr>
          <w:rFonts w:ascii="Trebuchet MS" w:hAnsi="Trebuchet MS"/>
          <w:szCs w:val="24"/>
        </w:rPr>
        <w:t>2</w:t>
      </w:r>
      <w:r w:rsidRPr="00FC2C20">
        <w:rPr>
          <w:rFonts w:ascii="Trebuchet MS" w:hAnsi="Trebuchet MS"/>
          <w:szCs w:val="24"/>
        </w:rPr>
        <w:t xml:space="preserve">. </w:t>
      </w:r>
    </w:p>
    <w:p w14:paraId="51090A70" w14:textId="77777777" w:rsidR="00580B05" w:rsidRPr="00FC2C20" w:rsidRDefault="00580B05" w:rsidP="00580B05">
      <w:pPr>
        <w:spacing w:after="0"/>
        <w:ind w:left="360"/>
        <w:jc w:val="both"/>
        <w:rPr>
          <w:rFonts w:ascii="Trebuchet MS" w:hAnsi="Trebuchet MS"/>
          <w:szCs w:val="24"/>
        </w:rPr>
      </w:pPr>
    </w:p>
    <w:p w14:paraId="723ACEDC" w14:textId="586FD276" w:rsidR="00C94122" w:rsidRPr="002946A9" w:rsidRDefault="00580B05" w:rsidP="00580B05">
      <w:pPr>
        <w:spacing w:after="0"/>
        <w:ind w:left="360"/>
        <w:jc w:val="both"/>
        <w:rPr>
          <w:rFonts w:ascii="Trebuchet MS" w:hAnsi="Trebuchet MS"/>
          <w:szCs w:val="24"/>
        </w:rPr>
      </w:pPr>
      <w:r w:rsidRPr="00FC2C20">
        <w:rPr>
          <w:rFonts w:ascii="Trebuchet MS" w:hAnsi="Trebuchet MS"/>
          <w:szCs w:val="24"/>
        </w:rPr>
        <w:t xml:space="preserve">Las variables FeSTN y FsSTN  se encuentran pendiente de aclaración metodológica por parte del LAC, dado que se esta a la espera de la metodología regulatoria para la asignación de flujos por nivel de tensión en transformadores tridevanados de conexión al STN, por tal motivo EPM reporta en </w:t>
      </w:r>
      <w:r w:rsidR="004171B1" w:rsidRPr="00FC2C20">
        <w:rPr>
          <w:rFonts w:ascii="Trebuchet MS" w:hAnsi="Trebuchet MS"/>
          <w:szCs w:val="24"/>
        </w:rPr>
        <w:t>estas</w:t>
      </w:r>
      <w:r w:rsidRPr="00FC2C20">
        <w:rPr>
          <w:rFonts w:ascii="Trebuchet MS" w:hAnsi="Trebuchet MS"/>
          <w:szCs w:val="24"/>
        </w:rPr>
        <w:t xml:space="preserve"> variables los valores que considera mantienen el espíritu de la Resolución para el cálculo de los flujos de energía. Actualmente LAC utiliza otros valores para </w:t>
      </w:r>
      <w:r w:rsidR="004171B1" w:rsidRPr="00FC2C20">
        <w:rPr>
          <w:rFonts w:ascii="Trebuchet MS" w:hAnsi="Trebuchet MS"/>
          <w:szCs w:val="24"/>
        </w:rPr>
        <w:t>estas</w:t>
      </w:r>
      <w:r w:rsidRPr="00FC2C20">
        <w:rPr>
          <w:rFonts w:ascii="Trebuchet MS" w:hAnsi="Trebuchet MS"/>
          <w:szCs w:val="24"/>
        </w:rPr>
        <w:t xml:space="preserve"> variables</w:t>
      </w:r>
    </w:p>
    <w:p w14:paraId="188E8710" w14:textId="12E12C9A" w:rsidR="006A74B4" w:rsidRPr="002946A9" w:rsidRDefault="006A74B4" w:rsidP="00DF29CB">
      <w:pPr>
        <w:ind w:firstLine="360"/>
        <w:jc w:val="both"/>
        <w:rPr>
          <w:rFonts w:ascii="Trebuchet MS" w:hAnsi="Trebuchet MS"/>
          <w:szCs w:val="24"/>
        </w:rPr>
      </w:pPr>
    </w:p>
    <w:p w14:paraId="5F15BECB" w14:textId="0E203C6D" w:rsidR="00AB2B38" w:rsidRPr="00903F81" w:rsidRDefault="00956289" w:rsidP="00AB2B38">
      <w:pPr>
        <w:numPr>
          <w:ilvl w:val="2"/>
          <w:numId w:val="2"/>
        </w:numPr>
        <w:jc w:val="both"/>
        <w:outlineLvl w:val="2"/>
        <w:rPr>
          <w:rFonts w:ascii="Trebuchet MS" w:hAnsi="Trebuchet MS"/>
          <w:b/>
          <w:bCs/>
          <w:szCs w:val="24"/>
        </w:rPr>
      </w:pPr>
      <w:bookmarkStart w:id="220" w:name="_Toc131109371"/>
      <w:r w:rsidRPr="00903F81">
        <w:rPr>
          <w:rFonts w:ascii="Trebuchet MS" w:hAnsi="Trebuchet MS"/>
          <w:b/>
          <w:bCs/>
          <w:szCs w:val="24"/>
        </w:rPr>
        <w:t>Avance en la implementación del Sistema de Gestión de Activos</w:t>
      </w:r>
      <w:bookmarkEnd w:id="220"/>
      <w:r w:rsidR="00AB2B38" w:rsidRPr="00903F81">
        <w:rPr>
          <w:rFonts w:ascii="Trebuchet MS" w:hAnsi="Trebuchet MS"/>
          <w:b/>
          <w:bCs/>
          <w:szCs w:val="24"/>
        </w:rPr>
        <w:t xml:space="preserve">  </w:t>
      </w:r>
    </w:p>
    <w:p w14:paraId="6378D5DA" w14:textId="5D9C111B" w:rsidR="00AB2B38" w:rsidRDefault="006970C2" w:rsidP="00801D3F">
      <w:pPr>
        <w:spacing w:after="0"/>
        <w:ind w:left="360"/>
        <w:jc w:val="both"/>
        <w:rPr>
          <w:rFonts w:ascii="Trebuchet MS" w:hAnsi="Trebuchet MS"/>
          <w:szCs w:val="24"/>
        </w:rPr>
      </w:pPr>
      <w:r w:rsidRPr="00903F81">
        <w:rPr>
          <w:rFonts w:ascii="Trebuchet MS" w:hAnsi="Trebuchet MS"/>
          <w:szCs w:val="24"/>
        </w:rPr>
        <w:t>El informe de avance en la implementación del Sistema de Gestión de Activos</w:t>
      </w:r>
      <w:r w:rsidR="008851B3">
        <w:rPr>
          <w:rFonts w:ascii="Trebuchet MS" w:hAnsi="Trebuchet MS"/>
          <w:szCs w:val="24"/>
        </w:rPr>
        <w:t xml:space="preserve"> y la certificación del mismo</w:t>
      </w:r>
      <w:r w:rsidRPr="00903F81">
        <w:rPr>
          <w:rFonts w:ascii="Trebuchet MS" w:hAnsi="Trebuchet MS"/>
          <w:szCs w:val="24"/>
        </w:rPr>
        <w:t xml:space="preserve"> se presenta en el </w:t>
      </w:r>
      <w:r w:rsidRPr="00F92E72">
        <w:rPr>
          <w:rFonts w:ascii="Trebuchet MS" w:hAnsi="Trebuchet MS"/>
          <w:szCs w:val="24"/>
        </w:rPr>
        <w:t>Anexo 8,</w:t>
      </w:r>
      <w:r w:rsidRPr="00903F81">
        <w:rPr>
          <w:rFonts w:ascii="Trebuchet MS" w:hAnsi="Trebuchet MS"/>
          <w:szCs w:val="24"/>
        </w:rPr>
        <w:t xml:space="preserve"> el anexo contiene: línea base o punto de partida identificado en el diagnóstico, síntesis del plan de trabajo, avances en su ejecución</w:t>
      </w:r>
      <w:r w:rsidR="00DC1496" w:rsidRPr="00903F81">
        <w:rPr>
          <w:rFonts w:ascii="Trebuchet MS" w:hAnsi="Trebuchet MS"/>
          <w:szCs w:val="24"/>
        </w:rPr>
        <w:t xml:space="preserve">, </w:t>
      </w:r>
      <w:r w:rsidRPr="00903F81">
        <w:rPr>
          <w:rFonts w:ascii="Trebuchet MS" w:hAnsi="Trebuchet MS"/>
          <w:szCs w:val="24"/>
        </w:rPr>
        <w:t>cierre de brechas, inversiones realizadas y la estrategia para facilitar el acceso de los organismos de control a la información de los activos del sistema de distribución</w:t>
      </w:r>
      <w:r w:rsidR="00C87C8E" w:rsidRPr="00903F81">
        <w:rPr>
          <w:rFonts w:ascii="Trebuchet MS" w:hAnsi="Trebuchet MS"/>
          <w:szCs w:val="24"/>
        </w:rPr>
        <w:t xml:space="preserve"> de EPM.</w:t>
      </w:r>
      <w:r w:rsidR="00157671" w:rsidRPr="00903F81">
        <w:rPr>
          <w:rFonts w:ascii="Trebuchet MS" w:hAnsi="Trebuchet MS"/>
          <w:szCs w:val="24"/>
        </w:rPr>
        <w:t xml:space="preserve"> Se incluye además </w:t>
      </w:r>
      <w:r w:rsidR="00F740E7" w:rsidRPr="00903F81">
        <w:rPr>
          <w:rFonts w:ascii="Trebuchet MS" w:hAnsi="Trebuchet MS"/>
          <w:szCs w:val="24"/>
        </w:rPr>
        <w:t xml:space="preserve">un informe </w:t>
      </w:r>
      <w:r w:rsidR="00984E2D" w:rsidRPr="00903F81">
        <w:rPr>
          <w:rFonts w:ascii="Trebuchet MS" w:hAnsi="Trebuchet MS"/>
          <w:szCs w:val="24"/>
        </w:rPr>
        <w:t xml:space="preserve">de diagnóstico </w:t>
      </w:r>
      <w:r w:rsidR="00165A22" w:rsidRPr="00903F81">
        <w:rPr>
          <w:rFonts w:ascii="Trebuchet MS" w:hAnsi="Trebuchet MS"/>
          <w:szCs w:val="24"/>
        </w:rPr>
        <w:t xml:space="preserve">y otro con las conclusiones </w:t>
      </w:r>
      <w:r w:rsidR="00F740E7" w:rsidRPr="00903F81">
        <w:rPr>
          <w:rFonts w:ascii="Trebuchet MS" w:hAnsi="Trebuchet MS"/>
          <w:szCs w:val="24"/>
        </w:rPr>
        <w:t>del grado de madurez</w:t>
      </w:r>
      <w:r w:rsidR="00165A22" w:rsidRPr="00903F81">
        <w:rPr>
          <w:rFonts w:ascii="Trebuchet MS" w:hAnsi="Trebuchet MS"/>
          <w:szCs w:val="24"/>
        </w:rPr>
        <w:t xml:space="preserve"> de la implementación</w:t>
      </w:r>
      <w:r w:rsidR="00F11772">
        <w:rPr>
          <w:rFonts w:ascii="Trebuchet MS" w:hAnsi="Trebuchet MS"/>
          <w:szCs w:val="24"/>
        </w:rPr>
        <w:t xml:space="preserve"> con su respectiva certificación</w:t>
      </w:r>
      <w:r w:rsidR="00165A22" w:rsidRPr="00903F81">
        <w:rPr>
          <w:rFonts w:ascii="Trebuchet MS" w:hAnsi="Trebuchet MS"/>
          <w:szCs w:val="24"/>
        </w:rPr>
        <w:t>.</w:t>
      </w:r>
    </w:p>
    <w:p w14:paraId="33D7C862" w14:textId="23228763" w:rsidR="00BC296B" w:rsidRDefault="00BC296B" w:rsidP="00801D3F">
      <w:pPr>
        <w:spacing w:after="0"/>
        <w:ind w:left="360"/>
        <w:jc w:val="both"/>
        <w:rPr>
          <w:rFonts w:ascii="Trebuchet MS" w:hAnsi="Trebuchet MS"/>
          <w:szCs w:val="24"/>
        </w:rPr>
      </w:pPr>
    </w:p>
    <w:p w14:paraId="7EB0B136" w14:textId="2F506A35" w:rsidR="00BC296B" w:rsidRPr="002946A9" w:rsidRDefault="008851B3" w:rsidP="00801D3F">
      <w:pPr>
        <w:spacing w:after="0"/>
        <w:ind w:left="360"/>
        <w:jc w:val="both"/>
        <w:rPr>
          <w:rFonts w:ascii="Trebuchet MS" w:hAnsi="Trebuchet MS"/>
          <w:szCs w:val="24"/>
        </w:rPr>
      </w:pPr>
      <w:r>
        <w:rPr>
          <w:rFonts w:ascii="Trebuchet MS" w:hAnsi="Trebuchet MS"/>
          <w:szCs w:val="24"/>
        </w:rPr>
        <w:t>Se índica que e</w:t>
      </w:r>
      <w:r w:rsidR="00211ACA" w:rsidRPr="00EF3F98">
        <w:rPr>
          <w:rFonts w:ascii="Trebuchet MS" w:hAnsi="Trebuchet MS"/>
          <w:szCs w:val="24"/>
        </w:rPr>
        <w:t>l sistema de Gestión de Activos de las unidades de negocio de Transmisión y Distribución de EPM fue certificado el 8 de noviembre de 2022 y con vigencia hasta 7 de noviembre de 2025, lo que evidencia que el sistema de gestión de activos es adecuado, pertinente y eficaz</w:t>
      </w:r>
      <w:r w:rsidR="001A78B3">
        <w:rPr>
          <w:rFonts w:ascii="Trebuchet MS" w:hAnsi="Trebuchet MS"/>
          <w:szCs w:val="24"/>
        </w:rPr>
        <w:t>.</w:t>
      </w:r>
    </w:p>
    <w:p w14:paraId="0A5E07F1" w14:textId="77777777" w:rsidR="00801D3F" w:rsidRPr="002946A9" w:rsidRDefault="00801D3F" w:rsidP="00801D3F">
      <w:pPr>
        <w:spacing w:after="0"/>
        <w:ind w:left="360"/>
        <w:jc w:val="both"/>
        <w:rPr>
          <w:rFonts w:ascii="Trebuchet MS" w:hAnsi="Trebuchet MS"/>
          <w:szCs w:val="24"/>
        </w:rPr>
      </w:pPr>
    </w:p>
    <w:p w14:paraId="0E9B42CC" w14:textId="77777777" w:rsidR="00AB2B38" w:rsidRPr="002946A9" w:rsidRDefault="00AB2B38" w:rsidP="00801D3F">
      <w:pPr>
        <w:spacing w:after="0"/>
        <w:ind w:left="360"/>
        <w:jc w:val="both"/>
        <w:rPr>
          <w:rFonts w:ascii="Trebuchet MS" w:hAnsi="Trebuchet MS"/>
          <w:szCs w:val="24"/>
        </w:rPr>
      </w:pPr>
    </w:p>
    <w:p w14:paraId="6EC98BB1" w14:textId="3E7688A5" w:rsidR="0067080B" w:rsidRPr="002946A9" w:rsidRDefault="00EF0C80" w:rsidP="00AB2B38">
      <w:pPr>
        <w:pStyle w:val="Prrafodelista"/>
        <w:numPr>
          <w:ilvl w:val="1"/>
          <w:numId w:val="2"/>
        </w:numPr>
        <w:jc w:val="both"/>
        <w:outlineLvl w:val="1"/>
        <w:rPr>
          <w:rFonts w:ascii="Trebuchet MS" w:hAnsi="Trebuchet MS"/>
          <w:b/>
          <w:sz w:val="24"/>
          <w:szCs w:val="32"/>
        </w:rPr>
      </w:pPr>
      <w:bookmarkStart w:id="221" w:name="_Toc131109372"/>
      <w:r w:rsidRPr="002946A9">
        <w:rPr>
          <w:rFonts w:ascii="Trebuchet MS" w:hAnsi="Trebuchet MS"/>
          <w:b/>
          <w:sz w:val="24"/>
          <w:szCs w:val="32"/>
        </w:rPr>
        <w:t xml:space="preserve">Seguimiento </w:t>
      </w:r>
      <w:r w:rsidR="002B67FD" w:rsidRPr="002946A9">
        <w:rPr>
          <w:rFonts w:ascii="Trebuchet MS" w:hAnsi="Trebuchet MS"/>
          <w:b/>
          <w:sz w:val="24"/>
          <w:szCs w:val="32"/>
        </w:rPr>
        <w:t>a las bases de activos</w:t>
      </w:r>
      <w:bookmarkEnd w:id="221"/>
    </w:p>
    <w:p w14:paraId="4500EC8D" w14:textId="0CBE105A" w:rsidR="0067080B" w:rsidRPr="002946A9" w:rsidRDefault="000650AA" w:rsidP="00813F17">
      <w:pPr>
        <w:spacing w:after="0"/>
        <w:ind w:left="360"/>
        <w:jc w:val="both"/>
        <w:rPr>
          <w:rFonts w:ascii="Trebuchet MS" w:hAnsi="Trebuchet MS"/>
          <w:szCs w:val="24"/>
        </w:rPr>
      </w:pPr>
      <w:r w:rsidRPr="002946A9">
        <w:rPr>
          <w:rFonts w:ascii="Trebuchet MS" w:hAnsi="Trebuchet MS"/>
          <w:szCs w:val="24"/>
        </w:rPr>
        <w:t xml:space="preserve">En este numeral se presenta </w:t>
      </w:r>
      <w:r w:rsidR="00AA08FA" w:rsidRPr="002946A9">
        <w:rPr>
          <w:rFonts w:ascii="Trebuchet MS" w:hAnsi="Trebuchet MS"/>
          <w:szCs w:val="24"/>
        </w:rPr>
        <w:t xml:space="preserve">el resultado obtenido en el año </w:t>
      </w:r>
      <w:r w:rsidR="00903F81" w:rsidRPr="002946A9">
        <w:rPr>
          <w:rFonts w:ascii="Trebuchet MS" w:hAnsi="Trebuchet MS"/>
          <w:szCs w:val="24"/>
        </w:rPr>
        <w:t>202</w:t>
      </w:r>
      <w:r w:rsidR="00903F81">
        <w:rPr>
          <w:rFonts w:ascii="Trebuchet MS" w:hAnsi="Trebuchet MS"/>
          <w:szCs w:val="24"/>
        </w:rPr>
        <w:t>2</w:t>
      </w:r>
      <w:r w:rsidR="00903F81" w:rsidRPr="002946A9">
        <w:rPr>
          <w:rFonts w:ascii="Trebuchet MS" w:hAnsi="Trebuchet MS"/>
          <w:szCs w:val="24"/>
        </w:rPr>
        <w:t xml:space="preserve"> </w:t>
      </w:r>
      <w:r w:rsidR="00AA08FA" w:rsidRPr="002946A9">
        <w:rPr>
          <w:rFonts w:ascii="Trebuchet MS" w:hAnsi="Trebuchet MS"/>
          <w:szCs w:val="24"/>
        </w:rPr>
        <w:t xml:space="preserve">para las </w:t>
      </w:r>
      <w:r w:rsidR="006141DF" w:rsidRPr="002946A9">
        <w:rPr>
          <w:rFonts w:ascii="Trebuchet MS" w:hAnsi="Trebuchet MS"/>
          <w:szCs w:val="24"/>
        </w:rPr>
        <w:t>bases de activos que salen de operación</w:t>
      </w:r>
      <w:r w:rsidR="00034B39" w:rsidRPr="002946A9">
        <w:rPr>
          <w:rFonts w:ascii="Trebuchet MS" w:hAnsi="Trebuchet MS"/>
          <w:szCs w:val="24"/>
        </w:rPr>
        <w:t xml:space="preserve"> y</w:t>
      </w:r>
      <w:r w:rsidR="006141DF" w:rsidRPr="002946A9">
        <w:rPr>
          <w:rFonts w:ascii="Trebuchet MS" w:hAnsi="Trebuchet MS"/>
          <w:szCs w:val="24"/>
        </w:rPr>
        <w:t xml:space="preserve"> l</w:t>
      </w:r>
      <w:r w:rsidR="0029429C" w:rsidRPr="002946A9">
        <w:rPr>
          <w:rFonts w:ascii="Trebuchet MS" w:hAnsi="Trebuchet MS"/>
          <w:szCs w:val="24"/>
        </w:rPr>
        <w:t>a base de terreno</w:t>
      </w:r>
      <w:r w:rsidR="00034B39" w:rsidRPr="002946A9">
        <w:rPr>
          <w:rFonts w:ascii="Trebuchet MS" w:hAnsi="Trebuchet MS"/>
          <w:szCs w:val="24"/>
        </w:rPr>
        <w:t>s</w:t>
      </w:r>
      <w:r w:rsidR="0067080B" w:rsidRPr="002946A9">
        <w:rPr>
          <w:rFonts w:ascii="Trebuchet MS" w:hAnsi="Trebuchet MS"/>
          <w:szCs w:val="24"/>
        </w:rPr>
        <w:t>.</w:t>
      </w:r>
    </w:p>
    <w:p w14:paraId="16E8747D" w14:textId="5E22C9B9" w:rsidR="0067080B" w:rsidRPr="002946A9" w:rsidRDefault="0067080B" w:rsidP="00DF29CB">
      <w:pPr>
        <w:ind w:left="360"/>
        <w:jc w:val="both"/>
        <w:rPr>
          <w:rFonts w:ascii="Trebuchet MS" w:hAnsi="Trebuchet MS"/>
          <w:szCs w:val="24"/>
        </w:rPr>
      </w:pPr>
    </w:p>
    <w:p w14:paraId="1171C692" w14:textId="01DDFE16" w:rsidR="008D2BA1" w:rsidRPr="002946A9" w:rsidRDefault="000650AA" w:rsidP="00AB2B38">
      <w:pPr>
        <w:numPr>
          <w:ilvl w:val="2"/>
          <w:numId w:val="2"/>
        </w:numPr>
        <w:jc w:val="both"/>
        <w:outlineLvl w:val="2"/>
        <w:rPr>
          <w:rFonts w:ascii="Trebuchet MS" w:hAnsi="Trebuchet MS"/>
          <w:b/>
          <w:bCs/>
          <w:szCs w:val="24"/>
        </w:rPr>
      </w:pPr>
      <w:bookmarkStart w:id="222" w:name="_Toc131109373"/>
      <w:r w:rsidRPr="002946A9">
        <w:rPr>
          <w:rFonts w:ascii="Trebuchet MS" w:hAnsi="Trebuchet MS"/>
          <w:b/>
          <w:bCs/>
          <w:szCs w:val="24"/>
        </w:rPr>
        <w:t>Base de activos fuera de operación</w:t>
      </w:r>
      <w:bookmarkEnd w:id="222"/>
      <w:r w:rsidR="008D2BA1" w:rsidRPr="002946A9">
        <w:rPr>
          <w:rFonts w:ascii="Trebuchet MS" w:hAnsi="Trebuchet MS"/>
          <w:b/>
          <w:bCs/>
          <w:szCs w:val="24"/>
        </w:rPr>
        <w:t xml:space="preserve">  </w:t>
      </w:r>
    </w:p>
    <w:p w14:paraId="54DB983E" w14:textId="2D205DB0" w:rsidR="008D2BA1" w:rsidRPr="002946A9" w:rsidRDefault="00C77C5C" w:rsidP="00DF29CB">
      <w:pPr>
        <w:ind w:left="360"/>
        <w:jc w:val="both"/>
        <w:rPr>
          <w:rFonts w:ascii="Trebuchet MS" w:hAnsi="Trebuchet MS"/>
          <w:szCs w:val="24"/>
        </w:rPr>
      </w:pPr>
      <w:r w:rsidRPr="002946A9">
        <w:rPr>
          <w:rFonts w:ascii="Trebuchet MS" w:hAnsi="Trebuchet MS"/>
          <w:szCs w:val="24"/>
        </w:rPr>
        <w:t xml:space="preserve">El valor de los activos que salieron de operación en el sistema de </w:t>
      </w:r>
      <w:r w:rsidR="00012F7C" w:rsidRPr="002946A9">
        <w:rPr>
          <w:rFonts w:ascii="Trebuchet MS" w:hAnsi="Trebuchet MS"/>
          <w:szCs w:val="24"/>
        </w:rPr>
        <w:t>EPM</w:t>
      </w:r>
      <w:r w:rsidRPr="002946A9">
        <w:rPr>
          <w:rFonts w:ascii="Trebuchet MS" w:hAnsi="Trebuchet MS"/>
          <w:szCs w:val="24"/>
        </w:rPr>
        <w:t xml:space="preserve"> se calcula según</w:t>
      </w:r>
      <w:r w:rsidR="00E60AD9" w:rsidRPr="002946A9">
        <w:rPr>
          <w:rFonts w:ascii="Trebuchet MS" w:hAnsi="Trebuchet MS"/>
          <w:szCs w:val="24"/>
        </w:rPr>
        <w:t xml:space="preserve"> lo establecido en</w:t>
      </w:r>
      <w:r w:rsidRPr="002946A9">
        <w:rPr>
          <w:rFonts w:ascii="Trebuchet MS" w:hAnsi="Trebuchet MS"/>
          <w:szCs w:val="24"/>
        </w:rPr>
        <w:t xml:space="preserve"> el numeral 3.1.1.4 de la resolución CREG 015 de 2018</w:t>
      </w:r>
      <w:r w:rsidR="00B45AE5" w:rsidRPr="002946A9">
        <w:rPr>
          <w:rFonts w:ascii="Trebuchet MS" w:hAnsi="Trebuchet MS"/>
          <w:szCs w:val="24"/>
        </w:rPr>
        <w:t xml:space="preserve">, modificado por el artículo </w:t>
      </w:r>
      <w:r w:rsidR="007257C8" w:rsidRPr="002946A9">
        <w:rPr>
          <w:rFonts w:ascii="Trebuchet MS" w:hAnsi="Trebuchet MS"/>
          <w:szCs w:val="24"/>
        </w:rPr>
        <w:t>3 de la resolución CREG 085 del 2018.</w:t>
      </w:r>
      <w:r w:rsidR="00705C11" w:rsidRPr="002946A9">
        <w:rPr>
          <w:rFonts w:ascii="Trebuchet MS" w:hAnsi="Trebuchet MS"/>
          <w:szCs w:val="24"/>
        </w:rPr>
        <w:t xml:space="preserve"> El </w:t>
      </w:r>
      <w:r w:rsidR="009A4205" w:rsidRPr="002946A9">
        <w:rPr>
          <w:rFonts w:ascii="Trebuchet MS" w:hAnsi="Trebuchet MS"/>
          <w:szCs w:val="24"/>
        </w:rPr>
        <w:t xml:space="preserve">resultado del cálculo se incluye </w:t>
      </w:r>
      <w:r w:rsidRPr="002946A9">
        <w:rPr>
          <w:rFonts w:ascii="Trebuchet MS" w:hAnsi="Trebuchet MS"/>
          <w:szCs w:val="24"/>
        </w:rPr>
        <w:t>en la variable</w:t>
      </w:r>
      <w:r w:rsidR="009A4205" w:rsidRPr="002946A9">
        <w:rPr>
          <w:rFonts w:ascii="Trebuchet MS" w:hAnsi="Trebuchet MS"/>
          <w:szCs w:val="24"/>
        </w:rPr>
        <w:t xml:space="preserve"> </w:t>
      </w:r>
      <w:r w:rsidRPr="002946A9">
        <w:rPr>
          <w:rFonts w:ascii="Trebuchet MS" w:hAnsi="Trebuchet MS"/>
          <w:i/>
          <w:iCs/>
          <w:szCs w:val="24"/>
        </w:rPr>
        <w:t>BRAFO</w:t>
      </w:r>
      <w:r w:rsidRPr="002946A9">
        <w:rPr>
          <w:rFonts w:ascii="Trebuchet MS" w:hAnsi="Trebuchet MS"/>
          <w:i/>
          <w:iCs/>
          <w:szCs w:val="24"/>
          <w:vertAlign w:val="subscript"/>
        </w:rPr>
        <w:t>j,n,t</w:t>
      </w:r>
      <w:r w:rsidRPr="002946A9">
        <w:rPr>
          <w:rFonts w:ascii="Trebuchet MS" w:hAnsi="Trebuchet MS"/>
          <w:szCs w:val="24"/>
        </w:rPr>
        <w:t xml:space="preserve">, </w:t>
      </w:r>
      <w:r w:rsidR="00E70127" w:rsidRPr="002946A9">
        <w:rPr>
          <w:rFonts w:ascii="Trebuchet MS" w:hAnsi="Trebuchet MS"/>
          <w:szCs w:val="24"/>
        </w:rPr>
        <w:t>la cual, está definida por nivel de tensión</w:t>
      </w:r>
      <w:r w:rsidR="009D4F45" w:rsidRPr="002946A9">
        <w:rPr>
          <w:rFonts w:ascii="Trebuchet MS" w:hAnsi="Trebuchet MS"/>
          <w:szCs w:val="24"/>
        </w:rPr>
        <w:t>. P</w:t>
      </w:r>
      <w:r w:rsidRPr="002946A9">
        <w:rPr>
          <w:rFonts w:ascii="Trebuchet MS" w:hAnsi="Trebuchet MS"/>
          <w:szCs w:val="24"/>
        </w:rPr>
        <w:t xml:space="preserve">ara el año </w:t>
      </w:r>
      <w:r w:rsidR="002E1C25" w:rsidRPr="002946A9">
        <w:rPr>
          <w:rFonts w:ascii="Trebuchet MS" w:hAnsi="Trebuchet MS"/>
          <w:szCs w:val="24"/>
        </w:rPr>
        <w:t>202</w:t>
      </w:r>
      <w:r w:rsidR="002E1C25">
        <w:rPr>
          <w:rFonts w:ascii="Trebuchet MS" w:hAnsi="Trebuchet MS"/>
          <w:szCs w:val="24"/>
        </w:rPr>
        <w:t>2</w:t>
      </w:r>
      <w:r w:rsidRPr="002946A9">
        <w:rPr>
          <w:rFonts w:ascii="Trebuchet MS" w:hAnsi="Trebuchet MS"/>
          <w:szCs w:val="24"/>
        </w:rPr>
        <w:t>, el valor obtenido</w:t>
      </w:r>
      <w:r w:rsidR="009D4F45" w:rsidRPr="002946A9">
        <w:rPr>
          <w:rFonts w:ascii="Trebuchet MS" w:hAnsi="Trebuchet MS"/>
          <w:szCs w:val="24"/>
        </w:rPr>
        <w:t xml:space="preserve"> para la variable </w:t>
      </w:r>
      <w:r w:rsidR="009D4F45" w:rsidRPr="002946A9">
        <w:rPr>
          <w:rFonts w:ascii="Trebuchet MS" w:hAnsi="Trebuchet MS"/>
          <w:i/>
          <w:iCs/>
          <w:szCs w:val="24"/>
        </w:rPr>
        <w:t>BRAFO</w:t>
      </w:r>
      <w:r w:rsidR="009D4F45" w:rsidRPr="002946A9">
        <w:rPr>
          <w:rFonts w:ascii="Trebuchet MS" w:hAnsi="Trebuchet MS"/>
          <w:i/>
          <w:iCs/>
          <w:szCs w:val="24"/>
          <w:vertAlign w:val="subscript"/>
        </w:rPr>
        <w:t>j,n,</w:t>
      </w:r>
      <w:r w:rsidR="00EE4664">
        <w:rPr>
          <w:rFonts w:ascii="Trebuchet MS" w:hAnsi="Trebuchet MS"/>
          <w:i/>
          <w:iCs/>
          <w:szCs w:val="24"/>
          <w:vertAlign w:val="subscript"/>
        </w:rPr>
        <w:t>4</w:t>
      </w:r>
      <w:r w:rsidRPr="002946A9">
        <w:rPr>
          <w:rFonts w:ascii="Trebuchet MS" w:hAnsi="Trebuchet MS"/>
          <w:szCs w:val="24"/>
        </w:rPr>
        <w:t xml:space="preserve"> </w:t>
      </w:r>
      <w:r w:rsidR="009D4F45" w:rsidRPr="002946A9">
        <w:rPr>
          <w:rFonts w:ascii="Trebuchet MS" w:hAnsi="Trebuchet MS"/>
          <w:szCs w:val="24"/>
        </w:rPr>
        <w:t>se presenta</w:t>
      </w:r>
      <w:r w:rsidR="00012F7C" w:rsidRPr="002946A9">
        <w:rPr>
          <w:rFonts w:ascii="Trebuchet MS" w:hAnsi="Trebuchet MS"/>
          <w:szCs w:val="24"/>
        </w:rPr>
        <w:t xml:space="preserve"> en la</w:t>
      </w:r>
      <w:r w:rsidR="0033416B" w:rsidRPr="002946A9">
        <w:rPr>
          <w:rFonts w:ascii="Trebuchet MS" w:hAnsi="Trebuchet MS"/>
          <w:szCs w:val="24"/>
        </w:rPr>
        <w:t xml:space="preserve"> </w:t>
      </w:r>
      <w:r w:rsidR="0033416B" w:rsidRPr="002946A9">
        <w:rPr>
          <w:rFonts w:ascii="Trebuchet MS" w:hAnsi="Trebuchet MS"/>
          <w:szCs w:val="24"/>
        </w:rPr>
        <w:fldChar w:fldCharType="begin"/>
      </w:r>
      <w:r w:rsidR="0033416B" w:rsidRPr="002946A9">
        <w:rPr>
          <w:rFonts w:ascii="Trebuchet MS" w:hAnsi="Trebuchet MS"/>
          <w:szCs w:val="24"/>
        </w:rPr>
        <w:instrText xml:space="preserve"> REF _Ref67577049 \h </w:instrText>
      </w:r>
      <w:r w:rsidR="00DF29CB" w:rsidRPr="002946A9">
        <w:rPr>
          <w:rFonts w:ascii="Trebuchet MS" w:hAnsi="Trebuchet MS"/>
          <w:szCs w:val="24"/>
        </w:rPr>
        <w:instrText xml:space="preserve"> \* MERGEFORMAT </w:instrText>
      </w:r>
      <w:r w:rsidR="0033416B" w:rsidRPr="002946A9">
        <w:rPr>
          <w:rFonts w:ascii="Trebuchet MS" w:hAnsi="Trebuchet MS"/>
          <w:szCs w:val="24"/>
        </w:rPr>
      </w:r>
      <w:r w:rsidR="0033416B"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12</w:t>
      </w:r>
      <w:r w:rsidR="0033416B" w:rsidRPr="002946A9">
        <w:rPr>
          <w:rFonts w:ascii="Trebuchet MS" w:hAnsi="Trebuchet MS"/>
          <w:szCs w:val="24"/>
        </w:rPr>
        <w:fldChar w:fldCharType="end"/>
      </w:r>
      <w:r w:rsidR="0033416B" w:rsidRPr="002946A9">
        <w:rPr>
          <w:rFonts w:ascii="Trebuchet MS" w:hAnsi="Trebuchet MS"/>
          <w:szCs w:val="24"/>
        </w:rPr>
        <w:t>.</w:t>
      </w:r>
    </w:p>
    <w:p w14:paraId="77A1B38B" w14:textId="357EBB4C" w:rsidR="008D2BA1" w:rsidRDefault="008D2BA1" w:rsidP="00813F17">
      <w:pPr>
        <w:spacing w:after="0"/>
        <w:ind w:left="360"/>
        <w:jc w:val="both"/>
        <w:rPr>
          <w:rFonts w:ascii="Trebuchet MS" w:hAnsi="Trebuchet MS"/>
          <w:szCs w:val="24"/>
        </w:rPr>
      </w:pPr>
    </w:p>
    <w:p w14:paraId="78D21F6E" w14:textId="77777777" w:rsidR="00731A4E" w:rsidRDefault="00731A4E" w:rsidP="00813F17">
      <w:pPr>
        <w:spacing w:after="0"/>
        <w:ind w:left="360"/>
        <w:jc w:val="both"/>
        <w:rPr>
          <w:rFonts w:ascii="Trebuchet MS" w:hAnsi="Trebuchet MS"/>
          <w:szCs w:val="24"/>
        </w:rPr>
      </w:pPr>
    </w:p>
    <w:p w14:paraId="743C7DEF" w14:textId="77777777" w:rsidR="00731A4E" w:rsidRDefault="00731A4E" w:rsidP="00813F17">
      <w:pPr>
        <w:spacing w:after="0"/>
        <w:ind w:left="360"/>
        <w:jc w:val="both"/>
        <w:rPr>
          <w:rFonts w:ascii="Trebuchet MS" w:hAnsi="Trebuchet MS"/>
          <w:szCs w:val="24"/>
        </w:rPr>
      </w:pPr>
    </w:p>
    <w:p w14:paraId="37A9A08B" w14:textId="77777777" w:rsidR="00731A4E" w:rsidRDefault="00731A4E" w:rsidP="00813F17">
      <w:pPr>
        <w:spacing w:after="0"/>
        <w:ind w:left="360"/>
        <w:jc w:val="both"/>
        <w:rPr>
          <w:rFonts w:ascii="Trebuchet MS" w:hAnsi="Trebuchet MS"/>
          <w:szCs w:val="24"/>
        </w:rPr>
      </w:pPr>
    </w:p>
    <w:p w14:paraId="7269D55C" w14:textId="77777777" w:rsidR="00731A4E" w:rsidRPr="002946A9" w:rsidRDefault="00731A4E" w:rsidP="00813F17">
      <w:pPr>
        <w:spacing w:after="0"/>
        <w:ind w:left="360"/>
        <w:jc w:val="both"/>
        <w:rPr>
          <w:rFonts w:ascii="Trebuchet MS" w:hAnsi="Trebuchet MS"/>
          <w:szCs w:val="24"/>
        </w:rPr>
      </w:pPr>
    </w:p>
    <w:p w14:paraId="7D17842D" w14:textId="7B416BC1" w:rsidR="0079352D" w:rsidRPr="002946A9" w:rsidRDefault="0079352D" w:rsidP="00DF29CB">
      <w:pPr>
        <w:ind w:left="1416" w:hanging="1056"/>
        <w:jc w:val="both"/>
        <w:rPr>
          <w:rFonts w:ascii="Trebuchet MS" w:hAnsi="Trebuchet MS"/>
        </w:rPr>
      </w:pPr>
      <w:bookmarkStart w:id="223" w:name="_Ref67577049"/>
      <w:bookmarkStart w:id="224" w:name="_Toc131032802"/>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12</w:t>
      </w:r>
      <w:r w:rsidRPr="002946A9">
        <w:rPr>
          <w:rFonts w:ascii="Trebuchet MS" w:hAnsi="Trebuchet MS"/>
        </w:rPr>
        <w:fldChar w:fldCharType="end"/>
      </w:r>
      <w:bookmarkEnd w:id="223"/>
      <w:r w:rsidRPr="002946A9">
        <w:rPr>
          <w:rFonts w:ascii="Trebuchet MS" w:hAnsi="Trebuchet MS"/>
        </w:rPr>
        <w:t xml:space="preserve">  </w:t>
      </w:r>
      <w:r w:rsidR="0069423B" w:rsidRPr="002946A9">
        <w:rPr>
          <w:rFonts w:ascii="Trebuchet MS" w:hAnsi="Trebuchet MS"/>
        </w:rPr>
        <w:t xml:space="preserve">Valor de los activos que salieron de operación en el sistema de EPM </w:t>
      </w:r>
      <w:r w:rsidR="00AA45A3" w:rsidRPr="002946A9">
        <w:rPr>
          <w:rFonts w:ascii="Trebuchet MS" w:hAnsi="Trebuchet MS"/>
        </w:rPr>
        <w:t xml:space="preserve">en el </w:t>
      </w:r>
      <w:r w:rsidR="0069423B" w:rsidRPr="002946A9">
        <w:rPr>
          <w:rFonts w:ascii="Trebuchet MS" w:hAnsi="Trebuchet MS"/>
        </w:rPr>
        <w:t xml:space="preserve">año </w:t>
      </w:r>
      <w:r w:rsidR="001E6736" w:rsidRPr="002946A9">
        <w:rPr>
          <w:rFonts w:ascii="Trebuchet MS" w:hAnsi="Trebuchet MS"/>
        </w:rPr>
        <w:t>202</w:t>
      </w:r>
      <w:r w:rsidR="001E6736">
        <w:rPr>
          <w:rFonts w:ascii="Trebuchet MS" w:hAnsi="Trebuchet MS"/>
        </w:rPr>
        <w:t>2</w:t>
      </w:r>
      <w:r w:rsidR="007523EC" w:rsidRPr="002946A9">
        <w:rPr>
          <w:rFonts w:ascii="Trebuchet MS" w:hAnsi="Trebuchet MS"/>
        </w:rPr>
        <w:t>.</w:t>
      </w:r>
      <w:bookmarkEnd w:id="224"/>
    </w:p>
    <w:tbl>
      <w:tblPr>
        <w:tblStyle w:val="Tablaconcuadrcula5oscura-nfasis1"/>
        <w:tblW w:w="5337" w:type="dxa"/>
        <w:jc w:val="center"/>
        <w:tblLook w:val="04A0" w:firstRow="1" w:lastRow="0" w:firstColumn="1" w:lastColumn="0" w:noHBand="0" w:noVBand="1"/>
      </w:tblPr>
      <w:tblGrid>
        <w:gridCol w:w="2624"/>
        <w:gridCol w:w="2713"/>
      </w:tblGrid>
      <w:tr w:rsidR="0079352D" w:rsidRPr="000960B1" w14:paraId="5805D8BF" w14:textId="77777777" w:rsidTr="00A0238F">
        <w:trPr>
          <w:cnfStyle w:val="100000000000" w:firstRow="1" w:lastRow="0" w:firstColumn="0" w:lastColumn="0" w:oddVBand="0" w:evenVBand="0" w:oddHBand="0"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2624" w:type="dxa"/>
            <w:noWrap/>
            <w:hideMark/>
          </w:tcPr>
          <w:p w14:paraId="40E402E9" w14:textId="77777777" w:rsidR="0079352D" w:rsidRPr="000960B1" w:rsidRDefault="0079352D" w:rsidP="00A0238F">
            <w:pPr>
              <w:rPr>
                <w:rFonts w:eastAsia="Times New Roman" w:cs="Calibri"/>
                <w:b w:val="0"/>
                <w:bCs w:val="0"/>
                <w:color w:val="000000"/>
                <w:sz w:val="20"/>
                <w:szCs w:val="20"/>
              </w:rPr>
            </w:pPr>
            <w:r w:rsidRPr="000960B1">
              <w:rPr>
                <w:rFonts w:eastAsia="Times New Roman" w:cs="Calibri"/>
                <w:color w:val="000000"/>
                <w:sz w:val="20"/>
                <w:szCs w:val="20"/>
              </w:rPr>
              <w:t>Nivel de Tensión</w:t>
            </w:r>
          </w:p>
        </w:tc>
        <w:tc>
          <w:tcPr>
            <w:tcW w:w="2713" w:type="dxa"/>
            <w:noWrap/>
            <w:hideMark/>
          </w:tcPr>
          <w:p w14:paraId="06507785" w14:textId="5CB83640" w:rsidR="0079352D" w:rsidRPr="000960B1" w:rsidRDefault="0079352D" w:rsidP="00A0238F">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20"/>
                <w:szCs w:val="20"/>
              </w:rPr>
            </w:pPr>
            <w:r w:rsidRPr="000960B1">
              <w:rPr>
                <w:rFonts w:eastAsia="Times New Roman" w:cs="Times New Roman"/>
                <w:i/>
                <w:sz w:val="20"/>
                <w:szCs w:val="20"/>
                <w:lang w:val="es-ES_tradnl" w:eastAsia="es-ES"/>
              </w:rPr>
              <w:t>BRAFO</w:t>
            </w:r>
            <w:r w:rsidRPr="000960B1">
              <w:rPr>
                <w:rFonts w:eastAsia="Times New Roman" w:cs="Times New Roman"/>
                <w:i/>
                <w:sz w:val="20"/>
                <w:szCs w:val="20"/>
                <w:vertAlign w:val="subscript"/>
                <w:lang w:val="es-ES_tradnl" w:eastAsia="es-ES"/>
              </w:rPr>
              <w:t>j,n,</w:t>
            </w:r>
            <w:r w:rsidR="009F547D" w:rsidRPr="000960B1">
              <w:rPr>
                <w:rFonts w:eastAsia="Times New Roman" w:cs="Times New Roman"/>
                <w:i/>
                <w:sz w:val="20"/>
                <w:szCs w:val="20"/>
                <w:vertAlign w:val="subscript"/>
                <w:lang w:val="es-ES_tradnl" w:eastAsia="es-ES"/>
              </w:rPr>
              <w:t>3</w:t>
            </w:r>
            <w:r w:rsidR="004A00E0" w:rsidRPr="000960B1">
              <w:rPr>
                <w:rFonts w:eastAsia="Times New Roman" w:cs="Times New Roman"/>
                <w:i/>
                <w:sz w:val="20"/>
                <w:szCs w:val="20"/>
                <w:vertAlign w:val="superscript"/>
                <w:lang w:val="es-ES_tradnl" w:eastAsia="es-ES"/>
              </w:rPr>
              <w:t>*</w:t>
            </w:r>
          </w:p>
        </w:tc>
      </w:tr>
      <w:tr w:rsidR="006F08F8" w:rsidRPr="000960B1" w14:paraId="700138B0" w14:textId="77777777" w:rsidTr="00E81138">
        <w:trPr>
          <w:cnfStyle w:val="000000100000" w:firstRow="0" w:lastRow="0" w:firstColumn="0" w:lastColumn="0" w:oddVBand="0" w:evenVBand="0" w:oddHBand="1" w:evenHBand="0" w:firstRowFirstColumn="0" w:firstRowLastColumn="0" w:lastRowFirstColumn="0" w:lastRowLastColumn="0"/>
          <w:trHeight w:val="45"/>
          <w:jc w:val="center"/>
        </w:trPr>
        <w:tc>
          <w:tcPr>
            <w:cnfStyle w:val="001000000000" w:firstRow="0" w:lastRow="0" w:firstColumn="1" w:lastColumn="0" w:oddVBand="0" w:evenVBand="0" w:oddHBand="0" w:evenHBand="0" w:firstRowFirstColumn="0" w:firstRowLastColumn="0" w:lastRowFirstColumn="0" w:lastRowLastColumn="0"/>
            <w:tcW w:w="2624" w:type="dxa"/>
            <w:noWrap/>
            <w:hideMark/>
          </w:tcPr>
          <w:p w14:paraId="7358F066" w14:textId="77777777" w:rsidR="006F08F8" w:rsidRPr="000960B1" w:rsidRDefault="006F08F8" w:rsidP="006F08F8">
            <w:pPr>
              <w:jc w:val="center"/>
              <w:rPr>
                <w:rFonts w:eastAsia="Times New Roman" w:cs="Calibri"/>
                <w:b w:val="0"/>
                <w:bCs w:val="0"/>
                <w:color w:val="000000"/>
                <w:sz w:val="20"/>
                <w:szCs w:val="20"/>
              </w:rPr>
            </w:pPr>
            <w:r w:rsidRPr="000960B1">
              <w:rPr>
                <w:rFonts w:eastAsia="Times New Roman" w:cs="Calibri"/>
                <w:color w:val="000000"/>
                <w:sz w:val="20"/>
                <w:szCs w:val="20"/>
              </w:rPr>
              <w:t>1</w:t>
            </w:r>
          </w:p>
        </w:tc>
        <w:tc>
          <w:tcPr>
            <w:tcW w:w="2713" w:type="dxa"/>
            <w:noWrap/>
          </w:tcPr>
          <w:p w14:paraId="360B712A" w14:textId="33584C00" w:rsidR="006F08F8" w:rsidRPr="000960B1" w:rsidRDefault="00257FC1" w:rsidP="006F08F8">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57FC1">
              <w:rPr>
                <w:rFonts w:cs="Calibri"/>
                <w:color w:val="000000"/>
                <w:sz w:val="20"/>
                <w:szCs w:val="20"/>
              </w:rPr>
              <w:t>$ 25,886,047,710</w:t>
            </w:r>
          </w:p>
        </w:tc>
      </w:tr>
      <w:tr w:rsidR="006F08F8" w:rsidRPr="000960B1" w14:paraId="0E330FC0" w14:textId="77777777" w:rsidTr="00E81138">
        <w:trPr>
          <w:cnfStyle w:val="000000010000" w:firstRow="0" w:lastRow="0" w:firstColumn="0" w:lastColumn="0" w:oddVBand="0" w:evenVBand="0" w:oddHBand="0" w:evenHBand="1"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2624" w:type="dxa"/>
            <w:noWrap/>
            <w:hideMark/>
          </w:tcPr>
          <w:p w14:paraId="79E8AF5F" w14:textId="77777777" w:rsidR="006F08F8" w:rsidRPr="000960B1" w:rsidRDefault="006F08F8" w:rsidP="006F08F8">
            <w:pPr>
              <w:jc w:val="center"/>
              <w:rPr>
                <w:rFonts w:eastAsia="Times New Roman" w:cs="Calibri"/>
                <w:b w:val="0"/>
                <w:bCs w:val="0"/>
                <w:color w:val="000000"/>
                <w:sz w:val="20"/>
                <w:szCs w:val="20"/>
              </w:rPr>
            </w:pPr>
            <w:r w:rsidRPr="000960B1">
              <w:rPr>
                <w:rFonts w:eastAsia="Times New Roman" w:cs="Calibri"/>
                <w:color w:val="000000"/>
                <w:sz w:val="20"/>
                <w:szCs w:val="20"/>
              </w:rPr>
              <w:t>2</w:t>
            </w:r>
          </w:p>
        </w:tc>
        <w:tc>
          <w:tcPr>
            <w:tcW w:w="2713" w:type="dxa"/>
            <w:noWrap/>
          </w:tcPr>
          <w:p w14:paraId="6E9CBE07" w14:textId="4B6248BA" w:rsidR="006F08F8" w:rsidRPr="000960B1" w:rsidRDefault="00806841" w:rsidP="006F08F8">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806841">
              <w:rPr>
                <w:rFonts w:cs="Calibri"/>
                <w:color w:val="000000"/>
                <w:sz w:val="20"/>
                <w:szCs w:val="20"/>
              </w:rPr>
              <w:t>$ 52,018,297,107</w:t>
            </w:r>
          </w:p>
        </w:tc>
      </w:tr>
      <w:tr w:rsidR="006F08F8" w:rsidRPr="000960B1" w14:paraId="5598B31C" w14:textId="77777777" w:rsidTr="00E81138">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2624" w:type="dxa"/>
            <w:noWrap/>
            <w:hideMark/>
          </w:tcPr>
          <w:p w14:paraId="57F0004E" w14:textId="77777777" w:rsidR="006F08F8" w:rsidRPr="000960B1" w:rsidRDefault="006F08F8" w:rsidP="006F08F8">
            <w:pPr>
              <w:jc w:val="center"/>
              <w:rPr>
                <w:rFonts w:eastAsia="Times New Roman" w:cs="Calibri"/>
                <w:b w:val="0"/>
                <w:bCs w:val="0"/>
                <w:color w:val="000000"/>
                <w:sz w:val="20"/>
                <w:szCs w:val="20"/>
              </w:rPr>
            </w:pPr>
            <w:r w:rsidRPr="000960B1">
              <w:rPr>
                <w:rFonts w:eastAsia="Times New Roman" w:cs="Calibri"/>
                <w:color w:val="000000"/>
                <w:sz w:val="20"/>
                <w:szCs w:val="20"/>
              </w:rPr>
              <w:t>3</w:t>
            </w:r>
          </w:p>
        </w:tc>
        <w:tc>
          <w:tcPr>
            <w:tcW w:w="2713" w:type="dxa"/>
            <w:noWrap/>
          </w:tcPr>
          <w:p w14:paraId="2D489C16" w14:textId="356C7753" w:rsidR="006F08F8" w:rsidRPr="000960B1" w:rsidRDefault="00806841" w:rsidP="006F08F8">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806841">
              <w:rPr>
                <w:rFonts w:cs="Calibri"/>
                <w:color w:val="000000"/>
                <w:sz w:val="20"/>
                <w:szCs w:val="20"/>
              </w:rPr>
              <w:t>$ 7,528,278,522</w:t>
            </w:r>
          </w:p>
        </w:tc>
      </w:tr>
      <w:tr w:rsidR="006F08F8" w:rsidRPr="000960B1" w14:paraId="0C6E49A1" w14:textId="77777777" w:rsidTr="00E81138">
        <w:trPr>
          <w:cnfStyle w:val="000000010000" w:firstRow="0" w:lastRow="0" w:firstColumn="0" w:lastColumn="0" w:oddVBand="0" w:evenVBand="0" w:oddHBand="0" w:evenHBand="1"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2624" w:type="dxa"/>
            <w:noWrap/>
            <w:hideMark/>
          </w:tcPr>
          <w:p w14:paraId="5E1C1F13" w14:textId="77777777" w:rsidR="006F08F8" w:rsidRPr="000960B1" w:rsidRDefault="006F08F8" w:rsidP="006F08F8">
            <w:pPr>
              <w:jc w:val="center"/>
              <w:rPr>
                <w:rFonts w:eastAsia="Times New Roman" w:cs="Calibri"/>
                <w:b w:val="0"/>
                <w:bCs w:val="0"/>
                <w:color w:val="000000"/>
                <w:sz w:val="20"/>
                <w:szCs w:val="20"/>
              </w:rPr>
            </w:pPr>
            <w:r w:rsidRPr="000960B1">
              <w:rPr>
                <w:rFonts w:eastAsia="Times New Roman" w:cs="Calibri"/>
                <w:color w:val="000000"/>
                <w:sz w:val="20"/>
                <w:szCs w:val="20"/>
              </w:rPr>
              <w:t>4</w:t>
            </w:r>
          </w:p>
        </w:tc>
        <w:tc>
          <w:tcPr>
            <w:tcW w:w="2713" w:type="dxa"/>
            <w:noWrap/>
          </w:tcPr>
          <w:p w14:paraId="77E0F6F0" w14:textId="353D145E" w:rsidR="006F08F8" w:rsidRPr="000960B1" w:rsidRDefault="00806841" w:rsidP="006F08F8">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806841">
              <w:rPr>
                <w:rFonts w:cs="Calibri"/>
                <w:color w:val="000000"/>
                <w:sz w:val="20"/>
                <w:szCs w:val="20"/>
              </w:rPr>
              <w:t>$ 8,321,275,543</w:t>
            </w:r>
          </w:p>
        </w:tc>
      </w:tr>
      <w:tr w:rsidR="006F08F8" w:rsidRPr="000960B1" w14:paraId="2F36AAA7" w14:textId="77777777" w:rsidTr="00E81138">
        <w:trPr>
          <w:cnfStyle w:val="000000100000" w:firstRow="0" w:lastRow="0" w:firstColumn="0" w:lastColumn="0" w:oddVBand="0" w:evenVBand="0" w:oddHBand="1" w:evenHBand="0"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2624" w:type="dxa"/>
            <w:noWrap/>
            <w:hideMark/>
          </w:tcPr>
          <w:p w14:paraId="7E0B6373" w14:textId="77777777" w:rsidR="006F08F8" w:rsidRPr="000960B1" w:rsidRDefault="006F08F8" w:rsidP="006F08F8">
            <w:pPr>
              <w:jc w:val="center"/>
              <w:rPr>
                <w:rFonts w:eastAsia="Times New Roman" w:cs="Calibri"/>
                <w:b w:val="0"/>
                <w:bCs w:val="0"/>
                <w:color w:val="000000"/>
                <w:sz w:val="20"/>
                <w:szCs w:val="20"/>
              </w:rPr>
            </w:pPr>
            <w:r w:rsidRPr="000960B1">
              <w:rPr>
                <w:rFonts w:eastAsia="Times New Roman" w:cs="Calibri"/>
                <w:color w:val="000000"/>
                <w:sz w:val="20"/>
                <w:szCs w:val="20"/>
              </w:rPr>
              <w:t>Total</w:t>
            </w:r>
          </w:p>
        </w:tc>
        <w:tc>
          <w:tcPr>
            <w:tcW w:w="2713" w:type="dxa"/>
            <w:shd w:val="clear" w:color="auto" w:fill="BFE2A8" w:themeFill="accent2" w:themeFillTint="66"/>
            <w:noWrap/>
          </w:tcPr>
          <w:p w14:paraId="15F33B4D" w14:textId="17A150D5" w:rsidR="006F08F8" w:rsidRPr="000960B1" w:rsidRDefault="00806841" w:rsidP="006F08F8">
            <w:pPr>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rPr>
            </w:pPr>
            <w:r w:rsidRPr="00806841">
              <w:rPr>
                <w:rFonts w:cs="Calibri"/>
                <w:b/>
                <w:bCs/>
                <w:color w:val="000000"/>
                <w:sz w:val="20"/>
                <w:szCs w:val="20"/>
              </w:rPr>
              <w:t>$ 93,753,898,882</w:t>
            </w:r>
          </w:p>
        </w:tc>
      </w:tr>
      <w:tr w:rsidR="004A00E0" w:rsidRPr="002946A9" w14:paraId="202F0E0F" w14:textId="77777777" w:rsidTr="00EC1928">
        <w:trPr>
          <w:cnfStyle w:val="000000010000" w:firstRow="0" w:lastRow="0" w:firstColumn="0" w:lastColumn="0" w:oddVBand="0" w:evenVBand="0" w:oddHBand="0" w:evenHBand="1" w:firstRowFirstColumn="0" w:firstRowLastColumn="0" w:lastRowFirstColumn="0" w:lastRowLastColumn="0"/>
          <w:trHeight w:val="62"/>
          <w:jc w:val="center"/>
        </w:trPr>
        <w:tc>
          <w:tcPr>
            <w:cnfStyle w:val="001000000000" w:firstRow="0" w:lastRow="0" w:firstColumn="1" w:lastColumn="0" w:oddVBand="0" w:evenVBand="0" w:oddHBand="0" w:evenHBand="0" w:firstRowFirstColumn="0" w:firstRowLastColumn="0" w:lastRowFirstColumn="0" w:lastRowLastColumn="0"/>
            <w:tcW w:w="5337" w:type="dxa"/>
            <w:gridSpan w:val="2"/>
            <w:shd w:val="clear" w:color="auto" w:fill="DFF0D3" w:themeFill="accent2" w:themeFillTint="33"/>
            <w:noWrap/>
          </w:tcPr>
          <w:p w14:paraId="7FD81874" w14:textId="77A00EDE" w:rsidR="004A00E0" w:rsidRPr="002946A9" w:rsidRDefault="004A00E0" w:rsidP="00DF29CB">
            <w:pPr>
              <w:jc w:val="both"/>
              <w:rPr>
                <w:rFonts w:cs="Calibri"/>
                <w:b w:val="0"/>
                <w:bCs w:val="0"/>
                <w:color w:val="000000"/>
                <w:sz w:val="20"/>
                <w:szCs w:val="20"/>
              </w:rPr>
            </w:pPr>
            <w:r w:rsidRPr="000960B1">
              <w:rPr>
                <w:rFonts w:cs="Calibri"/>
                <w:i/>
                <w:color w:val="000000"/>
                <w:sz w:val="18"/>
                <w:szCs w:val="18"/>
              </w:rPr>
              <w:t>*Todos los valores están en pesos a diciembre del 2017.</w:t>
            </w:r>
          </w:p>
        </w:tc>
      </w:tr>
    </w:tbl>
    <w:p w14:paraId="59CF64B4" w14:textId="04572CEE" w:rsidR="0079352D" w:rsidRPr="002946A9" w:rsidRDefault="0079352D" w:rsidP="00DF29CB">
      <w:pPr>
        <w:ind w:left="360"/>
        <w:jc w:val="both"/>
        <w:rPr>
          <w:rFonts w:ascii="Trebuchet MS" w:hAnsi="Trebuchet MS"/>
          <w:szCs w:val="24"/>
        </w:rPr>
      </w:pPr>
    </w:p>
    <w:p w14:paraId="1F634A47" w14:textId="2194A507" w:rsidR="0079352D" w:rsidRPr="002946A9" w:rsidRDefault="00BB2F1A" w:rsidP="00DF29CB">
      <w:pPr>
        <w:ind w:left="360"/>
        <w:jc w:val="both"/>
        <w:rPr>
          <w:rFonts w:ascii="Trebuchet MS" w:hAnsi="Trebuchet MS"/>
          <w:szCs w:val="24"/>
        </w:rPr>
      </w:pPr>
      <w:r w:rsidRPr="002946A9">
        <w:rPr>
          <w:rFonts w:ascii="Trebuchet MS" w:hAnsi="Trebuchet MS"/>
          <w:szCs w:val="24"/>
        </w:rPr>
        <w:t xml:space="preserve">De la </w:t>
      </w:r>
      <w:r w:rsidRPr="002946A9">
        <w:rPr>
          <w:rFonts w:ascii="Trebuchet MS" w:hAnsi="Trebuchet MS"/>
          <w:szCs w:val="24"/>
        </w:rPr>
        <w:fldChar w:fldCharType="begin"/>
      </w:r>
      <w:r w:rsidRPr="002946A9">
        <w:rPr>
          <w:rFonts w:ascii="Trebuchet MS" w:hAnsi="Trebuchet MS"/>
          <w:szCs w:val="24"/>
        </w:rPr>
        <w:instrText xml:space="preserve"> REF _Ref67577049 \h </w:instrText>
      </w:r>
      <w:r w:rsidR="00DF29CB" w:rsidRPr="002946A9">
        <w:rPr>
          <w:rFonts w:ascii="Trebuchet MS" w:hAnsi="Trebuchet MS"/>
          <w:szCs w:val="24"/>
        </w:rPr>
        <w:instrText xml:space="preserve"> \* MERGEFORMAT </w:instrText>
      </w:r>
      <w:r w:rsidRPr="002946A9">
        <w:rPr>
          <w:rFonts w:ascii="Trebuchet MS" w:hAnsi="Trebuchet MS"/>
          <w:szCs w:val="24"/>
        </w:rPr>
      </w:r>
      <w:r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12</w:t>
      </w:r>
      <w:r w:rsidRPr="002946A9">
        <w:rPr>
          <w:rFonts w:ascii="Trebuchet MS" w:hAnsi="Trebuchet MS"/>
          <w:szCs w:val="24"/>
        </w:rPr>
        <w:fldChar w:fldCharType="end"/>
      </w:r>
      <w:r w:rsidRPr="002946A9">
        <w:rPr>
          <w:rFonts w:ascii="Trebuchet MS" w:hAnsi="Trebuchet MS"/>
          <w:szCs w:val="24"/>
        </w:rPr>
        <w:t xml:space="preserve"> se observa un total de </w:t>
      </w:r>
      <w:r w:rsidR="00464EB2" w:rsidRPr="00464EB2">
        <w:rPr>
          <w:rFonts w:ascii="Trebuchet MS" w:hAnsi="Trebuchet MS"/>
          <w:szCs w:val="24"/>
        </w:rPr>
        <w:t xml:space="preserve">$ 93,753,898,882 </w:t>
      </w:r>
      <w:r w:rsidR="00AC1898" w:rsidRPr="002946A9">
        <w:rPr>
          <w:rFonts w:ascii="Trebuchet MS" w:hAnsi="Trebuchet MS"/>
          <w:szCs w:val="24"/>
        </w:rPr>
        <w:t xml:space="preserve">que sebe ser descontado del </w:t>
      </w:r>
      <w:r w:rsidR="00C20A69">
        <w:rPr>
          <w:rFonts w:ascii="Trebuchet MS" w:hAnsi="Trebuchet MS"/>
          <w:szCs w:val="24"/>
        </w:rPr>
        <w:t>base regulatoria de activos</w:t>
      </w:r>
      <w:r w:rsidR="00AC1898" w:rsidRPr="002946A9">
        <w:rPr>
          <w:rFonts w:ascii="Trebuchet MS" w:hAnsi="Trebuchet MS"/>
          <w:szCs w:val="24"/>
        </w:rPr>
        <w:t xml:space="preserve"> de EPM, debido a que corresponden</w:t>
      </w:r>
      <w:r w:rsidR="00643B88" w:rsidRPr="002946A9">
        <w:rPr>
          <w:rFonts w:ascii="Trebuchet MS" w:hAnsi="Trebuchet MS"/>
          <w:szCs w:val="24"/>
        </w:rPr>
        <w:t xml:space="preserve"> al valor remanente de los </w:t>
      </w:r>
      <w:r w:rsidR="00AC1898" w:rsidRPr="002946A9">
        <w:rPr>
          <w:rFonts w:ascii="Trebuchet MS" w:hAnsi="Trebuchet MS"/>
          <w:szCs w:val="24"/>
        </w:rPr>
        <w:t>activos que salieron de operac</w:t>
      </w:r>
      <w:r w:rsidR="004762CD" w:rsidRPr="002946A9">
        <w:rPr>
          <w:rFonts w:ascii="Trebuchet MS" w:hAnsi="Trebuchet MS"/>
          <w:szCs w:val="24"/>
        </w:rPr>
        <w:t xml:space="preserve">ión. </w:t>
      </w:r>
      <w:r w:rsidRPr="002946A9">
        <w:rPr>
          <w:rFonts w:ascii="Trebuchet MS" w:hAnsi="Trebuchet MS"/>
          <w:szCs w:val="24"/>
        </w:rPr>
        <w:t xml:space="preserve">El listado de unidades constructivas que salieron de operación en el año </w:t>
      </w:r>
      <w:r w:rsidR="00643B88" w:rsidRPr="002946A9">
        <w:rPr>
          <w:rFonts w:ascii="Trebuchet MS" w:hAnsi="Trebuchet MS"/>
          <w:szCs w:val="24"/>
        </w:rPr>
        <w:t>202</w:t>
      </w:r>
      <w:r w:rsidR="00464EB2">
        <w:rPr>
          <w:rFonts w:ascii="Trebuchet MS" w:hAnsi="Trebuchet MS"/>
          <w:szCs w:val="24"/>
        </w:rPr>
        <w:t>2</w:t>
      </w:r>
      <w:r w:rsidRPr="002946A9">
        <w:rPr>
          <w:rFonts w:ascii="Trebuchet MS" w:hAnsi="Trebuchet MS"/>
          <w:szCs w:val="24"/>
        </w:rPr>
        <w:t xml:space="preserve"> y de donde se obtiene el valor de la variable </w:t>
      </w:r>
      <w:r w:rsidRPr="002946A9">
        <w:rPr>
          <w:rFonts w:ascii="Trebuchet MS" w:hAnsi="Trebuchet MS"/>
          <w:i/>
          <w:iCs/>
          <w:szCs w:val="24"/>
        </w:rPr>
        <w:t>BRAFO</w:t>
      </w:r>
      <w:r w:rsidRPr="002946A9">
        <w:rPr>
          <w:rFonts w:ascii="Trebuchet MS" w:hAnsi="Trebuchet MS"/>
          <w:i/>
          <w:iCs/>
          <w:szCs w:val="24"/>
          <w:vertAlign w:val="subscript"/>
        </w:rPr>
        <w:t>j,n,</w:t>
      </w:r>
      <w:r w:rsidR="00464EB2">
        <w:rPr>
          <w:rFonts w:ascii="Trebuchet MS" w:hAnsi="Trebuchet MS"/>
          <w:i/>
          <w:iCs/>
          <w:szCs w:val="24"/>
          <w:vertAlign w:val="subscript"/>
        </w:rPr>
        <w:t>4</w:t>
      </w:r>
      <w:r w:rsidRPr="002946A9">
        <w:rPr>
          <w:rFonts w:ascii="Trebuchet MS" w:hAnsi="Trebuchet MS"/>
          <w:szCs w:val="24"/>
        </w:rPr>
        <w:t xml:space="preserve">, se </w:t>
      </w:r>
      <w:r w:rsidR="00643B88" w:rsidRPr="002946A9">
        <w:rPr>
          <w:rFonts w:ascii="Trebuchet MS" w:hAnsi="Trebuchet MS"/>
          <w:szCs w:val="24"/>
        </w:rPr>
        <w:t xml:space="preserve">puede consultar en </w:t>
      </w:r>
      <w:r w:rsidRPr="00C20A69">
        <w:rPr>
          <w:rFonts w:ascii="Trebuchet MS" w:hAnsi="Trebuchet MS"/>
          <w:szCs w:val="24"/>
        </w:rPr>
        <w:t>el Anexo 3.</w:t>
      </w:r>
    </w:p>
    <w:p w14:paraId="6D0E1305" w14:textId="77777777" w:rsidR="00B35BF6" w:rsidRPr="002946A9" w:rsidRDefault="00B35BF6" w:rsidP="00E47C0A">
      <w:pPr>
        <w:spacing w:after="0"/>
        <w:ind w:left="360"/>
        <w:jc w:val="both"/>
        <w:rPr>
          <w:rFonts w:ascii="Trebuchet MS" w:hAnsi="Trebuchet MS"/>
          <w:szCs w:val="24"/>
        </w:rPr>
      </w:pPr>
    </w:p>
    <w:p w14:paraId="1BA337EB" w14:textId="3A6C5BBE" w:rsidR="005A5F9D" w:rsidRPr="002946A9" w:rsidRDefault="005A5F9D" w:rsidP="00AB2B38">
      <w:pPr>
        <w:numPr>
          <w:ilvl w:val="2"/>
          <w:numId w:val="2"/>
        </w:numPr>
        <w:jc w:val="both"/>
        <w:outlineLvl w:val="2"/>
        <w:rPr>
          <w:rFonts w:ascii="Trebuchet MS" w:hAnsi="Trebuchet MS"/>
          <w:b/>
          <w:bCs/>
          <w:szCs w:val="24"/>
        </w:rPr>
      </w:pPr>
      <w:bookmarkStart w:id="225" w:name="_Toc131109374"/>
      <w:r w:rsidRPr="002946A9">
        <w:rPr>
          <w:rFonts w:ascii="Trebuchet MS" w:hAnsi="Trebuchet MS"/>
          <w:b/>
          <w:bCs/>
          <w:szCs w:val="24"/>
        </w:rPr>
        <w:t>Base de</w:t>
      </w:r>
      <w:r w:rsidR="00972E22" w:rsidRPr="002946A9">
        <w:rPr>
          <w:rFonts w:ascii="Trebuchet MS" w:hAnsi="Trebuchet MS"/>
          <w:b/>
          <w:bCs/>
          <w:szCs w:val="24"/>
        </w:rPr>
        <w:t xml:space="preserve"> terrenos al año </w:t>
      </w:r>
      <w:r w:rsidR="00086553" w:rsidRPr="002946A9">
        <w:rPr>
          <w:rFonts w:ascii="Trebuchet MS" w:hAnsi="Trebuchet MS"/>
          <w:b/>
          <w:bCs/>
          <w:szCs w:val="24"/>
        </w:rPr>
        <w:t>202</w:t>
      </w:r>
      <w:r w:rsidR="00086553">
        <w:rPr>
          <w:rFonts w:ascii="Trebuchet MS" w:hAnsi="Trebuchet MS"/>
          <w:b/>
          <w:bCs/>
          <w:szCs w:val="24"/>
        </w:rPr>
        <w:t>2</w:t>
      </w:r>
      <w:bookmarkEnd w:id="225"/>
      <w:r w:rsidR="00086553" w:rsidRPr="002946A9">
        <w:rPr>
          <w:rFonts w:ascii="Trebuchet MS" w:hAnsi="Trebuchet MS"/>
          <w:b/>
          <w:bCs/>
          <w:szCs w:val="24"/>
        </w:rPr>
        <w:t xml:space="preserve">  </w:t>
      </w:r>
    </w:p>
    <w:p w14:paraId="33AEDE81" w14:textId="0099E7A5" w:rsidR="009C1A92" w:rsidRPr="002946A9" w:rsidRDefault="00B649F6" w:rsidP="00E47C0A">
      <w:pPr>
        <w:spacing w:after="0"/>
        <w:ind w:left="360"/>
        <w:jc w:val="both"/>
        <w:rPr>
          <w:rFonts w:ascii="Trebuchet MS" w:hAnsi="Trebuchet MS"/>
          <w:szCs w:val="24"/>
        </w:rPr>
      </w:pPr>
      <w:r w:rsidRPr="002946A9">
        <w:rPr>
          <w:rFonts w:ascii="Trebuchet MS" w:hAnsi="Trebuchet MS"/>
          <w:szCs w:val="24"/>
        </w:rPr>
        <w:t xml:space="preserve">El valor </w:t>
      </w:r>
      <w:r w:rsidR="00753B46" w:rsidRPr="002946A9">
        <w:rPr>
          <w:rFonts w:ascii="Trebuchet MS" w:hAnsi="Trebuchet MS"/>
          <w:szCs w:val="24"/>
        </w:rPr>
        <w:t xml:space="preserve">reconocido </w:t>
      </w:r>
      <w:r w:rsidRPr="002946A9">
        <w:rPr>
          <w:rFonts w:ascii="Trebuchet MS" w:hAnsi="Trebuchet MS"/>
          <w:szCs w:val="24"/>
        </w:rPr>
        <w:t>de los terrenos en subestaciones</w:t>
      </w:r>
      <w:r w:rsidR="00753B46" w:rsidRPr="002946A9">
        <w:rPr>
          <w:rFonts w:ascii="Trebuchet MS" w:hAnsi="Trebuchet MS"/>
          <w:szCs w:val="24"/>
        </w:rPr>
        <w:t xml:space="preserve"> </w:t>
      </w:r>
      <w:r w:rsidR="009C1A92" w:rsidRPr="002946A9">
        <w:rPr>
          <w:rFonts w:ascii="Trebuchet MS" w:hAnsi="Trebuchet MS"/>
          <w:szCs w:val="24"/>
        </w:rPr>
        <w:t>se calcula según lo establecido en el numeral 3</w:t>
      </w:r>
      <w:r w:rsidR="00081AF8" w:rsidRPr="002946A9">
        <w:rPr>
          <w:rFonts w:ascii="Trebuchet MS" w:hAnsi="Trebuchet MS"/>
          <w:szCs w:val="24"/>
        </w:rPr>
        <w:t>.3</w:t>
      </w:r>
      <w:r w:rsidR="009C1A92" w:rsidRPr="002946A9">
        <w:rPr>
          <w:rFonts w:ascii="Trebuchet MS" w:hAnsi="Trebuchet MS"/>
          <w:szCs w:val="24"/>
        </w:rPr>
        <w:t xml:space="preserve"> de la resolución CREG 015 de 2018</w:t>
      </w:r>
      <w:r w:rsidR="00753B46" w:rsidRPr="002946A9">
        <w:rPr>
          <w:rFonts w:ascii="Trebuchet MS" w:hAnsi="Trebuchet MS"/>
          <w:szCs w:val="24"/>
        </w:rPr>
        <w:t xml:space="preserve"> y a las áreas reconocidas </w:t>
      </w:r>
      <w:r w:rsidR="00A12241" w:rsidRPr="002946A9">
        <w:rPr>
          <w:rFonts w:ascii="Trebuchet MS" w:hAnsi="Trebuchet MS"/>
          <w:szCs w:val="24"/>
        </w:rPr>
        <w:t>para las UC de capítulo 14 de la misma resolución</w:t>
      </w:r>
      <w:r w:rsidR="00753B46" w:rsidRPr="002946A9">
        <w:rPr>
          <w:rFonts w:ascii="Trebuchet MS" w:hAnsi="Trebuchet MS"/>
          <w:szCs w:val="24"/>
        </w:rPr>
        <w:t xml:space="preserve">. El resultado del cálculo se incluye en la variable </w:t>
      </w:r>
      <w:r w:rsidR="00753B46" w:rsidRPr="002946A9">
        <w:rPr>
          <w:rFonts w:ascii="Trebuchet MS" w:hAnsi="Trebuchet MS"/>
          <w:i/>
          <w:iCs/>
          <w:szCs w:val="24"/>
        </w:rPr>
        <w:t>BRT</w:t>
      </w:r>
      <w:r w:rsidR="00753B46" w:rsidRPr="002946A9">
        <w:rPr>
          <w:rFonts w:ascii="Trebuchet MS" w:hAnsi="Trebuchet MS"/>
          <w:i/>
          <w:iCs/>
          <w:szCs w:val="24"/>
          <w:vertAlign w:val="subscript"/>
        </w:rPr>
        <w:t>j,n,t</w:t>
      </w:r>
      <w:r w:rsidR="00753B46" w:rsidRPr="002946A9">
        <w:rPr>
          <w:rFonts w:ascii="Trebuchet MS" w:hAnsi="Trebuchet MS"/>
          <w:szCs w:val="24"/>
        </w:rPr>
        <w:t xml:space="preserve">, </w:t>
      </w:r>
      <w:r w:rsidR="00A12241" w:rsidRPr="002946A9">
        <w:rPr>
          <w:rFonts w:ascii="Trebuchet MS" w:hAnsi="Trebuchet MS"/>
          <w:szCs w:val="24"/>
        </w:rPr>
        <w:t xml:space="preserve">la cual, está definida por nivel de tensión. Para el año </w:t>
      </w:r>
      <w:r w:rsidR="00086553" w:rsidRPr="002946A9">
        <w:rPr>
          <w:rFonts w:ascii="Trebuchet MS" w:hAnsi="Trebuchet MS"/>
          <w:szCs w:val="24"/>
        </w:rPr>
        <w:t>202</w:t>
      </w:r>
      <w:r w:rsidR="00086553">
        <w:rPr>
          <w:rFonts w:ascii="Trebuchet MS" w:hAnsi="Trebuchet MS"/>
          <w:szCs w:val="24"/>
        </w:rPr>
        <w:t>2</w:t>
      </w:r>
      <w:r w:rsidR="00A12241" w:rsidRPr="002946A9">
        <w:rPr>
          <w:rFonts w:ascii="Trebuchet MS" w:hAnsi="Trebuchet MS"/>
          <w:szCs w:val="24"/>
        </w:rPr>
        <w:t xml:space="preserve">, el valor obtenido para la variable </w:t>
      </w:r>
      <w:r w:rsidR="00A12241" w:rsidRPr="002946A9">
        <w:rPr>
          <w:rFonts w:ascii="Trebuchet MS" w:hAnsi="Trebuchet MS"/>
          <w:i/>
          <w:iCs/>
          <w:szCs w:val="24"/>
        </w:rPr>
        <w:t>BRT</w:t>
      </w:r>
      <w:r w:rsidR="00A12241" w:rsidRPr="002946A9">
        <w:rPr>
          <w:rFonts w:ascii="Trebuchet MS" w:hAnsi="Trebuchet MS"/>
          <w:i/>
          <w:iCs/>
          <w:szCs w:val="24"/>
          <w:vertAlign w:val="subscript"/>
        </w:rPr>
        <w:t>j,n,</w:t>
      </w:r>
      <w:r w:rsidR="00464EB2">
        <w:rPr>
          <w:rFonts w:ascii="Trebuchet MS" w:hAnsi="Trebuchet MS"/>
          <w:i/>
          <w:iCs/>
          <w:szCs w:val="24"/>
          <w:vertAlign w:val="subscript"/>
        </w:rPr>
        <w:t>4</w:t>
      </w:r>
      <w:r w:rsidR="00A12241" w:rsidRPr="002946A9">
        <w:rPr>
          <w:rFonts w:ascii="Trebuchet MS" w:hAnsi="Trebuchet MS"/>
          <w:szCs w:val="24"/>
        </w:rPr>
        <w:t xml:space="preserve"> se presenta en la</w:t>
      </w:r>
      <w:r w:rsidR="003A5F81" w:rsidRPr="002946A9">
        <w:rPr>
          <w:rFonts w:ascii="Trebuchet MS" w:hAnsi="Trebuchet MS"/>
          <w:szCs w:val="24"/>
        </w:rPr>
        <w:t xml:space="preserve"> </w:t>
      </w:r>
      <w:r w:rsidR="003A5F81" w:rsidRPr="002946A9">
        <w:rPr>
          <w:rFonts w:ascii="Trebuchet MS" w:hAnsi="Trebuchet MS"/>
          <w:szCs w:val="24"/>
        </w:rPr>
        <w:fldChar w:fldCharType="begin"/>
      </w:r>
      <w:r w:rsidR="003A5F81" w:rsidRPr="002946A9">
        <w:rPr>
          <w:rFonts w:ascii="Trebuchet MS" w:hAnsi="Trebuchet MS"/>
          <w:szCs w:val="24"/>
        </w:rPr>
        <w:instrText xml:space="preserve"> REF _Ref67580992 \h </w:instrText>
      </w:r>
      <w:r w:rsidR="00DF29CB" w:rsidRPr="002946A9">
        <w:rPr>
          <w:rFonts w:ascii="Trebuchet MS" w:hAnsi="Trebuchet MS"/>
          <w:szCs w:val="24"/>
        </w:rPr>
        <w:instrText xml:space="preserve"> \* MERGEFORMAT </w:instrText>
      </w:r>
      <w:r w:rsidR="003A5F81" w:rsidRPr="002946A9">
        <w:rPr>
          <w:rFonts w:ascii="Trebuchet MS" w:hAnsi="Trebuchet MS"/>
          <w:szCs w:val="24"/>
        </w:rPr>
      </w:r>
      <w:r w:rsidR="003A5F81"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13</w:t>
      </w:r>
      <w:r w:rsidR="003A5F81" w:rsidRPr="002946A9">
        <w:rPr>
          <w:rFonts w:ascii="Trebuchet MS" w:hAnsi="Trebuchet MS"/>
          <w:szCs w:val="24"/>
        </w:rPr>
        <w:fldChar w:fldCharType="end"/>
      </w:r>
      <w:r w:rsidR="003A5F81" w:rsidRPr="002946A9">
        <w:rPr>
          <w:rFonts w:ascii="Trebuchet MS" w:hAnsi="Trebuchet MS"/>
          <w:szCs w:val="24"/>
        </w:rPr>
        <w:t>.</w:t>
      </w:r>
    </w:p>
    <w:p w14:paraId="7AD2EA3D" w14:textId="77777777" w:rsidR="000C0666" w:rsidRPr="002946A9" w:rsidRDefault="000C0666" w:rsidP="00DF29CB">
      <w:pPr>
        <w:ind w:left="360"/>
        <w:jc w:val="both"/>
        <w:rPr>
          <w:rFonts w:ascii="Trebuchet MS" w:hAnsi="Trebuchet MS"/>
          <w:szCs w:val="24"/>
        </w:rPr>
      </w:pPr>
    </w:p>
    <w:p w14:paraId="4F76D2C0" w14:textId="128C47CF" w:rsidR="00701690" w:rsidRPr="002946A9" w:rsidRDefault="00701690" w:rsidP="00DF29CB">
      <w:pPr>
        <w:ind w:left="1416" w:hanging="1056"/>
        <w:jc w:val="both"/>
        <w:rPr>
          <w:rFonts w:ascii="Trebuchet MS" w:hAnsi="Trebuchet MS"/>
        </w:rPr>
      </w:pPr>
      <w:bookmarkStart w:id="226" w:name="_Ref67580992"/>
      <w:bookmarkStart w:id="227" w:name="_Toc131032803"/>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C944CB">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C944CB">
        <w:rPr>
          <w:rFonts w:ascii="Trebuchet MS" w:hAnsi="Trebuchet MS"/>
          <w:noProof/>
        </w:rPr>
        <w:t>13</w:t>
      </w:r>
      <w:r w:rsidRPr="002946A9">
        <w:rPr>
          <w:rFonts w:ascii="Trebuchet MS" w:hAnsi="Trebuchet MS"/>
        </w:rPr>
        <w:fldChar w:fldCharType="end"/>
      </w:r>
      <w:bookmarkEnd w:id="226"/>
      <w:r w:rsidRPr="002946A9">
        <w:rPr>
          <w:rFonts w:ascii="Trebuchet MS" w:hAnsi="Trebuchet MS"/>
        </w:rPr>
        <w:t xml:space="preserve">  V</w:t>
      </w:r>
      <w:r w:rsidR="00377975" w:rsidRPr="002946A9">
        <w:rPr>
          <w:rFonts w:ascii="Trebuchet MS" w:hAnsi="Trebuchet MS"/>
        </w:rPr>
        <w:t>alo</w:t>
      </w:r>
      <w:r w:rsidRPr="002946A9">
        <w:rPr>
          <w:rFonts w:ascii="Trebuchet MS" w:hAnsi="Trebuchet MS"/>
        </w:rPr>
        <w:t xml:space="preserve">r </w:t>
      </w:r>
      <w:r w:rsidR="00377975" w:rsidRPr="002946A9">
        <w:rPr>
          <w:rFonts w:ascii="Trebuchet MS" w:hAnsi="Trebuchet MS"/>
        </w:rPr>
        <w:t xml:space="preserve">de los terrenos en subestaciones </w:t>
      </w:r>
      <w:r w:rsidR="007523EC" w:rsidRPr="002946A9">
        <w:rPr>
          <w:rFonts w:ascii="Trebuchet MS" w:hAnsi="Trebuchet MS"/>
        </w:rPr>
        <w:t xml:space="preserve">en el sistema de EPM </w:t>
      </w:r>
      <w:r w:rsidR="00377975" w:rsidRPr="002946A9">
        <w:rPr>
          <w:rFonts w:ascii="Trebuchet MS" w:hAnsi="Trebuchet MS"/>
        </w:rPr>
        <w:t xml:space="preserve">al año </w:t>
      </w:r>
      <w:r w:rsidR="007C5860" w:rsidRPr="002946A9">
        <w:rPr>
          <w:rFonts w:ascii="Trebuchet MS" w:hAnsi="Trebuchet MS"/>
        </w:rPr>
        <w:t>202</w:t>
      </w:r>
      <w:r w:rsidR="007C5860">
        <w:rPr>
          <w:rFonts w:ascii="Trebuchet MS" w:hAnsi="Trebuchet MS"/>
        </w:rPr>
        <w:t>2</w:t>
      </w:r>
      <w:r w:rsidR="007523EC" w:rsidRPr="002946A9">
        <w:rPr>
          <w:rFonts w:ascii="Trebuchet MS" w:hAnsi="Trebuchet MS"/>
        </w:rPr>
        <w:t>.</w:t>
      </w:r>
      <w:bookmarkEnd w:id="227"/>
    </w:p>
    <w:tbl>
      <w:tblPr>
        <w:tblStyle w:val="Tablaconcuadrcula5oscura-nfasis1"/>
        <w:tblW w:w="8177" w:type="dxa"/>
        <w:jc w:val="center"/>
        <w:tblLook w:val="04A0" w:firstRow="1" w:lastRow="0" w:firstColumn="1" w:lastColumn="0" w:noHBand="0" w:noVBand="1"/>
      </w:tblPr>
      <w:tblGrid>
        <w:gridCol w:w="2134"/>
        <w:gridCol w:w="2063"/>
        <w:gridCol w:w="1917"/>
        <w:gridCol w:w="2063"/>
      </w:tblGrid>
      <w:tr w:rsidR="008054FA" w:rsidRPr="00EE4BFB" w14:paraId="17518A08" w14:textId="77777777" w:rsidTr="00CE68C4">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vMerge w:val="restart"/>
            <w:noWrap/>
          </w:tcPr>
          <w:p w14:paraId="5F77AF10" w14:textId="77777777" w:rsidR="008054FA" w:rsidRPr="00EE4BFB" w:rsidRDefault="008054FA" w:rsidP="00DF29CB">
            <w:pPr>
              <w:pStyle w:val="Sinespaciado"/>
              <w:jc w:val="both"/>
              <w:rPr>
                <w:b w:val="0"/>
                <w:bCs w:val="0"/>
                <w:color w:val="000000" w:themeColor="text1"/>
                <w:sz w:val="18"/>
                <w:szCs w:val="18"/>
              </w:rPr>
            </w:pPr>
            <w:r w:rsidRPr="00EE4BFB">
              <w:rPr>
                <w:color w:val="000000" w:themeColor="text1"/>
                <w:sz w:val="18"/>
                <w:szCs w:val="18"/>
              </w:rPr>
              <w:t>Nivel de Tensión</w:t>
            </w:r>
          </w:p>
        </w:tc>
        <w:tc>
          <w:tcPr>
            <w:tcW w:w="0" w:type="auto"/>
            <w:gridSpan w:val="3"/>
          </w:tcPr>
          <w:p w14:paraId="0D83E0BE" w14:textId="4E120E5B" w:rsidR="008054FA" w:rsidRPr="00EE4BFB" w:rsidRDefault="008054FA" w:rsidP="00CE68C4">
            <w:pPr>
              <w:pStyle w:val="Sinespaciado"/>
              <w:cnfStyle w:val="100000000000" w:firstRow="1" w:lastRow="0" w:firstColumn="0" w:lastColumn="0" w:oddVBand="0" w:evenVBand="0" w:oddHBand="0" w:evenHBand="0" w:firstRowFirstColumn="0" w:firstRowLastColumn="0" w:lastRowFirstColumn="0" w:lastRowLastColumn="0"/>
              <w:rPr>
                <w:rFonts w:cs="Times New Roman"/>
                <w:i/>
                <w:iCs/>
                <w:color w:val="000000" w:themeColor="text1"/>
                <w:sz w:val="18"/>
                <w:szCs w:val="18"/>
                <w:lang w:val="es-ES" w:eastAsia="es-ES"/>
              </w:rPr>
            </w:pPr>
            <w:r w:rsidRPr="00EE4BFB">
              <w:rPr>
                <w:rFonts w:cs="Times New Roman"/>
                <w:i/>
                <w:iCs/>
                <w:color w:val="000000" w:themeColor="text1"/>
                <w:sz w:val="18"/>
                <w:szCs w:val="18"/>
                <w:lang w:val="es-ES" w:eastAsia="es-ES"/>
              </w:rPr>
              <w:t>BRT</w:t>
            </w:r>
            <w:r w:rsidRPr="00EE4BFB">
              <w:rPr>
                <w:rFonts w:cs="Times New Roman"/>
                <w:i/>
                <w:iCs/>
                <w:color w:val="000000" w:themeColor="text1"/>
                <w:sz w:val="18"/>
                <w:szCs w:val="18"/>
                <w:vertAlign w:val="subscript"/>
                <w:lang w:val="es-ES" w:eastAsia="es-ES"/>
              </w:rPr>
              <w:t>j,n,</w:t>
            </w:r>
            <w:r w:rsidR="000C53FA" w:rsidRPr="00EE4BFB">
              <w:rPr>
                <w:rFonts w:cs="Times New Roman"/>
                <w:i/>
                <w:iCs/>
                <w:color w:val="000000" w:themeColor="text1"/>
                <w:sz w:val="18"/>
                <w:szCs w:val="18"/>
                <w:vertAlign w:val="subscript"/>
                <w:lang w:val="es-ES" w:eastAsia="es-ES"/>
              </w:rPr>
              <w:t>4</w:t>
            </w:r>
            <w:r w:rsidRPr="00EE4BFB">
              <w:rPr>
                <w:rFonts w:cs="Times New Roman"/>
                <w:i/>
                <w:iCs/>
                <w:color w:val="000000" w:themeColor="text1"/>
                <w:sz w:val="18"/>
                <w:szCs w:val="18"/>
                <w:vertAlign w:val="superscript"/>
                <w:lang w:val="es-ES" w:eastAsia="es-ES"/>
              </w:rPr>
              <w:t>*</w:t>
            </w:r>
          </w:p>
        </w:tc>
      </w:tr>
      <w:tr w:rsidR="00F17ACC" w:rsidRPr="00EE4BFB" w14:paraId="00DD4778" w14:textId="77777777" w:rsidTr="00CE68C4">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vMerge/>
            <w:noWrap/>
            <w:hideMark/>
          </w:tcPr>
          <w:p w14:paraId="2E290071" w14:textId="77777777" w:rsidR="00F17ACC" w:rsidRPr="00EE4BFB" w:rsidRDefault="00F17ACC" w:rsidP="00DF29CB">
            <w:pPr>
              <w:pStyle w:val="Sinespaciado"/>
              <w:jc w:val="both"/>
              <w:rPr>
                <w:b w:val="0"/>
                <w:bCs w:val="0"/>
                <w:color w:val="000000" w:themeColor="text1"/>
                <w:sz w:val="18"/>
                <w:szCs w:val="18"/>
              </w:rPr>
            </w:pPr>
          </w:p>
        </w:tc>
        <w:tc>
          <w:tcPr>
            <w:tcW w:w="0" w:type="auto"/>
          </w:tcPr>
          <w:p w14:paraId="15343F20" w14:textId="20209E21" w:rsidR="00F17ACC" w:rsidRPr="00EE4BFB" w:rsidRDefault="00F17ACC" w:rsidP="00CE68C4">
            <w:pPr>
              <w:pStyle w:val="Sinespaciado"/>
              <w:jc w:val="center"/>
              <w:cnfStyle w:val="000000100000" w:firstRow="0" w:lastRow="0" w:firstColumn="0" w:lastColumn="0" w:oddVBand="0" w:evenVBand="0" w:oddHBand="1" w:evenHBand="0" w:firstRowFirstColumn="0" w:firstRowLastColumn="0" w:lastRowFirstColumn="0" w:lastRowLastColumn="0"/>
              <w:rPr>
                <w:rFonts w:cs="Times New Roman"/>
                <w:b/>
                <w:i/>
                <w:iCs/>
                <w:color w:val="000000" w:themeColor="text1"/>
                <w:sz w:val="18"/>
                <w:szCs w:val="18"/>
                <w:lang w:val="es-ES" w:eastAsia="es-ES"/>
              </w:rPr>
            </w:pPr>
            <w:r w:rsidRPr="00EE4BFB">
              <w:rPr>
                <w:rFonts w:cs="Times New Roman"/>
                <w:b/>
                <w:i/>
                <w:iCs/>
                <w:color w:val="000000" w:themeColor="text1"/>
                <w:sz w:val="18"/>
                <w:szCs w:val="18"/>
                <w:lang w:val="es-ES" w:eastAsia="es-ES"/>
              </w:rPr>
              <w:t xml:space="preserve">Total al </w:t>
            </w:r>
            <w:r w:rsidR="00647FB9" w:rsidRPr="00EE4BFB">
              <w:rPr>
                <w:rFonts w:cs="Times New Roman"/>
                <w:b/>
                <w:i/>
                <w:iCs/>
                <w:color w:val="000000" w:themeColor="text1"/>
                <w:sz w:val="18"/>
                <w:szCs w:val="18"/>
                <w:lang w:val="es-ES" w:eastAsia="es-ES"/>
              </w:rPr>
              <w:t xml:space="preserve">año </w:t>
            </w:r>
            <w:r w:rsidRPr="00EE4BFB">
              <w:rPr>
                <w:rFonts w:cs="Times New Roman"/>
                <w:b/>
                <w:i/>
                <w:iCs/>
                <w:color w:val="000000" w:themeColor="text1"/>
                <w:sz w:val="18"/>
                <w:szCs w:val="18"/>
                <w:lang w:val="es-ES" w:eastAsia="es-ES"/>
              </w:rPr>
              <w:t>20</w:t>
            </w:r>
            <w:r w:rsidR="00496F63" w:rsidRPr="00EE4BFB">
              <w:rPr>
                <w:rFonts w:cs="Times New Roman"/>
                <w:b/>
                <w:i/>
                <w:iCs/>
                <w:color w:val="000000" w:themeColor="text1"/>
                <w:sz w:val="18"/>
                <w:szCs w:val="18"/>
                <w:lang w:val="es-ES" w:eastAsia="es-ES"/>
              </w:rPr>
              <w:t>2</w:t>
            </w:r>
            <w:r w:rsidR="00974104" w:rsidRPr="00EE4BFB">
              <w:rPr>
                <w:rFonts w:cs="Times New Roman"/>
                <w:b/>
                <w:i/>
                <w:iCs/>
                <w:color w:val="000000" w:themeColor="text1"/>
                <w:sz w:val="18"/>
                <w:szCs w:val="18"/>
                <w:lang w:val="es-ES" w:eastAsia="es-ES"/>
              </w:rPr>
              <w:t>1</w:t>
            </w:r>
          </w:p>
        </w:tc>
        <w:tc>
          <w:tcPr>
            <w:tcW w:w="0" w:type="auto"/>
          </w:tcPr>
          <w:p w14:paraId="73EA5A05" w14:textId="1F5EAC7B" w:rsidR="00F17ACC" w:rsidRPr="00EE4BFB" w:rsidRDefault="00F17ACC" w:rsidP="00CE68C4">
            <w:pPr>
              <w:pStyle w:val="Sinespaciado"/>
              <w:jc w:val="center"/>
              <w:cnfStyle w:val="000000100000" w:firstRow="0" w:lastRow="0" w:firstColumn="0" w:lastColumn="0" w:oddVBand="0" w:evenVBand="0" w:oddHBand="1" w:evenHBand="0" w:firstRowFirstColumn="0" w:firstRowLastColumn="0" w:lastRowFirstColumn="0" w:lastRowLastColumn="0"/>
              <w:rPr>
                <w:rFonts w:cs="Times New Roman"/>
                <w:b/>
                <w:i/>
                <w:iCs/>
                <w:color w:val="000000" w:themeColor="text1"/>
                <w:sz w:val="18"/>
                <w:szCs w:val="18"/>
                <w:lang w:val="es-ES" w:eastAsia="es-ES"/>
              </w:rPr>
            </w:pPr>
            <w:r w:rsidRPr="00EE4BFB">
              <w:rPr>
                <w:rFonts w:cs="Times New Roman"/>
                <w:b/>
                <w:i/>
                <w:iCs/>
                <w:color w:val="000000" w:themeColor="text1"/>
                <w:sz w:val="18"/>
                <w:szCs w:val="18"/>
                <w:lang w:val="es-ES" w:eastAsia="es-ES"/>
              </w:rPr>
              <w:t>Incremento año 202</w:t>
            </w:r>
            <w:r w:rsidR="00974104" w:rsidRPr="00EE4BFB">
              <w:rPr>
                <w:rFonts w:cs="Times New Roman"/>
                <w:b/>
                <w:i/>
                <w:iCs/>
                <w:color w:val="000000" w:themeColor="text1"/>
                <w:sz w:val="18"/>
                <w:szCs w:val="18"/>
                <w:lang w:val="es-ES" w:eastAsia="es-ES"/>
              </w:rPr>
              <w:t>2</w:t>
            </w:r>
          </w:p>
        </w:tc>
        <w:tc>
          <w:tcPr>
            <w:tcW w:w="0" w:type="auto"/>
          </w:tcPr>
          <w:p w14:paraId="6EB3C018" w14:textId="3A5E5820" w:rsidR="00F17ACC" w:rsidRPr="00EE4BFB" w:rsidRDefault="00F17ACC" w:rsidP="00CE68C4">
            <w:pPr>
              <w:pStyle w:val="Sinespaciado"/>
              <w:jc w:val="center"/>
              <w:cnfStyle w:val="000000100000" w:firstRow="0" w:lastRow="0" w:firstColumn="0" w:lastColumn="0" w:oddVBand="0" w:evenVBand="0" w:oddHBand="1" w:evenHBand="0" w:firstRowFirstColumn="0" w:firstRowLastColumn="0" w:lastRowFirstColumn="0" w:lastRowLastColumn="0"/>
              <w:rPr>
                <w:rFonts w:cs="Times New Roman"/>
                <w:b/>
                <w:i/>
                <w:color w:val="000000" w:themeColor="text1"/>
                <w:sz w:val="18"/>
                <w:szCs w:val="18"/>
                <w:lang w:val="es-ES_tradnl" w:eastAsia="es-ES"/>
              </w:rPr>
            </w:pPr>
            <w:r w:rsidRPr="00EE4BFB">
              <w:rPr>
                <w:rFonts w:cs="Times New Roman"/>
                <w:b/>
                <w:i/>
                <w:iCs/>
                <w:color w:val="000000" w:themeColor="text1"/>
                <w:sz w:val="18"/>
                <w:szCs w:val="18"/>
                <w:lang w:val="es-ES" w:eastAsia="es-ES"/>
              </w:rPr>
              <w:t xml:space="preserve">Total al </w:t>
            </w:r>
            <w:r w:rsidR="00647FB9" w:rsidRPr="00EE4BFB">
              <w:rPr>
                <w:rFonts w:cs="Times New Roman"/>
                <w:b/>
                <w:i/>
                <w:iCs/>
                <w:color w:val="000000" w:themeColor="text1"/>
                <w:sz w:val="18"/>
                <w:szCs w:val="18"/>
                <w:lang w:val="es-ES" w:eastAsia="es-ES"/>
              </w:rPr>
              <w:t xml:space="preserve">año </w:t>
            </w:r>
            <w:r w:rsidRPr="00EE4BFB">
              <w:rPr>
                <w:rFonts w:cs="Times New Roman"/>
                <w:b/>
                <w:i/>
                <w:iCs/>
                <w:color w:val="000000" w:themeColor="text1"/>
                <w:sz w:val="18"/>
                <w:szCs w:val="18"/>
                <w:lang w:val="es-ES" w:eastAsia="es-ES"/>
              </w:rPr>
              <w:t>202</w:t>
            </w:r>
            <w:r w:rsidR="00974104" w:rsidRPr="00EE4BFB">
              <w:rPr>
                <w:rFonts w:cs="Times New Roman"/>
                <w:b/>
                <w:i/>
                <w:iCs/>
                <w:color w:val="000000" w:themeColor="text1"/>
                <w:sz w:val="18"/>
                <w:szCs w:val="18"/>
                <w:lang w:val="es-ES" w:eastAsia="es-ES"/>
              </w:rPr>
              <w:t>2</w:t>
            </w:r>
          </w:p>
        </w:tc>
      </w:tr>
      <w:tr w:rsidR="002C70C3" w:rsidRPr="00EE4BFB" w14:paraId="216427E7" w14:textId="77777777" w:rsidTr="00CE68C4">
        <w:trPr>
          <w:cnfStyle w:val="000000010000" w:firstRow="0" w:lastRow="0" w:firstColumn="0" w:lastColumn="0" w:oddVBand="0" w:evenVBand="0" w:oddHBand="0" w:evenHBand="1" w:firstRowFirstColumn="0" w:firstRowLastColumn="0" w:lastRowFirstColumn="0" w:lastRowLastColumn="0"/>
          <w:trHeight w:val="39"/>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74ED0F04" w14:textId="1A5B8B4F" w:rsidR="002C70C3" w:rsidRPr="00EE4BFB" w:rsidRDefault="002C70C3" w:rsidP="002C70C3">
            <w:pPr>
              <w:jc w:val="center"/>
              <w:rPr>
                <w:rFonts w:eastAsia="Times New Roman" w:cs="Calibri"/>
                <w:b w:val="0"/>
                <w:bCs w:val="0"/>
                <w:color w:val="000000" w:themeColor="text1"/>
                <w:sz w:val="18"/>
                <w:szCs w:val="18"/>
              </w:rPr>
            </w:pPr>
            <w:r w:rsidRPr="00EE4BFB">
              <w:rPr>
                <w:rFonts w:eastAsia="Times New Roman" w:cs="Calibri"/>
                <w:color w:val="000000" w:themeColor="text1"/>
                <w:sz w:val="18"/>
                <w:szCs w:val="18"/>
              </w:rPr>
              <w:t>1</w:t>
            </w:r>
          </w:p>
        </w:tc>
        <w:tc>
          <w:tcPr>
            <w:tcW w:w="0" w:type="auto"/>
          </w:tcPr>
          <w:p w14:paraId="1FE8D4E0" w14:textId="3B61C163" w:rsidR="002C70C3" w:rsidRPr="00EE4BFB" w:rsidRDefault="002C70C3" w:rsidP="002C70C3">
            <w:pPr>
              <w:pStyle w:val="Sinespaciado"/>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EE4BFB">
              <w:rPr>
                <w:rFonts w:cs="Calibri"/>
                <w:color w:val="000000"/>
                <w:sz w:val="18"/>
                <w:szCs w:val="18"/>
              </w:rPr>
              <w:t> </w:t>
            </w:r>
          </w:p>
        </w:tc>
        <w:tc>
          <w:tcPr>
            <w:tcW w:w="0" w:type="auto"/>
          </w:tcPr>
          <w:p w14:paraId="06CCC7C7" w14:textId="3044BCD8" w:rsidR="002C70C3" w:rsidRPr="00EE4BFB" w:rsidRDefault="002C70C3" w:rsidP="002C70C3">
            <w:pPr>
              <w:pStyle w:val="Sinespaciado"/>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EE4BFB">
              <w:rPr>
                <w:rFonts w:cs="Calibri"/>
                <w:color w:val="000000"/>
                <w:sz w:val="18"/>
                <w:szCs w:val="18"/>
              </w:rPr>
              <w:t>0</w:t>
            </w:r>
          </w:p>
        </w:tc>
        <w:tc>
          <w:tcPr>
            <w:tcW w:w="0" w:type="auto"/>
          </w:tcPr>
          <w:p w14:paraId="369586E1" w14:textId="580D880E" w:rsidR="002C70C3" w:rsidRPr="00EE4BFB" w:rsidRDefault="002C70C3" w:rsidP="002C70C3">
            <w:pPr>
              <w:pStyle w:val="Sinespaciado"/>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EE4BFB">
              <w:rPr>
                <w:rFonts w:cs="Calibri"/>
                <w:color w:val="000000" w:themeColor="text1"/>
                <w:sz w:val="18"/>
                <w:szCs w:val="18"/>
              </w:rPr>
              <w:t>0</w:t>
            </w:r>
          </w:p>
        </w:tc>
      </w:tr>
      <w:tr w:rsidR="002C70C3" w:rsidRPr="00EE4BFB" w14:paraId="2440AA60" w14:textId="77777777" w:rsidTr="00CE68C4">
        <w:trPr>
          <w:cnfStyle w:val="000000100000" w:firstRow="0" w:lastRow="0" w:firstColumn="0" w:lastColumn="0" w:oddVBand="0" w:evenVBand="0" w:oddHBand="1" w:evenHBand="0" w:firstRowFirstColumn="0" w:firstRowLastColumn="0" w:lastRowFirstColumn="0" w:lastRowLastColumn="0"/>
          <w:trHeight w:val="39"/>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40B65B0" w14:textId="77777777" w:rsidR="002C70C3" w:rsidRPr="00EE4BFB" w:rsidRDefault="002C70C3" w:rsidP="002C70C3">
            <w:pPr>
              <w:jc w:val="center"/>
              <w:rPr>
                <w:rFonts w:eastAsia="Times New Roman" w:cs="Calibri"/>
                <w:b w:val="0"/>
                <w:bCs w:val="0"/>
                <w:color w:val="000000" w:themeColor="text1"/>
                <w:sz w:val="18"/>
                <w:szCs w:val="18"/>
              </w:rPr>
            </w:pPr>
            <w:r w:rsidRPr="00EE4BFB">
              <w:rPr>
                <w:rFonts w:eastAsia="Times New Roman" w:cs="Calibri"/>
                <w:color w:val="000000" w:themeColor="text1"/>
                <w:sz w:val="18"/>
                <w:szCs w:val="18"/>
              </w:rPr>
              <w:t>2</w:t>
            </w:r>
          </w:p>
        </w:tc>
        <w:tc>
          <w:tcPr>
            <w:tcW w:w="0" w:type="auto"/>
          </w:tcPr>
          <w:p w14:paraId="1567D514" w14:textId="6C60A178" w:rsidR="002C70C3" w:rsidRPr="00EE4BFB" w:rsidRDefault="00735813" w:rsidP="002C70C3">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E4BFB">
              <w:rPr>
                <w:rFonts w:cs="Calibri"/>
                <w:color w:val="000000"/>
                <w:sz w:val="18"/>
                <w:szCs w:val="18"/>
              </w:rPr>
              <w:t>$ 81,346,530</w:t>
            </w:r>
          </w:p>
        </w:tc>
        <w:tc>
          <w:tcPr>
            <w:tcW w:w="0" w:type="auto"/>
          </w:tcPr>
          <w:p w14:paraId="68EE2C12" w14:textId="6BF47C27" w:rsidR="002C70C3" w:rsidRPr="00EE4BFB" w:rsidRDefault="00617C6E" w:rsidP="002C70C3">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E4BFB">
              <w:rPr>
                <w:rFonts w:cs="Calibri"/>
                <w:color w:val="000000"/>
                <w:sz w:val="18"/>
                <w:szCs w:val="18"/>
              </w:rPr>
              <w:t>$ 6,012,066</w:t>
            </w:r>
          </w:p>
        </w:tc>
        <w:tc>
          <w:tcPr>
            <w:tcW w:w="0" w:type="auto"/>
          </w:tcPr>
          <w:p w14:paraId="173D4304" w14:textId="1C3126F2" w:rsidR="002C70C3" w:rsidRPr="00EE4BFB" w:rsidRDefault="0065109B" w:rsidP="002C70C3">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E4BFB">
              <w:rPr>
                <w:rFonts w:cs="Calibri"/>
                <w:color w:val="000000" w:themeColor="text1"/>
                <w:sz w:val="18"/>
                <w:szCs w:val="18"/>
              </w:rPr>
              <w:t>$ 87,358,596</w:t>
            </w:r>
          </w:p>
        </w:tc>
      </w:tr>
      <w:tr w:rsidR="002C70C3" w:rsidRPr="00EE4BFB" w14:paraId="11B4FA5F" w14:textId="77777777" w:rsidTr="00CE68C4">
        <w:trPr>
          <w:cnfStyle w:val="000000010000" w:firstRow="0" w:lastRow="0" w:firstColumn="0" w:lastColumn="0" w:oddVBand="0" w:evenVBand="0" w:oddHBand="0" w:evenHBand="1" w:firstRowFirstColumn="0" w:firstRowLastColumn="0" w:lastRowFirstColumn="0" w:lastRowLastColumn="0"/>
          <w:trHeight w:val="53"/>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FD4E802" w14:textId="77777777" w:rsidR="002C70C3" w:rsidRPr="00EE4BFB" w:rsidRDefault="002C70C3" w:rsidP="002C70C3">
            <w:pPr>
              <w:jc w:val="center"/>
              <w:rPr>
                <w:rFonts w:eastAsia="Times New Roman" w:cs="Calibri"/>
                <w:b w:val="0"/>
                <w:bCs w:val="0"/>
                <w:color w:val="000000" w:themeColor="text1"/>
                <w:sz w:val="18"/>
                <w:szCs w:val="18"/>
              </w:rPr>
            </w:pPr>
            <w:r w:rsidRPr="00EE4BFB">
              <w:rPr>
                <w:rFonts w:eastAsia="Times New Roman" w:cs="Calibri"/>
                <w:color w:val="000000" w:themeColor="text1"/>
                <w:sz w:val="18"/>
                <w:szCs w:val="18"/>
              </w:rPr>
              <w:t>3</w:t>
            </w:r>
          </w:p>
        </w:tc>
        <w:tc>
          <w:tcPr>
            <w:tcW w:w="0" w:type="auto"/>
          </w:tcPr>
          <w:p w14:paraId="4DF00F24" w14:textId="0CA7B90F" w:rsidR="002C70C3" w:rsidRPr="00EE4BFB" w:rsidRDefault="003F2953" w:rsidP="002C70C3">
            <w:pPr>
              <w:pStyle w:val="Sinespaciado"/>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EE4BFB">
              <w:rPr>
                <w:rFonts w:cs="Calibri"/>
                <w:color w:val="000000"/>
                <w:sz w:val="18"/>
                <w:szCs w:val="18"/>
              </w:rPr>
              <w:t>$ 549,013,221</w:t>
            </w:r>
          </w:p>
        </w:tc>
        <w:tc>
          <w:tcPr>
            <w:tcW w:w="0" w:type="auto"/>
          </w:tcPr>
          <w:p w14:paraId="2E5FCAC5" w14:textId="42F0B62C" w:rsidR="002C70C3" w:rsidRPr="00EE4BFB" w:rsidRDefault="000D4875" w:rsidP="002C70C3">
            <w:pPr>
              <w:pStyle w:val="Sinespaciado"/>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EE4BFB">
              <w:rPr>
                <w:rFonts w:cs="Calibri"/>
                <w:color w:val="000000"/>
                <w:sz w:val="18"/>
                <w:szCs w:val="18"/>
              </w:rPr>
              <w:t>$ 3,926,866</w:t>
            </w:r>
          </w:p>
        </w:tc>
        <w:tc>
          <w:tcPr>
            <w:tcW w:w="0" w:type="auto"/>
          </w:tcPr>
          <w:p w14:paraId="39D73FBD" w14:textId="2E762E51" w:rsidR="002C70C3" w:rsidRPr="00EE4BFB" w:rsidRDefault="0065109B" w:rsidP="002C70C3">
            <w:pPr>
              <w:pStyle w:val="Sinespaciado"/>
              <w:cnfStyle w:val="000000010000" w:firstRow="0" w:lastRow="0" w:firstColumn="0" w:lastColumn="0" w:oddVBand="0" w:evenVBand="0" w:oddHBand="0" w:evenHBand="1" w:firstRowFirstColumn="0" w:firstRowLastColumn="0" w:lastRowFirstColumn="0" w:lastRowLastColumn="0"/>
              <w:rPr>
                <w:color w:val="000000" w:themeColor="text1"/>
                <w:sz w:val="18"/>
                <w:szCs w:val="18"/>
              </w:rPr>
            </w:pPr>
            <w:r w:rsidRPr="00EE4BFB">
              <w:rPr>
                <w:rFonts w:cs="Calibri"/>
                <w:color w:val="000000" w:themeColor="text1"/>
                <w:sz w:val="18"/>
                <w:szCs w:val="18"/>
              </w:rPr>
              <w:t>$ 552,940,087</w:t>
            </w:r>
          </w:p>
        </w:tc>
      </w:tr>
      <w:tr w:rsidR="002C70C3" w:rsidRPr="00EE4BFB" w14:paraId="01B7A947" w14:textId="77777777" w:rsidTr="00CE68C4">
        <w:trPr>
          <w:cnfStyle w:val="000000100000" w:firstRow="0" w:lastRow="0" w:firstColumn="0" w:lastColumn="0" w:oddVBand="0" w:evenVBand="0" w:oddHBand="1" w:evenHBand="0" w:firstRowFirstColumn="0" w:firstRowLastColumn="0" w:lastRowFirstColumn="0" w:lastRowLastColumn="0"/>
          <w:trHeight w:val="53"/>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6F5D7A4" w14:textId="77777777" w:rsidR="002C70C3" w:rsidRPr="00EE4BFB" w:rsidRDefault="002C70C3" w:rsidP="002C70C3">
            <w:pPr>
              <w:jc w:val="center"/>
              <w:rPr>
                <w:rFonts w:eastAsia="Times New Roman" w:cs="Calibri"/>
                <w:b w:val="0"/>
                <w:bCs w:val="0"/>
                <w:color w:val="000000" w:themeColor="text1"/>
                <w:sz w:val="18"/>
                <w:szCs w:val="18"/>
              </w:rPr>
            </w:pPr>
            <w:r w:rsidRPr="00EE4BFB">
              <w:rPr>
                <w:rFonts w:eastAsia="Times New Roman" w:cs="Calibri"/>
                <w:color w:val="000000" w:themeColor="text1"/>
                <w:sz w:val="18"/>
                <w:szCs w:val="18"/>
              </w:rPr>
              <w:t>4</w:t>
            </w:r>
          </w:p>
        </w:tc>
        <w:tc>
          <w:tcPr>
            <w:tcW w:w="0" w:type="auto"/>
          </w:tcPr>
          <w:p w14:paraId="2C7C7E9C" w14:textId="4348B01C" w:rsidR="002C70C3" w:rsidRPr="00EE4BFB" w:rsidRDefault="003F2953" w:rsidP="002C70C3">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E4BFB">
              <w:rPr>
                <w:rFonts w:cs="Calibri"/>
                <w:color w:val="000000"/>
                <w:sz w:val="18"/>
                <w:szCs w:val="18"/>
              </w:rPr>
              <w:t>$ 1,595,587,990</w:t>
            </w:r>
          </w:p>
        </w:tc>
        <w:tc>
          <w:tcPr>
            <w:tcW w:w="0" w:type="auto"/>
          </w:tcPr>
          <w:p w14:paraId="371D04FE" w14:textId="3BE86E57" w:rsidR="002C70C3" w:rsidRPr="00EE4BFB" w:rsidRDefault="000D4875" w:rsidP="002C70C3">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E4BFB">
              <w:rPr>
                <w:rFonts w:cs="Calibri"/>
                <w:color w:val="000000"/>
                <w:sz w:val="18"/>
                <w:szCs w:val="18"/>
              </w:rPr>
              <w:t>-$ 4,580,658</w:t>
            </w:r>
          </w:p>
        </w:tc>
        <w:tc>
          <w:tcPr>
            <w:tcW w:w="0" w:type="auto"/>
          </w:tcPr>
          <w:p w14:paraId="51353824" w14:textId="7CC4EBDD" w:rsidR="002C70C3" w:rsidRPr="00EE4BFB" w:rsidRDefault="0065109B" w:rsidP="002C70C3">
            <w:pPr>
              <w:pStyle w:val="Sinespaciado"/>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EE4BFB">
              <w:rPr>
                <w:rFonts w:cs="Calibri"/>
                <w:color w:val="000000" w:themeColor="text1"/>
                <w:sz w:val="18"/>
                <w:szCs w:val="18"/>
              </w:rPr>
              <w:t>$ 1,591,007,333</w:t>
            </w:r>
          </w:p>
        </w:tc>
      </w:tr>
      <w:tr w:rsidR="002C70C3" w:rsidRPr="00EE4BFB" w14:paraId="7C798ED5" w14:textId="77777777" w:rsidTr="00CE68C4">
        <w:trPr>
          <w:cnfStyle w:val="000000010000" w:firstRow="0" w:lastRow="0" w:firstColumn="0" w:lastColumn="0" w:oddVBand="0" w:evenVBand="0" w:oddHBand="0" w:evenHBand="1" w:firstRowFirstColumn="0" w:firstRowLastColumn="0" w:lastRowFirstColumn="0" w:lastRowLastColumn="0"/>
          <w:trHeight w:val="53"/>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DE5C75B" w14:textId="77777777" w:rsidR="002C70C3" w:rsidRPr="00EE4BFB" w:rsidRDefault="002C70C3" w:rsidP="002C70C3">
            <w:pPr>
              <w:jc w:val="center"/>
              <w:rPr>
                <w:rFonts w:eastAsia="Times New Roman" w:cs="Calibri"/>
                <w:b w:val="0"/>
                <w:bCs w:val="0"/>
                <w:color w:val="000000" w:themeColor="text1"/>
                <w:sz w:val="18"/>
                <w:szCs w:val="18"/>
              </w:rPr>
            </w:pPr>
            <w:r w:rsidRPr="00EE4BFB">
              <w:rPr>
                <w:rFonts w:eastAsia="Times New Roman" w:cs="Calibri"/>
                <w:color w:val="000000" w:themeColor="text1"/>
                <w:sz w:val="18"/>
                <w:szCs w:val="18"/>
              </w:rPr>
              <w:t>Total</w:t>
            </w:r>
          </w:p>
        </w:tc>
        <w:tc>
          <w:tcPr>
            <w:tcW w:w="0" w:type="auto"/>
            <w:shd w:val="clear" w:color="auto" w:fill="BFE2A8" w:themeFill="accent2" w:themeFillTint="66"/>
          </w:tcPr>
          <w:p w14:paraId="21690526" w14:textId="04A4D688" w:rsidR="002C70C3" w:rsidRPr="00EE4BFB" w:rsidRDefault="00617C6E" w:rsidP="002C70C3">
            <w:pPr>
              <w:pStyle w:val="Sinespaciado"/>
              <w:cnfStyle w:val="000000010000" w:firstRow="0" w:lastRow="0" w:firstColumn="0" w:lastColumn="0" w:oddVBand="0" w:evenVBand="0" w:oddHBand="0" w:evenHBand="1" w:firstRowFirstColumn="0" w:firstRowLastColumn="0" w:lastRowFirstColumn="0" w:lastRowLastColumn="0"/>
              <w:rPr>
                <w:b/>
                <w:color w:val="000000" w:themeColor="text1"/>
                <w:sz w:val="18"/>
                <w:szCs w:val="18"/>
              </w:rPr>
            </w:pPr>
            <w:r w:rsidRPr="00EE4BFB">
              <w:rPr>
                <w:rFonts w:cs="Calibri"/>
                <w:b/>
                <w:bCs/>
                <w:color w:val="000000"/>
                <w:sz w:val="18"/>
                <w:szCs w:val="18"/>
              </w:rPr>
              <w:t>$ 2,225,947,742</w:t>
            </w:r>
          </w:p>
        </w:tc>
        <w:tc>
          <w:tcPr>
            <w:tcW w:w="0" w:type="auto"/>
            <w:shd w:val="clear" w:color="auto" w:fill="BFE2A8" w:themeFill="accent2" w:themeFillTint="66"/>
          </w:tcPr>
          <w:p w14:paraId="17F18A0F" w14:textId="738198D4" w:rsidR="002C70C3" w:rsidRPr="00EE4BFB" w:rsidRDefault="000D4875" w:rsidP="002C70C3">
            <w:pPr>
              <w:pStyle w:val="Sinespaciado"/>
              <w:cnfStyle w:val="000000010000" w:firstRow="0" w:lastRow="0" w:firstColumn="0" w:lastColumn="0" w:oddVBand="0" w:evenVBand="0" w:oddHBand="0" w:evenHBand="1" w:firstRowFirstColumn="0" w:firstRowLastColumn="0" w:lastRowFirstColumn="0" w:lastRowLastColumn="0"/>
              <w:rPr>
                <w:b/>
                <w:color w:val="000000" w:themeColor="text1"/>
                <w:sz w:val="18"/>
                <w:szCs w:val="18"/>
              </w:rPr>
            </w:pPr>
            <w:r w:rsidRPr="00EE4BFB">
              <w:rPr>
                <w:rFonts w:cs="Calibri"/>
                <w:b/>
                <w:bCs/>
                <w:color w:val="000000" w:themeColor="text1"/>
                <w:sz w:val="18"/>
                <w:szCs w:val="18"/>
              </w:rPr>
              <w:t>$ 5,358,275</w:t>
            </w:r>
          </w:p>
        </w:tc>
        <w:tc>
          <w:tcPr>
            <w:tcW w:w="0" w:type="auto"/>
            <w:shd w:val="clear" w:color="auto" w:fill="BFE2A8" w:themeFill="accent2" w:themeFillTint="66"/>
          </w:tcPr>
          <w:p w14:paraId="1B328734" w14:textId="49D52EFA" w:rsidR="002C70C3" w:rsidRPr="00EE4BFB" w:rsidRDefault="00EE4BFB" w:rsidP="002C70C3">
            <w:pPr>
              <w:pStyle w:val="Sinespaciado"/>
              <w:cnfStyle w:val="000000010000" w:firstRow="0" w:lastRow="0" w:firstColumn="0" w:lastColumn="0" w:oddVBand="0" w:evenVBand="0" w:oddHBand="0" w:evenHBand="1" w:firstRowFirstColumn="0" w:firstRowLastColumn="0" w:lastRowFirstColumn="0" w:lastRowLastColumn="0"/>
              <w:rPr>
                <w:b/>
                <w:color w:val="000000" w:themeColor="text1"/>
                <w:sz w:val="18"/>
                <w:szCs w:val="18"/>
              </w:rPr>
            </w:pPr>
            <w:r w:rsidRPr="00EE4BFB">
              <w:rPr>
                <w:rFonts w:cs="Calibri"/>
                <w:b/>
                <w:bCs/>
                <w:color w:val="000000" w:themeColor="text1"/>
                <w:sz w:val="18"/>
                <w:szCs w:val="18"/>
              </w:rPr>
              <w:t>$ 2,231,306,017</w:t>
            </w:r>
          </w:p>
        </w:tc>
      </w:tr>
      <w:tr w:rsidR="006B0D38" w:rsidRPr="002946A9" w14:paraId="6C790178" w14:textId="77777777" w:rsidTr="00933360">
        <w:trPr>
          <w:cnfStyle w:val="000000100000" w:firstRow="0" w:lastRow="0" w:firstColumn="0" w:lastColumn="0" w:oddVBand="0" w:evenVBand="0" w:oddHBand="1" w:evenHBand="0" w:firstRowFirstColumn="0" w:firstRowLastColumn="0" w:lastRowFirstColumn="0" w:lastRowLastColumn="0"/>
          <w:trHeight w:val="53"/>
          <w:jc w:val="center"/>
        </w:trPr>
        <w:tc>
          <w:tcPr>
            <w:cnfStyle w:val="001000000000" w:firstRow="0" w:lastRow="0" w:firstColumn="1" w:lastColumn="0" w:oddVBand="0" w:evenVBand="0" w:oddHBand="0" w:evenHBand="0" w:firstRowFirstColumn="0" w:firstRowLastColumn="0" w:lastRowFirstColumn="0" w:lastRowLastColumn="0"/>
            <w:tcW w:w="0" w:type="auto"/>
            <w:gridSpan w:val="4"/>
            <w:shd w:val="clear" w:color="auto" w:fill="DFF0D3" w:themeFill="accent2" w:themeFillTint="33"/>
          </w:tcPr>
          <w:p w14:paraId="59455FAB" w14:textId="77777777" w:rsidR="006B0D38" w:rsidRPr="00EE4BFB" w:rsidRDefault="006B0D38" w:rsidP="00DF29CB">
            <w:pPr>
              <w:pStyle w:val="Sinespaciado"/>
              <w:jc w:val="both"/>
              <w:rPr>
                <w:rFonts w:cs="Calibri"/>
                <w:i/>
                <w:color w:val="000000"/>
                <w:sz w:val="18"/>
                <w:szCs w:val="18"/>
              </w:rPr>
            </w:pPr>
            <w:r w:rsidRPr="00EE4BFB">
              <w:rPr>
                <w:rFonts w:cs="Calibri"/>
                <w:i/>
                <w:color w:val="000000"/>
                <w:sz w:val="18"/>
                <w:szCs w:val="18"/>
              </w:rPr>
              <w:t>*Todos los valores están en pesos a diciembre del 2017.</w:t>
            </w:r>
          </w:p>
          <w:p w14:paraId="2A2BC6DE" w14:textId="17FCCBAC" w:rsidR="00340C41" w:rsidRPr="002946A9" w:rsidRDefault="00340C41" w:rsidP="00DF29CB">
            <w:pPr>
              <w:pStyle w:val="Sinespaciado"/>
              <w:jc w:val="both"/>
              <w:rPr>
                <w:b w:val="0"/>
                <w:i/>
                <w:iCs/>
                <w:color w:val="000000" w:themeColor="text1"/>
                <w:sz w:val="18"/>
                <w:szCs w:val="18"/>
              </w:rPr>
            </w:pPr>
            <w:r w:rsidRPr="00EE4BFB">
              <w:rPr>
                <w:i/>
                <w:iCs/>
                <w:color w:val="000000" w:themeColor="text1"/>
                <w:sz w:val="18"/>
                <w:szCs w:val="18"/>
              </w:rPr>
              <w:t>-</w:t>
            </w:r>
            <w:r w:rsidR="00C8623C" w:rsidRPr="00EE4BFB">
              <w:rPr>
                <w:i/>
                <w:iCs/>
                <w:color w:val="000000" w:themeColor="text1"/>
                <w:sz w:val="18"/>
                <w:szCs w:val="18"/>
              </w:rPr>
              <w:t>El BRT Año 202</w:t>
            </w:r>
            <w:r w:rsidR="00570472">
              <w:rPr>
                <w:i/>
                <w:iCs/>
                <w:color w:val="000000" w:themeColor="text1"/>
                <w:sz w:val="18"/>
                <w:szCs w:val="18"/>
              </w:rPr>
              <w:t>1</w:t>
            </w:r>
            <w:r w:rsidR="00C8623C" w:rsidRPr="00EE4BFB">
              <w:rPr>
                <w:i/>
                <w:iCs/>
                <w:color w:val="000000" w:themeColor="text1"/>
                <w:sz w:val="18"/>
                <w:szCs w:val="18"/>
              </w:rPr>
              <w:t xml:space="preserve"> acumulado fue corregido con base en la aprobación del año 2018 (Res CREG 501 022 de 2022</w:t>
            </w:r>
            <w:r w:rsidR="00570472">
              <w:rPr>
                <w:i/>
                <w:iCs/>
                <w:color w:val="000000" w:themeColor="text1"/>
                <w:sz w:val="18"/>
                <w:szCs w:val="18"/>
              </w:rPr>
              <w:t xml:space="preserve"> y 501 027 de 2022</w:t>
            </w:r>
            <w:r w:rsidR="00C8623C" w:rsidRPr="00EE4BFB">
              <w:rPr>
                <w:i/>
                <w:iCs/>
                <w:color w:val="000000" w:themeColor="text1"/>
                <w:sz w:val="18"/>
                <w:szCs w:val="18"/>
              </w:rPr>
              <w:t>). EL BRT incremental del año 202</w:t>
            </w:r>
            <w:r w:rsidR="008B08AD">
              <w:rPr>
                <w:i/>
                <w:iCs/>
                <w:color w:val="000000" w:themeColor="text1"/>
                <w:sz w:val="18"/>
                <w:szCs w:val="18"/>
              </w:rPr>
              <w:t>2</w:t>
            </w:r>
            <w:r w:rsidR="00C8623C" w:rsidRPr="00EE4BFB">
              <w:rPr>
                <w:i/>
                <w:iCs/>
                <w:color w:val="000000" w:themeColor="text1"/>
                <w:sz w:val="18"/>
                <w:szCs w:val="18"/>
              </w:rPr>
              <w:t xml:space="preserve"> es un delta entre el BRT que entra menos el BRT que sale de operación, por lo </w:t>
            </w:r>
            <w:r w:rsidR="00570472" w:rsidRPr="00EE4BFB">
              <w:rPr>
                <w:i/>
                <w:iCs/>
                <w:color w:val="000000" w:themeColor="text1"/>
                <w:sz w:val="18"/>
                <w:szCs w:val="18"/>
              </w:rPr>
              <w:t>tanto</w:t>
            </w:r>
            <w:r w:rsidR="00570472" w:rsidRPr="00EE4BFB">
              <w:rPr>
                <w:b w:val="0"/>
                <w:bCs w:val="0"/>
                <w:i/>
                <w:iCs/>
                <w:color w:val="000000" w:themeColor="text1"/>
                <w:sz w:val="18"/>
                <w:szCs w:val="18"/>
              </w:rPr>
              <w:t>,</w:t>
            </w:r>
            <w:r w:rsidR="00C8623C" w:rsidRPr="00EE4BFB">
              <w:rPr>
                <w:i/>
                <w:iCs/>
                <w:color w:val="000000" w:themeColor="text1"/>
                <w:sz w:val="18"/>
                <w:szCs w:val="18"/>
              </w:rPr>
              <w:t xml:space="preserve"> se pueden presentar valores negativos</w:t>
            </w:r>
          </w:p>
        </w:tc>
      </w:tr>
    </w:tbl>
    <w:p w14:paraId="21A38050" w14:textId="187E4F90" w:rsidR="006F605D" w:rsidRPr="002946A9" w:rsidRDefault="006F605D" w:rsidP="00DF29CB">
      <w:pPr>
        <w:ind w:left="360"/>
        <w:jc w:val="both"/>
        <w:rPr>
          <w:rFonts w:ascii="Trebuchet MS" w:hAnsi="Trebuchet MS"/>
          <w:szCs w:val="24"/>
        </w:rPr>
      </w:pPr>
    </w:p>
    <w:p w14:paraId="40BEFA44" w14:textId="3E50DA83" w:rsidR="006F605D" w:rsidRPr="002946A9" w:rsidRDefault="006F605D" w:rsidP="00DF29CB">
      <w:pPr>
        <w:ind w:left="360"/>
        <w:jc w:val="both"/>
        <w:rPr>
          <w:rFonts w:ascii="Trebuchet MS" w:hAnsi="Trebuchet MS"/>
          <w:szCs w:val="24"/>
        </w:rPr>
      </w:pPr>
      <w:r w:rsidRPr="002946A9">
        <w:rPr>
          <w:rFonts w:ascii="Trebuchet MS" w:hAnsi="Trebuchet MS"/>
          <w:szCs w:val="24"/>
        </w:rPr>
        <w:t xml:space="preserve">De la </w:t>
      </w:r>
      <w:r w:rsidRPr="002946A9">
        <w:rPr>
          <w:rFonts w:ascii="Trebuchet MS" w:hAnsi="Trebuchet MS"/>
          <w:szCs w:val="24"/>
        </w:rPr>
        <w:fldChar w:fldCharType="begin"/>
      </w:r>
      <w:r w:rsidRPr="002946A9">
        <w:rPr>
          <w:rFonts w:ascii="Trebuchet MS" w:hAnsi="Trebuchet MS"/>
          <w:szCs w:val="24"/>
        </w:rPr>
        <w:instrText xml:space="preserve"> REF _Ref67580992 \h </w:instrText>
      </w:r>
      <w:r w:rsidR="00DF29CB" w:rsidRPr="002946A9">
        <w:rPr>
          <w:rFonts w:ascii="Trebuchet MS" w:hAnsi="Trebuchet MS"/>
          <w:szCs w:val="24"/>
        </w:rPr>
        <w:instrText xml:space="preserve"> \* MERGEFORMAT </w:instrText>
      </w:r>
      <w:r w:rsidRPr="002946A9">
        <w:rPr>
          <w:rFonts w:ascii="Trebuchet MS" w:hAnsi="Trebuchet MS"/>
          <w:szCs w:val="24"/>
        </w:rPr>
      </w:r>
      <w:r w:rsidRPr="002946A9">
        <w:rPr>
          <w:rFonts w:ascii="Trebuchet MS" w:hAnsi="Trebuchet MS"/>
          <w:szCs w:val="24"/>
        </w:rPr>
        <w:fldChar w:fldCharType="separate"/>
      </w:r>
      <w:r w:rsidR="00C944CB" w:rsidRPr="002946A9">
        <w:rPr>
          <w:rFonts w:ascii="Trebuchet MS" w:hAnsi="Trebuchet MS"/>
        </w:rPr>
        <w:t xml:space="preserve">Tabla </w:t>
      </w:r>
      <w:r w:rsidR="00C944CB">
        <w:rPr>
          <w:rFonts w:ascii="Trebuchet MS" w:hAnsi="Trebuchet MS"/>
          <w:noProof/>
        </w:rPr>
        <w:t>3</w:t>
      </w:r>
      <w:r w:rsidR="00C944CB" w:rsidRPr="002946A9">
        <w:rPr>
          <w:rFonts w:ascii="Trebuchet MS" w:hAnsi="Trebuchet MS"/>
          <w:noProof/>
        </w:rPr>
        <w:t>.</w:t>
      </w:r>
      <w:r w:rsidR="00C944CB">
        <w:rPr>
          <w:rFonts w:ascii="Trebuchet MS" w:hAnsi="Trebuchet MS"/>
          <w:noProof/>
        </w:rPr>
        <w:t>13</w:t>
      </w:r>
      <w:r w:rsidRPr="002946A9">
        <w:rPr>
          <w:rFonts w:ascii="Trebuchet MS" w:hAnsi="Trebuchet MS"/>
          <w:szCs w:val="24"/>
        </w:rPr>
        <w:fldChar w:fldCharType="end"/>
      </w:r>
      <w:r w:rsidR="00D366A0" w:rsidRPr="002946A9">
        <w:rPr>
          <w:rFonts w:ascii="Trebuchet MS" w:hAnsi="Trebuchet MS"/>
          <w:szCs w:val="24"/>
        </w:rPr>
        <w:t xml:space="preserve">, al año </w:t>
      </w:r>
      <w:r w:rsidR="00090740" w:rsidRPr="002946A9">
        <w:rPr>
          <w:rFonts w:ascii="Trebuchet MS" w:hAnsi="Trebuchet MS"/>
          <w:szCs w:val="24"/>
        </w:rPr>
        <w:t>202</w:t>
      </w:r>
      <w:r w:rsidR="00090740">
        <w:rPr>
          <w:rFonts w:ascii="Trebuchet MS" w:hAnsi="Trebuchet MS"/>
          <w:szCs w:val="24"/>
        </w:rPr>
        <w:t>2</w:t>
      </w:r>
      <w:r w:rsidR="00090740" w:rsidRPr="002946A9">
        <w:rPr>
          <w:rFonts w:ascii="Trebuchet MS" w:hAnsi="Trebuchet MS"/>
          <w:szCs w:val="24"/>
        </w:rPr>
        <w:t xml:space="preserve"> </w:t>
      </w:r>
      <w:r w:rsidRPr="002946A9">
        <w:rPr>
          <w:rFonts w:ascii="Trebuchet MS" w:hAnsi="Trebuchet MS"/>
          <w:szCs w:val="24"/>
        </w:rPr>
        <w:t>se observa u</w:t>
      </w:r>
      <w:r w:rsidR="00D366A0" w:rsidRPr="002946A9">
        <w:rPr>
          <w:rFonts w:ascii="Trebuchet MS" w:hAnsi="Trebuchet MS"/>
          <w:szCs w:val="24"/>
        </w:rPr>
        <w:t xml:space="preserve">n reconocimiento acumulado </w:t>
      </w:r>
      <w:r w:rsidR="00164AFF" w:rsidRPr="002946A9">
        <w:rPr>
          <w:rFonts w:ascii="Trebuchet MS" w:hAnsi="Trebuchet MS"/>
          <w:szCs w:val="24"/>
        </w:rPr>
        <w:t>de terrenos en subestaciones</w:t>
      </w:r>
      <w:r w:rsidR="00D366A0" w:rsidRPr="002946A9">
        <w:rPr>
          <w:rFonts w:ascii="Trebuchet MS" w:hAnsi="Trebuchet MS"/>
          <w:szCs w:val="24"/>
        </w:rPr>
        <w:t xml:space="preserve"> por valor de </w:t>
      </w:r>
      <w:r w:rsidR="00977BCD" w:rsidRPr="00EE4BFB">
        <w:rPr>
          <w:rFonts w:ascii="Trebuchet MS" w:hAnsi="Trebuchet MS"/>
          <w:szCs w:val="24"/>
        </w:rPr>
        <w:t>$ 2,2</w:t>
      </w:r>
      <w:r w:rsidR="00EE4BFB">
        <w:rPr>
          <w:rFonts w:ascii="Trebuchet MS" w:hAnsi="Trebuchet MS"/>
          <w:szCs w:val="24"/>
        </w:rPr>
        <w:t>31</w:t>
      </w:r>
      <w:r w:rsidR="00977BCD" w:rsidRPr="00EE4BFB">
        <w:rPr>
          <w:rFonts w:ascii="Trebuchet MS" w:hAnsi="Trebuchet MS"/>
          <w:szCs w:val="24"/>
        </w:rPr>
        <w:t>,</w:t>
      </w:r>
      <w:r w:rsidR="00EE4BFB">
        <w:rPr>
          <w:rFonts w:ascii="Trebuchet MS" w:hAnsi="Trebuchet MS"/>
          <w:szCs w:val="24"/>
        </w:rPr>
        <w:t>306</w:t>
      </w:r>
      <w:r w:rsidR="00977BCD" w:rsidRPr="00EE4BFB">
        <w:rPr>
          <w:rFonts w:ascii="Trebuchet MS" w:hAnsi="Trebuchet MS"/>
          <w:szCs w:val="24"/>
        </w:rPr>
        <w:t>,</w:t>
      </w:r>
      <w:r w:rsidR="00607624">
        <w:rPr>
          <w:rFonts w:ascii="Trebuchet MS" w:hAnsi="Trebuchet MS"/>
          <w:szCs w:val="24"/>
        </w:rPr>
        <w:t>017</w:t>
      </w:r>
      <w:r w:rsidR="00DB3323" w:rsidRPr="002946A9">
        <w:rPr>
          <w:rFonts w:ascii="Trebuchet MS" w:hAnsi="Trebuchet MS"/>
          <w:szCs w:val="24"/>
        </w:rPr>
        <w:t xml:space="preserve">, el </w:t>
      </w:r>
      <w:r w:rsidR="00C8623C" w:rsidRPr="002946A9">
        <w:rPr>
          <w:rFonts w:ascii="Trebuchet MS" w:hAnsi="Trebuchet MS"/>
          <w:szCs w:val="24"/>
        </w:rPr>
        <w:t>valor incluye el ajuste realizado conforme la aprobación del inventario 2018</w:t>
      </w:r>
      <w:r w:rsidR="00E32A73" w:rsidRPr="002946A9">
        <w:rPr>
          <w:rFonts w:ascii="Trebuchet MS" w:hAnsi="Trebuchet MS"/>
          <w:szCs w:val="24"/>
        </w:rPr>
        <w:t xml:space="preserve">. </w:t>
      </w:r>
      <w:r w:rsidRPr="002946A9">
        <w:rPr>
          <w:rFonts w:ascii="Trebuchet MS" w:hAnsi="Trebuchet MS"/>
          <w:szCs w:val="24"/>
        </w:rPr>
        <w:t xml:space="preserve">El listado de unidades constructivas y sus áreas reconocidas, de donde se obtiene el valor de la variable </w:t>
      </w:r>
      <w:r w:rsidRPr="002946A9">
        <w:rPr>
          <w:rFonts w:ascii="Trebuchet MS" w:hAnsi="Trebuchet MS"/>
          <w:i/>
          <w:iCs/>
          <w:szCs w:val="24"/>
        </w:rPr>
        <w:t>BRT</w:t>
      </w:r>
      <w:r w:rsidRPr="002946A9">
        <w:rPr>
          <w:rFonts w:ascii="Trebuchet MS" w:hAnsi="Trebuchet MS"/>
          <w:i/>
          <w:iCs/>
          <w:szCs w:val="24"/>
          <w:vertAlign w:val="subscript"/>
        </w:rPr>
        <w:t>j,n,</w:t>
      </w:r>
      <w:r w:rsidR="00607624">
        <w:rPr>
          <w:rFonts w:ascii="Trebuchet MS" w:hAnsi="Trebuchet MS"/>
          <w:i/>
          <w:iCs/>
          <w:szCs w:val="24"/>
          <w:vertAlign w:val="subscript"/>
        </w:rPr>
        <w:t>4</w:t>
      </w:r>
      <w:r w:rsidRPr="002946A9">
        <w:rPr>
          <w:rFonts w:ascii="Trebuchet MS" w:hAnsi="Trebuchet MS"/>
          <w:szCs w:val="24"/>
        </w:rPr>
        <w:t xml:space="preserve">, se encuentra en los </w:t>
      </w:r>
      <w:r w:rsidRPr="00570472">
        <w:rPr>
          <w:rFonts w:ascii="Trebuchet MS" w:hAnsi="Trebuchet MS"/>
          <w:szCs w:val="24"/>
        </w:rPr>
        <w:t xml:space="preserve">Anexos </w:t>
      </w:r>
      <w:r w:rsidR="00DA1A68" w:rsidRPr="00570472">
        <w:rPr>
          <w:rFonts w:ascii="Trebuchet MS" w:hAnsi="Trebuchet MS"/>
          <w:szCs w:val="24"/>
        </w:rPr>
        <w:t>1 al 4</w:t>
      </w:r>
      <w:r w:rsidRPr="00570472">
        <w:rPr>
          <w:rFonts w:ascii="Trebuchet MS" w:hAnsi="Trebuchet MS"/>
          <w:szCs w:val="24"/>
        </w:rPr>
        <w:t>.</w:t>
      </w:r>
    </w:p>
    <w:p w14:paraId="3E11709B" w14:textId="66B3A292" w:rsidR="009C06E7" w:rsidRDefault="009C06E7" w:rsidP="00DF29CB">
      <w:pPr>
        <w:ind w:left="-567"/>
        <w:jc w:val="both"/>
        <w:rPr>
          <w:sz w:val="20"/>
        </w:rPr>
      </w:pPr>
      <w:bookmarkStart w:id="228" w:name="_Toc61877459"/>
      <w:bookmarkStart w:id="229" w:name="_Toc61877559"/>
      <w:bookmarkStart w:id="230" w:name="_Toc61878328"/>
      <w:bookmarkStart w:id="231" w:name="_Toc61880440"/>
      <w:bookmarkStart w:id="232" w:name="_Toc61880472"/>
      <w:bookmarkStart w:id="233" w:name="_Toc61960186"/>
      <w:bookmarkStart w:id="234" w:name="_Toc66954194"/>
      <w:bookmarkStart w:id="235" w:name="_Toc66954607"/>
      <w:bookmarkStart w:id="236" w:name="_Toc66954896"/>
      <w:bookmarkStart w:id="237" w:name="_Toc67033719"/>
      <w:bookmarkStart w:id="238" w:name="_Toc67387505"/>
      <w:bookmarkStart w:id="239" w:name="_Toc67387843"/>
      <w:bookmarkStart w:id="240" w:name="_Toc67387928"/>
      <w:bookmarkStart w:id="241" w:name="_Toc67388024"/>
      <w:bookmarkStart w:id="242" w:name="_Toc67393360"/>
      <w:bookmarkStart w:id="243" w:name="_Toc67394811"/>
      <w:bookmarkStart w:id="244" w:name="_Toc67468513"/>
      <w:bookmarkStart w:id="245" w:name="_Toc67581071"/>
      <w:bookmarkStart w:id="246" w:name="_Toc67581220"/>
      <w:bookmarkStart w:id="247" w:name="_Toc67581669"/>
      <w:bookmarkStart w:id="248" w:name="_Toc67581773"/>
      <w:bookmarkStart w:id="249" w:name="_Toc67584912"/>
      <w:bookmarkStart w:id="250" w:name="_Toc67585013"/>
      <w:bookmarkStart w:id="251" w:name="_Toc67585114"/>
      <w:bookmarkStart w:id="252" w:name="_Toc67644238"/>
      <w:bookmarkStart w:id="253" w:name="_Toc67646598"/>
      <w:bookmarkStart w:id="254" w:name="_Toc67652493"/>
      <w:bookmarkStart w:id="255" w:name="_Toc67658914"/>
      <w:bookmarkStart w:id="256" w:name="_Toc67659393"/>
      <w:bookmarkStart w:id="257" w:name="_Toc67662118"/>
      <w:bookmarkStart w:id="258" w:name="_Toc67666591"/>
      <w:bookmarkStart w:id="259" w:name="_Toc67725086"/>
      <w:bookmarkStart w:id="260" w:name="_Toc67730201"/>
      <w:bookmarkStart w:id="261" w:name="_Toc67730535"/>
      <w:bookmarkStart w:id="262" w:name="_Toc67740137"/>
      <w:bookmarkStart w:id="263" w:name="_Toc67747215"/>
      <w:bookmarkStart w:id="264" w:name="_Toc67748239"/>
      <w:bookmarkStart w:id="265" w:name="_Toc67768827"/>
      <w:bookmarkStart w:id="266" w:name="_Toc67769643"/>
      <w:bookmarkStart w:id="267" w:name="_Toc67771036"/>
      <w:bookmarkStart w:id="268" w:name="_Toc67771526"/>
      <w:bookmarkStart w:id="269" w:name="_Toc67771676"/>
      <w:bookmarkStart w:id="270" w:name="_Toc67771786"/>
      <w:bookmarkStart w:id="271" w:name="_Toc67771909"/>
      <w:bookmarkStart w:id="272" w:name="_Toc67773238"/>
      <w:bookmarkStart w:id="273" w:name="_Toc67773445"/>
      <w:bookmarkStart w:id="274" w:name="_Toc67777823"/>
      <w:bookmarkStart w:id="275" w:name="_Toc67778498"/>
      <w:bookmarkStart w:id="276" w:name="_Toc98946134"/>
      <w:bookmarkStart w:id="277" w:name="_Toc98946198"/>
      <w:bookmarkStart w:id="278" w:name="_Toc98946298"/>
      <w:bookmarkStart w:id="279" w:name="_Toc98946435"/>
      <w:bookmarkStart w:id="280" w:name="_Toc99024924"/>
      <w:bookmarkStart w:id="281" w:name="_Toc99032839"/>
      <w:bookmarkStart w:id="282" w:name="_Toc99032939"/>
      <w:bookmarkStart w:id="283" w:name="_Toc99373526"/>
      <w:bookmarkStart w:id="284" w:name="_Toc99373625"/>
      <w:bookmarkStart w:id="285" w:name="_Toc99373978"/>
      <w:bookmarkStart w:id="286" w:name="_Toc99447564"/>
      <w:bookmarkStart w:id="287" w:name="_Toc99448915"/>
      <w:bookmarkStart w:id="288" w:name="_Toc99458454"/>
      <w:bookmarkStart w:id="289" w:name="_Toc99534620"/>
      <w:bookmarkStart w:id="290" w:name="_Toc99547877"/>
      <w:bookmarkStart w:id="291" w:name="_Toc99560675"/>
      <w:bookmarkStart w:id="292" w:name="_Toc99560775"/>
      <w:bookmarkStart w:id="293" w:name="_Toc99560875"/>
      <w:bookmarkStart w:id="294" w:name="_Toc99567557"/>
      <w:bookmarkStart w:id="295" w:name="_Toc99567685"/>
      <w:bookmarkStart w:id="296" w:name="_Toc99567785"/>
      <w:bookmarkStart w:id="297" w:name="_Toc99567912"/>
      <w:bookmarkStart w:id="298" w:name="_Toc99568012"/>
      <w:bookmarkStart w:id="299" w:name="_Toc99568112"/>
      <w:bookmarkStart w:id="300" w:name="_Toc99568212"/>
      <w:bookmarkStart w:id="301" w:name="_Toc129619875"/>
      <w:bookmarkStart w:id="302" w:name="_Toc131031356"/>
      <w:bookmarkStart w:id="303" w:name="_Toc131032864"/>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Pr>
          <w:sz w:val="20"/>
        </w:rPr>
        <w:br w:type="page"/>
      </w:r>
    </w:p>
    <w:p w14:paraId="798C0251" w14:textId="11AB8D82" w:rsidR="00674846" w:rsidRPr="00731A4E" w:rsidRDefault="00674846" w:rsidP="00731A4E">
      <w:pPr>
        <w:pStyle w:val="Prrafodelista"/>
        <w:ind w:left="1080"/>
        <w:jc w:val="both"/>
        <w:rPr>
          <w:rFonts w:ascii="Trebuchet MS" w:hAnsi="Trebuchet MS"/>
          <w:sz w:val="20"/>
          <w:szCs w:val="23"/>
        </w:rPr>
      </w:pPr>
    </w:p>
    <w:p w14:paraId="4B4BA0EC" w14:textId="31A00767" w:rsidR="00471B4F" w:rsidRPr="002946A9" w:rsidRDefault="00471B4F" w:rsidP="00DF29CB">
      <w:pPr>
        <w:pStyle w:val="Ttulo1"/>
        <w:numPr>
          <w:ilvl w:val="0"/>
          <w:numId w:val="1"/>
        </w:numPr>
        <w:jc w:val="both"/>
        <w:rPr>
          <w:rFonts w:ascii="Trebuchet MS" w:hAnsi="Trebuchet MS"/>
          <w:b/>
          <w:sz w:val="28"/>
        </w:rPr>
      </w:pPr>
      <w:bookmarkStart w:id="304" w:name="_Ref67652406"/>
      <w:bookmarkStart w:id="305" w:name="_Toc131109375"/>
      <w:r w:rsidRPr="002946A9">
        <w:rPr>
          <w:rFonts w:ascii="Trebuchet MS" w:hAnsi="Trebuchet MS"/>
          <w:b/>
          <w:sz w:val="28"/>
        </w:rPr>
        <w:t>D</w:t>
      </w:r>
      <w:r w:rsidR="00747125" w:rsidRPr="002946A9">
        <w:rPr>
          <w:rFonts w:ascii="Trebuchet MS" w:hAnsi="Trebuchet MS"/>
          <w:b/>
          <w:sz w:val="28"/>
        </w:rPr>
        <w:t>OCUMENTOS DE REFERENCIA</w:t>
      </w:r>
      <w:bookmarkEnd w:id="304"/>
      <w:bookmarkEnd w:id="305"/>
    </w:p>
    <w:p w14:paraId="6348B7B5" w14:textId="77777777" w:rsidR="004A5F81" w:rsidRPr="002946A9" w:rsidRDefault="004A5F81" w:rsidP="00DF29CB">
      <w:pPr>
        <w:jc w:val="both"/>
      </w:pPr>
    </w:p>
    <w:p w14:paraId="2F69588C" w14:textId="754E811B" w:rsidR="00471B4F" w:rsidRPr="002946A9" w:rsidRDefault="002B44D0" w:rsidP="00DF29CB">
      <w:pPr>
        <w:ind w:left="360"/>
        <w:jc w:val="both"/>
        <w:rPr>
          <w:rFonts w:ascii="Trebuchet MS" w:hAnsi="Trebuchet MS"/>
          <w:szCs w:val="24"/>
        </w:rPr>
      </w:pPr>
      <w:r w:rsidRPr="002946A9">
        <w:rPr>
          <w:rFonts w:ascii="Trebuchet MS" w:hAnsi="Trebuchet MS"/>
          <w:szCs w:val="24"/>
        </w:rPr>
        <w:t>[1]</w:t>
      </w:r>
      <w:r w:rsidR="004A5F81" w:rsidRPr="002946A9">
        <w:rPr>
          <w:rFonts w:ascii="Trebuchet MS" w:hAnsi="Trebuchet MS"/>
          <w:szCs w:val="24"/>
        </w:rPr>
        <w:t xml:space="preserve"> Resolución CREG 015 del 2018</w:t>
      </w:r>
      <w:r w:rsidR="006E4E57" w:rsidRPr="002946A9">
        <w:rPr>
          <w:rFonts w:ascii="Trebuchet MS" w:hAnsi="Trebuchet MS"/>
          <w:szCs w:val="24"/>
        </w:rPr>
        <w:t>, “</w:t>
      </w:r>
      <w:r w:rsidR="006E4E57" w:rsidRPr="002946A9">
        <w:rPr>
          <w:rFonts w:ascii="Trebuchet MS" w:hAnsi="Trebuchet MS"/>
          <w:i/>
          <w:iCs/>
          <w:szCs w:val="24"/>
        </w:rPr>
        <w:t>Por la cual se establece la metodología para la remuneración de la actividad de distribución de energía eléctrica en el Sistema Interconectado Nacional</w:t>
      </w:r>
      <w:r w:rsidR="006E4E57" w:rsidRPr="002946A9">
        <w:rPr>
          <w:rFonts w:ascii="Trebuchet MS" w:hAnsi="Trebuchet MS"/>
          <w:szCs w:val="24"/>
        </w:rPr>
        <w:t>”</w:t>
      </w:r>
      <w:r w:rsidR="00763B8B" w:rsidRPr="002946A9">
        <w:rPr>
          <w:rFonts w:ascii="Trebuchet MS" w:hAnsi="Trebuchet MS"/>
          <w:szCs w:val="24"/>
        </w:rPr>
        <w:t>, Bogotá</w:t>
      </w:r>
      <w:r w:rsidR="00E14736" w:rsidRPr="002946A9">
        <w:rPr>
          <w:rFonts w:ascii="Trebuchet MS" w:hAnsi="Trebuchet MS"/>
          <w:szCs w:val="24"/>
        </w:rPr>
        <w:t>,</w:t>
      </w:r>
      <w:r w:rsidR="00763B8B" w:rsidRPr="002946A9">
        <w:rPr>
          <w:rFonts w:ascii="Trebuchet MS" w:hAnsi="Trebuchet MS"/>
          <w:szCs w:val="24"/>
        </w:rPr>
        <w:t xml:space="preserve"> 2018</w:t>
      </w:r>
      <w:r w:rsidR="00F855AA" w:rsidRPr="002946A9">
        <w:rPr>
          <w:rFonts w:ascii="Trebuchet MS" w:hAnsi="Trebuchet MS"/>
          <w:szCs w:val="24"/>
        </w:rPr>
        <w:t>.</w:t>
      </w:r>
    </w:p>
    <w:p w14:paraId="6689360D" w14:textId="5FBBD3F4" w:rsidR="004A5F81" w:rsidRPr="002946A9" w:rsidRDefault="002B44D0" w:rsidP="00DF29CB">
      <w:pPr>
        <w:ind w:left="360"/>
        <w:jc w:val="both"/>
        <w:rPr>
          <w:rFonts w:ascii="Trebuchet MS" w:hAnsi="Trebuchet MS"/>
          <w:szCs w:val="24"/>
        </w:rPr>
      </w:pPr>
      <w:r w:rsidRPr="002946A9">
        <w:rPr>
          <w:rFonts w:ascii="Trebuchet MS" w:hAnsi="Trebuchet MS"/>
          <w:szCs w:val="24"/>
        </w:rPr>
        <w:t>[2]</w:t>
      </w:r>
      <w:r w:rsidR="006905B3" w:rsidRPr="002946A9">
        <w:rPr>
          <w:rFonts w:ascii="Trebuchet MS" w:hAnsi="Trebuchet MS"/>
          <w:szCs w:val="24"/>
        </w:rPr>
        <w:t xml:space="preserve"> </w:t>
      </w:r>
      <w:r w:rsidR="004A5F81" w:rsidRPr="002946A9">
        <w:rPr>
          <w:rFonts w:ascii="Trebuchet MS" w:hAnsi="Trebuchet MS"/>
          <w:szCs w:val="24"/>
        </w:rPr>
        <w:t>Resolución CREG 085 del 2018</w:t>
      </w:r>
      <w:r w:rsidRPr="002946A9">
        <w:rPr>
          <w:rFonts w:ascii="Trebuchet MS" w:hAnsi="Trebuchet MS"/>
          <w:szCs w:val="24"/>
        </w:rPr>
        <w:t>, “</w:t>
      </w:r>
      <w:r w:rsidRPr="002946A9">
        <w:rPr>
          <w:rFonts w:ascii="Trebuchet MS" w:hAnsi="Trebuchet MS"/>
          <w:i/>
          <w:iCs/>
          <w:szCs w:val="24"/>
        </w:rPr>
        <w:t>Por la cual se aclaran y corrigen algunas disposiciones de la Resolución CREG 015 de 2018</w:t>
      </w:r>
      <w:r w:rsidRPr="002946A9">
        <w:rPr>
          <w:rFonts w:ascii="Trebuchet MS" w:hAnsi="Trebuchet MS"/>
          <w:szCs w:val="24"/>
        </w:rPr>
        <w:t>”</w:t>
      </w:r>
      <w:r w:rsidR="00763B8B" w:rsidRPr="002946A9">
        <w:rPr>
          <w:rFonts w:ascii="Trebuchet MS" w:hAnsi="Trebuchet MS"/>
          <w:szCs w:val="24"/>
        </w:rPr>
        <w:t>, Bogotá</w:t>
      </w:r>
      <w:r w:rsidR="00E14736" w:rsidRPr="002946A9">
        <w:rPr>
          <w:rFonts w:ascii="Trebuchet MS" w:hAnsi="Trebuchet MS"/>
          <w:szCs w:val="24"/>
        </w:rPr>
        <w:t>,</w:t>
      </w:r>
      <w:r w:rsidR="00763B8B" w:rsidRPr="002946A9">
        <w:rPr>
          <w:rFonts w:ascii="Trebuchet MS" w:hAnsi="Trebuchet MS"/>
          <w:szCs w:val="24"/>
        </w:rPr>
        <w:t xml:space="preserve"> 2018</w:t>
      </w:r>
      <w:r w:rsidR="00F855AA" w:rsidRPr="002946A9">
        <w:rPr>
          <w:rFonts w:ascii="Trebuchet MS" w:hAnsi="Trebuchet MS"/>
          <w:szCs w:val="24"/>
        </w:rPr>
        <w:t>.</w:t>
      </w:r>
    </w:p>
    <w:p w14:paraId="1BD68A9E" w14:textId="50B2C579" w:rsidR="004A5F81" w:rsidRPr="002946A9" w:rsidRDefault="00F06802" w:rsidP="00DF29CB">
      <w:pPr>
        <w:ind w:left="360"/>
        <w:jc w:val="both"/>
        <w:rPr>
          <w:rFonts w:ascii="Trebuchet MS" w:hAnsi="Trebuchet MS"/>
          <w:szCs w:val="24"/>
        </w:rPr>
      </w:pPr>
      <w:r w:rsidRPr="002946A9">
        <w:rPr>
          <w:rFonts w:ascii="Trebuchet MS" w:hAnsi="Trebuchet MS"/>
          <w:szCs w:val="24"/>
        </w:rPr>
        <w:t xml:space="preserve">[3] </w:t>
      </w:r>
      <w:r w:rsidR="004A5F81" w:rsidRPr="002946A9">
        <w:rPr>
          <w:rFonts w:ascii="Trebuchet MS" w:hAnsi="Trebuchet MS"/>
          <w:szCs w:val="24"/>
        </w:rPr>
        <w:t>Resolución CREG 036 del 2019</w:t>
      </w:r>
      <w:r w:rsidR="003E135B" w:rsidRPr="002946A9">
        <w:rPr>
          <w:rFonts w:ascii="Trebuchet MS" w:hAnsi="Trebuchet MS"/>
          <w:szCs w:val="24"/>
        </w:rPr>
        <w:t>, “</w:t>
      </w:r>
      <w:r w:rsidR="003E135B" w:rsidRPr="002946A9">
        <w:rPr>
          <w:rFonts w:ascii="Trebuchet MS" w:hAnsi="Trebuchet MS"/>
          <w:i/>
          <w:iCs/>
          <w:szCs w:val="24"/>
        </w:rPr>
        <w:t>Por la cual se modifican algunas disposiciones de la Resolución CREG 015 de 2018</w:t>
      </w:r>
      <w:r w:rsidR="003E135B" w:rsidRPr="002946A9">
        <w:rPr>
          <w:rFonts w:ascii="Trebuchet MS" w:hAnsi="Trebuchet MS"/>
          <w:szCs w:val="24"/>
        </w:rPr>
        <w:t>”</w:t>
      </w:r>
      <w:r w:rsidR="00E14736" w:rsidRPr="002946A9">
        <w:rPr>
          <w:rFonts w:ascii="Trebuchet MS" w:hAnsi="Trebuchet MS"/>
          <w:szCs w:val="24"/>
        </w:rPr>
        <w:t>, Bogotá, 2019</w:t>
      </w:r>
      <w:r w:rsidR="00F855AA" w:rsidRPr="002946A9">
        <w:rPr>
          <w:rFonts w:ascii="Trebuchet MS" w:hAnsi="Trebuchet MS"/>
          <w:szCs w:val="24"/>
        </w:rPr>
        <w:t>.</w:t>
      </w:r>
    </w:p>
    <w:p w14:paraId="0D1B7ED1" w14:textId="6B6AC18E" w:rsidR="0080545A" w:rsidRPr="002946A9" w:rsidRDefault="003E135B" w:rsidP="00DF29CB">
      <w:pPr>
        <w:ind w:left="360"/>
        <w:jc w:val="both"/>
        <w:rPr>
          <w:rFonts w:ascii="Trebuchet MS" w:hAnsi="Trebuchet MS"/>
          <w:szCs w:val="24"/>
        </w:rPr>
      </w:pPr>
      <w:r w:rsidRPr="002946A9">
        <w:rPr>
          <w:rFonts w:ascii="Trebuchet MS" w:hAnsi="Trebuchet MS"/>
          <w:szCs w:val="24"/>
        </w:rPr>
        <w:t xml:space="preserve">[4] </w:t>
      </w:r>
      <w:r w:rsidR="0080545A" w:rsidRPr="002946A9">
        <w:rPr>
          <w:rFonts w:ascii="Trebuchet MS" w:hAnsi="Trebuchet MS"/>
          <w:szCs w:val="24"/>
        </w:rPr>
        <w:t>Resolución CREG 07</w:t>
      </w:r>
      <w:r w:rsidR="00F73A37" w:rsidRPr="002946A9">
        <w:rPr>
          <w:rFonts w:ascii="Trebuchet MS" w:hAnsi="Trebuchet MS"/>
          <w:szCs w:val="24"/>
        </w:rPr>
        <w:t>8</w:t>
      </w:r>
      <w:r w:rsidR="0080545A" w:rsidRPr="002946A9">
        <w:rPr>
          <w:rFonts w:ascii="Trebuchet MS" w:hAnsi="Trebuchet MS"/>
          <w:szCs w:val="24"/>
        </w:rPr>
        <w:t xml:space="preserve"> del 2019</w:t>
      </w:r>
      <w:r w:rsidR="00F855AA" w:rsidRPr="002946A9">
        <w:rPr>
          <w:rFonts w:ascii="Trebuchet MS" w:hAnsi="Trebuchet MS"/>
          <w:szCs w:val="24"/>
        </w:rPr>
        <w:t>, “</w:t>
      </w:r>
      <w:r w:rsidR="00F855AA" w:rsidRPr="002946A9">
        <w:rPr>
          <w:rFonts w:ascii="Trebuchet MS" w:hAnsi="Trebuchet MS"/>
          <w:i/>
          <w:iCs/>
          <w:szCs w:val="24"/>
        </w:rPr>
        <w:t>Por la cual se aprueban las variables necesarias para calcular los ingresos y cargos asociados con la actividad de distribución de energía eléctrica para el mercado de comercialización atendido por Empresas Públicas de Medellín E.S.P.</w:t>
      </w:r>
      <w:r w:rsidR="00F855AA" w:rsidRPr="002946A9">
        <w:rPr>
          <w:rFonts w:ascii="Trebuchet MS" w:hAnsi="Trebuchet MS"/>
          <w:szCs w:val="24"/>
        </w:rPr>
        <w:t>”</w:t>
      </w:r>
      <w:r w:rsidR="00E14736" w:rsidRPr="002946A9">
        <w:rPr>
          <w:rFonts w:ascii="Trebuchet MS" w:hAnsi="Trebuchet MS"/>
          <w:szCs w:val="24"/>
        </w:rPr>
        <w:t>, Bogotá, 2019</w:t>
      </w:r>
      <w:r w:rsidR="00F855AA" w:rsidRPr="002946A9">
        <w:rPr>
          <w:rFonts w:ascii="Trebuchet MS" w:hAnsi="Trebuchet MS"/>
          <w:szCs w:val="24"/>
        </w:rPr>
        <w:t>.</w:t>
      </w:r>
    </w:p>
    <w:p w14:paraId="2E9049A9" w14:textId="3D0B3FF9" w:rsidR="0080545A" w:rsidRPr="002946A9" w:rsidRDefault="003E135B" w:rsidP="00DF29CB">
      <w:pPr>
        <w:ind w:left="360"/>
        <w:jc w:val="both"/>
        <w:rPr>
          <w:rFonts w:ascii="Trebuchet MS" w:hAnsi="Trebuchet MS"/>
          <w:szCs w:val="24"/>
        </w:rPr>
      </w:pPr>
      <w:r w:rsidRPr="002946A9">
        <w:rPr>
          <w:rFonts w:ascii="Trebuchet MS" w:hAnsi="Trebuchet MS"/>
          <w:szCs w:val="24"/>
        </w:rPr>
        <w:t xml:space="preserve">[5] </w:t>
      </w:r>
      <w:r w:rsidR="0080545A" w:rsidRPr="002946A9">
        <w:rPr>
          <w:rFonts w:ascii="Trebuchet MS" w:hAnsi="Trebuchet MS"/>
          <w:szCs w:val="24"/>
        </w:rPr>
        <w:t>Resolución CREG 156 del 2019</w:t>
      </w:r>
      <w:r w:rsidR="00F1256D" w:rsidRPr="002946A9">
        <w:rPr>
          <w:rFonts w:ascii="Trebuchet MS" w:hAnsi="Trebuchet MS"/>
          <w:szCs w:val="24"/>
        </w:rPr>
        <w:t>, “</w:t>
      </w:r>
      <w:r w:rsidR="00F1256D" w:rsidRPr="002946A9">
        <w:rPr>
          <w:rFonts w:ascii="Trebuchet MS" w:hAnsi="Trebuchet MS"/>
          <w:i/>
          <w:iCs/>
          <w:szCs w:val="24"/>
        </w:rPr>
        <w:t>Por la cual se resuelve el recurso de reposición interpuesto por Empresas Públicas de Medellín E.S.P. contra la Resolución CREG 078 de 2019</w:t>
      </w:r>
      <w:r w:rsidR="00F1256D" w:rsidRPr="002946A9">
        <w:rPr>
          <w:rFonts w:ascii="Trebuchet MS" w:hAnsi="Trebuchet MS"/>
          <w:szCs w:val="24"/>
        </w:rPr>
        <w:t>”</w:t>
      </w:r>
      <w:r w:rsidR="00E14736" w:rsidRPr="002946A9">
        <w:rPr>
          <w:rFonts w:ascii="Trebuchet MS" w:hAnsi="Trebuchet MS"/>
          <w:szCs w:val="24"/>
        </w:rPr>
        <w:t>, Bogotá, 2019</w:t>
      </w:r>
      <w:r w:rsidR="00F1256D" w:rsidRPr="002946A9">
        <w:rPr>
          <w:rFonts w:ascii="Trebuchet MS" w:hAnsi="Trebuchet MS"/>
          <w:szCs w:val="24"/>
        </w:rPr>
        <w:t>.</w:t>
      </w:r>
    </w:p>
    <w:p w14:paraId="0E898C91" w14:textId="390DA740" w:rsidR="004A2612" w:rsidRPr="002946A9" w:rsidRDefault="003E135B" w:rsidP="00DF29CB">
      <w:pPr>
        <w:ind w:left="360"/>
        <w:jc w:val="both"/>
        <w:rPr>
          <w:rFonts w:ascii="Trebuchet MS" w:hAnsi="Trebuchet MS"/>
          <w:szCs w:val="24"/>
        </w:rPr>
      </w:pPr>
      <w:r w:rsidRPr="002946A9">
        <w:rPr>
          <w:rFonts w:ascii="Trebuchet MS" w:hAnsi="Trebuchet MS"/>
          <w:szCs w:val="24"/>
        </w:rPr>
        <w:t xml:space="preserve">[6] </w:t>
      </w:r>
      <w:r w:rsidR="004A2612" w:rsidRPr="002946A9">
        <w:rPr>
          <w:rFonts w:ascii="Trebuchet MS" w:hAnsi="Trebuchet MS"/>
          <w:szCs w:val="24"/>
        </w:rPr>
        <w:t>Circular CREG 012 del 2020</w:t>
      </w:r>
      <w:r w:rsidR="00BD06D8" w:rsidRPr="002946A9">
        <w:rPr>
          <w:rFonts w:ascii="Trebuchet MS" w:hAnsi="Trebuchet MS"/>
          <w:szCs w:val="24"/>
        </w:rPr>
        <w:t>, “</w:t>
      </w:r>
      <w:r w:rsidR="00BD06D8" w:rsidRPr="002946A9">
        <w:rPr>
          <w:rFonts w:ascii="Trebuchet MS" w:hAnsi="Trebuchet MS"/>
          <w:i/>
          <w:iCs/>
          <w:szCs w:val="24"/>
        </w:rPr>
        <w:t>Información anual de variables requeridas para el cálculo de los cargos de distribución</w:t>
      </w:r>
      <w:r w:rsidR="00BD06D8" w:rsidRPr="002946A9">
        <w:rPr>
          <w:rFonts w:ascii="Trebuchet MS" w:hAnsi="Trebuchet MS"/>
          <w:szCs w:val="24"/>
        </w:rPr>
        <w:t>”</w:t>
      </w:r>
      <w:r w:rsidR="00E14736" w:rsidRPr="002946A9">
        <w:rPr>
          <w:rFonts w:ascii="Trebuchet MS" w:hAnsi="Trebuchet MS"/>
          <w:szCs w:val="24"/>
        </w:rPr>
        <w:t>, Bogotá, 2020</w:t>
      </w:r>
      <w:r w:rsidR="00BD06D8" w:rsidRPr="002946A9">
        <w:rPr>
          <w:rFonts w:ascii="Trebuchet MS" w:hAnsi="Trebuchet MS"/>
          <w:szCs w:val="24"/>
        </w:rPr>
        <w:t>.</w:t>
      </w:r>
    </w:p>
    <w:p w14:paraId="2F479DF7" w14:textId="320F8FCF" w:rsidR="006905B3" w:rsidRPr="002946A9" w:rsidRDefault="003E135B" w:rsidP="00DF29CB">
      <w:pPr>
        <w:ind w:left="360"/>
        <w:jc w:val="both"/>
        <w:rPr>
          <w:rFonts w:ascii="Trebuchet MS" w:hAnsi="Trebuchet MS"/>
          <w:szCs w:val="24"/>
        </w:rPr>
      </w:pPr>
      <w:r w:rsidRPr="002946A9">
        <w:rPr>
          <w:rFonts w:ascii="Trebuchet MS" w:hAnsi="Trebuchet MS"/>
          <w:szCs w:val="24"/>
        </w:rPr>
        <w:t xml:space="preserve">[7] </w:t>
      </w:r>
      <w:r w:rsidR="006905B3" w:rsidRPr="002946A9">
        <w:rPr>
          <w:rFonts w:ascii="Trebuchet MS" w:hAnsi="Trebuchet MS"/>
          <w:szCs w:val="24"/>
        </w:rPr>
        <w:t>Circular CREG 024 del 2020</w:t>
      </w:r>
      <w:r w:rsidR="00997B98" w:rsidRPr="002946A9">
        <w:rPr>
          <w:rFonts w:ascii="Trebuchet MS" w:hAnsi="Trebuchet MS"/>
          <w:szCs w:val="24"/>
        </w:rPr>
        <w:t>, “Formatos de reporte información plan de inversiones – Resolución CREG 015 de 2018”</w:t>
      </w:r>
      <w:r w:rsidR="00E14736" w:rsidRPr="002946A9">
        <w:rPr>
          <w:rFonts w:ascii="Trebuchet MS" w:hAnsi="Trebuchet MS"/>
          <w:szCs w:val="24"/>
        </w:rPr>
        <w:t>, Bogotá, 2020</w:t>
      </w:r>
      <w:r w:rsidR="00997B98" w:rsidRPr="002946A9">
        <w:rPr>
          <w:rFonts w:ascii="Trebuchet MS" w:hAnsi="Trebuchet MS"/>
          <w:szCs w:val="24"/>
        </w:rPr>
        <w:t>.</w:t>
      </w:r>
    </w:p>
    <w:p w14:paraId="352B6CCC" w14:textId="3DA3D09E" w:rsidR="006905B3" w:rsidRPr="002946A9" w:rsidRDefault="003E135B" w:rsidP="00DF29CB">
      <w:pPr>
        <w:ind w:left="360"/>
        <w:jc w:val="both"/>
        <w:rPr>
          <w:rFonts w:ascii="Trebuchet MS" w:hAnsi="Trebuchet MS"/>
          <w:szCs w:val="24"/>
        </w:rPr>
      </w:pPr>
      <w:r w:rsidRPr="002946A9">
        <w:rPr>
          <w:rFonts w:ascii="Trebuchet MS" w:hAnsi="Trebuchet MS"/>
          <w:szCs w:val="24"/>
        </w:rPr>
        <w:t xml:space="preserve">[8] </w:t>
      </w:r>
      <w:r w:rsidR="006905B3" w:rsidRPr="002946A9">
        <w:rPr>
          <w:rFonts w:ascii="Trebuchet MS" w:hAnsi="Trebuchet MS"/>
          <w:szCs w:val="24"/>
        </w:rPr>
        <w:t xml:space="preserve">Circular CREG </w:t>
      </w:r>
      <w:r w:rsidR="0080545A" w:rsidRPr="002946A9">
        <w:rPr>
          <w:rFonts w:ascii="Trebuchet MS" w:hAnsi="Trebuchet MS"/>
          <w:szCs w:val="24"/>
        </w:rPr>
        <w:t>047 del 2020</w:t>
      </w:r>
      <w:r w:rsidR="00997B98" w:rsidRPr="002946A9">
        <w:rPr>
          <w:rFonts w:ascii="Trebuchet MS" w:hAnsi="Trebuchet MS"/>
          <w:szCs w:val="24"/>
        </w:rPr>
        <w:t>, “</w:t>
      </w:r>
      <w:r w:rsidR="00FE4E7F" w:rsidRPr="002946A9">
        <w:rPr>
          <w:rFonts w:ascii="Trebuchet MS" w:hAnsi="Trebuchet MS"/>
          <w:szCs w:val="24"/>
        </w:rPr>
        <w:t>Reporte ejecución plan de inversiones – Circular CREG 024 de 2020 y Resolución CREG 015 de 2018”</w:t>
      </w:r>
      <w:r w:rsidR="00E14736" w:rsidRPr="002946A9">
        <w:rPr>
          <w:rFonts w:ascii="Trebuchet MS" w:hAnsi="Trebuchet MS"/>
          <w:szCs w:val="24"/>
        </w:rPr>
        <w:t>, Bogotá, 2020</w:t>
      </w:r>
      <w:r w:rsidR="00FE4E7F" w:rsidRPr="002946A9">
        <w:rPr>
          <w:rFonts w:ascii="Trebuchet MS" w:hAnsi="Trebuchet MS"/>
          <w:szCs w:val="24"/>
        </w:rPr>
        <w:t>.</w:t>
      </w:r>
    </w:p>
    <w:p w14:paraId="3F3F8EE9" w14:textId="7B1C2D25" w:rsidR="00585F79" w:rsidRPr="002946A9" w:rsidRDefault="00585F79" w:rsidP="00DF29CB">
      <w:pPr>
        <w:ind w:left="360"/>
        <w:jc w:val="both"/>
        <w:rPr>
          <w:rFonts w:ascii="Trebuchet MS" w:hAnsi="Trebuchet MS"/>
          <w:szCs w:val="24"/>
        </w:rPr>
      </w:pPr>
      <w:r w:rsidRPr="002946A9">
        <w:rPr>
          <w:rFonts w:ascii="Trebuchet MS" w:hAnsi="Trebuchet MS"/>
          <w:szCs w:val="24"/>
        </w:rPr>
        <w:t xml:space="preserve">[9] </w:t>
      </w:r>
      <w:r w:rsidR="00D17BA5" w:rsidRPr="002946A9">
        <w:rPr>
          <w:rFonts w:ascii="Trebuchet MS" w:hAnsi="Trebuchet MS"/>
          <w:szCs w:val="24"/>
        </w:rPr>
        <w:t>Empresas Públicas de Medellín E.S.P, “</w:t>
      </w:r>
      <w:r w:rsidR="007B3020" w:rsidRPr="002946A9">
        <w:rPr>
          <w:rFonts w:ascii="Trebuchet MS" w:hAnsi="Trebuchet MS"/>
          <w:szCs w:val="24"/>
        </w:rPr>
        <w:t xml:space="preserve">Informe seguimiento a la ejecución del plan de inversiones regulatorio año 2019”, </w:t>
      </w:r>
      <w:r w:rsidR="001140B7" w:rsidRPr="002946A9">
        <w:rPr>
          <w:rFonts w:ascii="Trebuchet MS" w:hAnsi="Trebuchet MS"/>
          <w:szCs w:val="24"/>
        </w:rPr>
        <w:t xml:space="preserve">Medellín, </w:t>
      </w:r>
      <w:r w:rsidR="00513417" w:rsidRPr="002946A9">
        <w:rPr>
          <w:rFonts w:ascii="Trebuchet MS" w:hAnsi="Trebuchet MS"/>
          <w:szCs w:val="24"/>
        </w:rPr>
        <w:t>mayo</w:t>
      </w:r>
      <w:r w:rsidR="00A06D36" w:rsidRPr="002946A9">
        <w:rPr>
          <w:rFonts w:ascii="Trebuchet MS" w:hAnsi="Trebuchet MS"/>
          <w:szCs w:val="24"/>
        </w:rPr>
        <w:t xml:space="preserve"> </w:t>
      </w:r>
      <w:r w:rsidR="001140B7" w:rsidRPr="002946A9">
        <w:rPr>
          <w:rFonts w:ascii="Trebuchet MS" w:hAnsi="Trebuchet MS"/>
          <w:szCs w:val="24"/>
        </w:rPr>
        <w:t>20</w:t>
      </w:r>
      <w:r w:rsidR="00A06D36" w:rsidRPr="002946A9">
        <w:rPr>
          <w:rFonts w:ascii="Trebuchet MS" w:hAnsi="Trebuchet MS"/>
          <w:szCs w:val="24"/>
        </w:rPr>
        <w:t>20</w:t>
      </w:r>
      <w:r w:rsidR="001140B7" w:rsidRPr="002946A9">
        <w:rPr>
          <w:rFonts w:ascii="Trebuchet MS" w:hAnsi="Trebuchet MS"/>
          <w:szCs w:val="24"/>
        </w:rPr>
        <w:t>.</w:t>
      </w:r>
    </w:p>
    <w:p w14:paraId="32A9BD9A" w14:textId="1BA8BA47" w:rsidR="00DD370F" w:rsidRPr="002946A9" w:rsidRDefault="00DD370F" w:rsidP="00DD370F">
      <w:pPr>
        <w:ind w:left="360"/>
        <w:jc w:val="both"/>
        <w:rPr>
          <w:rFonts w:ascii="Trebuchet MS" w:hAnsi="Trebuchet MS"/>
          <w:szCs w:val="24"/>
        </w:rPr>
      </w:pPr>
      <w:r w:rsidRPr="002946A9">
        <w:rPr>
          <w:rFonts w:ascii="Trebuchet MS" w:hAnsi="Trebuchet MS"/>
          <w:szCs w:val="24"/>
        </w:rPr>
        <w:t xml:space="preserve">[10] Empresas Públicas de Medellín E.S.P, “Informe seguimiento a la ejecución del plan de inversiones regulatorio año 2020”, Medellín, </w:t>
      </w:r>
      <w:r w:rsidR="00513417" w:rsidRPr="002946A9">
        <w:rPr>
          <w:rFonts w:ascii="Trebuchet MS" w:hAnsi="Trebuchet MS"/>
          <w:szCs w:val="24"/>
        </w:rPr>
        <w:t>marzo</w:t>
      </w:r>
      <w:r w:rsidRPr="002946A9">
        <w:rPr>
          <w:rFonts w:ascii="Trebuchet MS" w:hAnsi="Trebuchet MS"/>
          <w:szCs w:val="24"/>
        </w:rPr>
        <w:t xml:space="preserve"> 2020.</w:t>
      </w:r>
    </w:p>
    <w:p w14:paraId="18A790EF" w14:textId="6010DACE" w:rsidR="00597B25" w:rsidRPr="002946A9" w:rsidRDefault="00597B25" w:rsidP="00597B25">
      <w:pPr>
        <w:ind w:left="360"/>
        <w:jc w:val="both"/>
        <w:rPr>
          <w:rFonts w:ascii="Trebuchet MS" w:hAnsi="Trebuchet MS"/>
          <w:szCs w:val="24"/>
        </w:rPr>
      </w:pPr>
      <w:r w:rsidRPr="002946A9">
        <w:rPr>
          <w:rFonts w:ascii="Trebuchet MS" w:hAnsi="Trebuchet MS"/>
          <w:szCs w:val="24"/>
        </w:rPr>
        <w:t>[11] Resolución CREG 136 del 2021, “</w:t>
      </w:r>
      <w:r w:rsidRPr="002946A9">
        <w:rPr>
          <w:rFonts w:ascii="Trebuchet MS" w:hAnsi="Trebuchet MS"/>
          <w:i/>
          <w:iCs/>
          <w:szCs w:val="24"/>
        </w:rPr>
        <w:t>Por la cual se incluyen los activos puestos en operación en 2018 en la base inicial de activos y se modifica el plan de inversiones del mercado de comercialización atendido por Empresas Públicas de Medellín E.S.P., aprobado en la Resolución CREG 078 de 2019</w:t>
      </w:r>
      <w:r w:rsidRPr="002946A9">
        <w:rPr>
          <w:rFonts w:ascii="Trebuchet MS" w:hAnsi="Trebuchet MS"/>
          <w:szCs w:val="24"/>
        </w:rPr>
        <w:t>”, Bogotá</w:t>
      </w:r>
      <w:r w:rsidR="00513417" w:rsidRPr="002946A9">
        <w:rPr>
          <w:rFonts w:ascii="Trebuchet MS" w:hAnsi="Trebuchet MS"/>
          <w:szCs w:val="24"/>
        </w:rPr>
        <w:t>, septiembre</w:t>
      </w:r>
      <w:r w:rsidRPr="002946A9">
        <w:rPr>
          <w:rFonts w:ascii="Trebuchet MS" w:hAnsi="Trebuchet MS"/>
          <w:szCs w:val="24"/>
        </w:rPr>
        <w:t xml:space="preserve"> 2021</w:t>
      </w:r>
      <w:r w:rsidR="00513417" w:rsidRPr="002946A9">
        <w:rPr>
          <w:rFonts w:ascii="Trebuchet MS" w:hAnsi="Trebuchet MS"/>
          <w:szCs w:val="24"/>
        </w:rPr>
        <w:t>.</w:t>
      </w:r>
    </w:p>
    <w:p w14:paraId="0F826948" w14:textId="1BC263E4" w:rsidR="00906B98" w:rsidRPr="002946A9" w:rsidRDefault="00906B98" w:rsidP="00906B98">
      <w:pPr>
        <w:ind w:left="360"/>
        <w:jc w:val="both"/>
        <w:rPr>
          <w:rFonts w:ascii="Trebuchet MS" w:hAnsi="Trebuchet MS"/>
          <w:szCs w:val="24"/>
        </w:rPr>
      </w:pPr>
      <w:r w:rsidRPr="002946A9">
        <w:rPr>
          <w:rFonts w:ascii="Trebuchet MS" w:hAnsi="Trebuchet MS"/>
          <w:szCs w:val="24"/>
        </w:rPr>
        <w:t>[</w:t>
      </w:r>
      <w:r w:rsidR="00513417" w:rsidRPr="002946A9">
        <w:rPr>
          <w:rFonts w:ascii="Trebuchet MS" w:hAnsi="Trebuchet MS"/>
          <w:szCs w:val="24"/>
        </w:rPr>
        <w:t>12</w:t>
      </w:r>
      <w:r w:rsidRPr="002946A9">
        <w:rPr>
          <w:rFonts w:ascii="Trebuchet MS" w:hAnsi="Trebuchet MS"/>
          <w:szCs w:val="24"/>
        </w:rPr>
        <w:t xml:space="preserve">] Resolución CREG 501 022 del 2022, “Por la cual se resuelve el recurso de reposición interpuesto por Empresas Públicas de Medellín E.S.P., contra la Resolución CREG 136 de 2021”, Bogotá, </w:t>
      </w:r>
      <w:r w:rsidR="00513417" w:rsidRPr="002946A9">
        <w:rPr>
          <w:rFonts w:ascii="Trebuchet MS" w:hAnsi="Trebuchet MS"/>
          <w:szCs w:val="24"/>
        </w:rPr>
        <w:t>febrero</w:t>
      </w:r>
      <w:r w:rsidRPr="002946A9">
        <w:rPr>
          <w:rFonts w:ascii="Trebuchet MS" w:hAnsi="Trebuchet MS"/>
          <w:szCs w:val="24"/>
        </w:rPr>
        <w:t xml:space="preserve"> 2022.</w:t>
      </w:r>
    </w:p>
    <w:p w14:paraId="670F3FCF" w14:textId="3D19AFB5" w:rsidR="00D62094" w:rsidRPr="002946A9" w:rsidRDefault="002E546B" w:rsidP="002E546B">
      <w:pPr>
        <w:ind w:firstLine="360"/>
        <w:jc w:val="both"/>
        <w:rPr>
          <w:rFonts w:ascii="Trebuchet MS" w:hAnsi="Trebuchet MS"/>
          <w:color w:val="A6A6A6" w:themeColor="background1" w:themeShade="A6"/>
          <w:sz w:val="20"/>
          <w:szCs w:val="23"/>
        </w:rPr>
      </w:pPr>
      <w:r>
        <w:rPr>
          <w:rFonts w:ascii="Trebuchet MS" w:hAnsi="Trebuchet MS"/>
          <w:color w:val="A6A6A6" w:themeColor="background1" w:themeShade="A6"/>
          <w:sz w:val="20"/>
          <w:szCs w:val="23"/>
        </w:rPr>
        <w:br w:type="page"/>
      </w:r>
    </w:p>
    <w:p w14:paraId="247236DF" w14:textId="77777777" w:rsidR="00471B4F" w:rsidRPr="002946A9" w:rsidRDefault="00471B4F" w:rsidP="00DF29CB">
      <w:pPr>
        <w:pStyle w:val="Ttulo1"/>
        <w:numPr>
          <w:ilvl w:val="0"/>
          <w:numId w:val="1"/>
        </w:numPr>
        <w:jc w:val="both"/>
        <w:rPr>
          <w:rFonts w:ascii="Trebuchet MS" w:hAnsi="Trebuchet MS"/>
          <w:b/>
          <w:sz w:val="28"/>
        </w:rPr>
      </w:pPr>
      <w:bookmarkStart w:id="306" w:name="_Ref67652416"/>
      <w:bookmarkStart w:id="307" w:name="_Toc131109376"/>
      <w:r w:rsidRPr="002946A9">
        <w:rPr>
          <w:rFonts w:ascii="Trebuchet MS" w:hAnsi="Trebuchet MS"/>
          <w:b/>
          <w:sz w:val="28"/>
        </w:rPr>
        <w:t>A</w:t>
      </w:r>
      <w:r w:rsidR="00747125" w:rsidRPr="002946A9">
        <w:rPr>
          <w:rFonts w:ascii="Trebuchet MS" w:hAnsi="Trebuchet MS"/>
          <w:b/>
          <w:sz w:val="28"/>
        </w:rPr>
        <w:t>NEXOS</w:t>
      </w:r>
      <w:bookmarkEnd w:id="306"/>
      <w:bookmarkEnd w:id="307"/>
    </w:p>
    <w:p w14:paraId="5072F64C" w14:textId="77777777" w:rsidR="00986F28" w:rsidRPr="002946A9" w:rsidRDefault="00986F28" w:rsidP="00DF29CB">
      <w:pPr>
        <w:ind w:left="360"/>
        <w:jc w:val="both"/>
        <w:rPr>
          <w:rFonts w:ascii="Trebuchet MS" w:hAnsi="Trebuchet MS"/>
          <w:sz w:val="20"/>
          <w:szCs w:val="23"/>
        </w:rPr>
      </w:pPr>
    </w:p>
    <w:p w14:paraId="2BE65D4F" w14:textId="0FDDF0FE" w:rsidR="00986F28" w:rsidRPr="002946A9" w:rsidRDefault="00986F28" w:rsidP="00DF29CB">
      <w:pPr>
        <w:ind w:left="360"/>
        <w:jc w:val="both"/>
        <w:rPr>
          <w:rFonts w:ascii="Trebuchet MS" w:hAnsi="Trebuchet MS"/>
        </w:rPr>
      </w:pPr>
      <w:r w:rsidRPr="002946A9">
        <w:rPr>
          <w:rFonts w:ascii="Trebuchet MS" w:hAnsi="Trebuchet MS"/>
        </w:rPr>
        <w:t>Los anexos se presentan como archivos aparte del presente informe, estos son:</w:t>
      </w:r>
    </w:p>
    <w:p w14:paraId="28B7B3E6" w14:textId="07236673" w:rsidR="008945E6" w:rsidRPr="008945E6" w:rsidRDefault="008945E6" w:rsidP="008945E6">
      <w:pPr>
        <w:ind w:left="360"/>
        <w:jc w:val="both"/>
        <w:rPr>
          <w:rFonts w:ascii="Trebuchet MS" w:hAnsi="Trebuchet MS"/>
        </w:rPr>
      </w:pPr>
      <w:r w:rsidRPr="008945E6">
        <w:rPr>
          <w:rFonts w:ascii="Trebuchet MS" w:hAnsi="Trebuchet MS"/>
        </w:rPr>
        <w:t>Anexo 1: Desagregación ejecución vs Plan 2022 - Excel</w:t>
      </w:r>
    </w:p>
    <w:p w14:paraId="2A7D52B3" w14:textId="3EA04BBE" w:rsidR="008945E6" w:rsidRPr="008945E6" w:rsidRDefault="008945E6" w:rsidP="008945E6">
      <w:pPr>
        <w:ind w:left="360"/>
        <w:jc w:val="both"/>
        <w:rPr>
          <w:rFonts w:ascii="Trebuchet MS" w:hAnsi="Trebuchet MS"/>
        </w:rPr>
      </w:pPr>
      <w:r w:rsidRPr="008945E6">
        <w:rPr>
          <w:rFonts w:ascii="Trebuchet MS" w:hAnsi="Trebuchet MS"/>
        </w:rPr>
        <w:t>Anexo 2: Ejecución inversiones Proyectos Plan 2022 - Excel</w:t>
      </w:r>
    </w:p>
    <w:p w14:paraId="24DA7632" w14:textId="111E3969" w:rsidR="008945E6" w:rsidRPr="008945E6" w:rsidRDefault="008945E6" w:rsidP="008945E6">
      <w:pPr>
        <w:ind w:left="360"/>
        <w:jc w:val="both"/>
        <w:rPr>
          <w:rFonts w:ascii="Trebuchet MS" w:hAnsi="Trebuchet MS"/>
        </w:rPr>
      </w:pPr>
      <w:r w:rsidRPr="008945E6">
        <w:rPr>
          <w:rFonts w:ascii="Trebuchet MS" w:hAnsi="Trebuchet MS"/>
        </w:rPr>
        <w:t>Anexo 3: Avances implementación GA en EPM 2022 - PDF</w:t>
      </w:r>
    </w:p>
    <w:p w14:paraId="6BF5157B" w14:textId="7854D04E" w:rsidR="008945E6" w:rsidRPr="008945E6" w:rsidRDefault="008945E6" w:rsidP="008945E6">
      <w:pPr>
        <w:ind w:left="360"/>
        <w:jc w:val="both"/>
        <w:rPr>
          <w:rFonts w:ascii="Trebuchet MS" w:hAnsi="Trebuchet MS"/>
        </w:rPr>
      </w:pPr>
      <w:r w:rsidRPr="008945E6">
        <w:rPr>
          <w:rFonts w:ascii="Trebuchet MS" w:hAnsi="Trebuchet MS"/>
        </w:rPr>
        <w:t>Anexo 3.1: GMGA distribución - PDF</w:t>
      </w:r>
    </w:p>
    <w:p w14:paraId="05471B70" w14:textId="6463CB42" w:rsidR="009451D4" w:rsidRPr="0048789D" w:rsidRDefault="008945E6" w:rsidP="008945E6">
      <w:pPr>
        <w:ind w:left="360"/>
        <w:jc w:val="both"/>
        <w:rPr>
          <w:rFonts w:ascii="Trebuchet MS" w:hAnsi="Trebuchet MS"/>
          <w:sz w:val="20"/>
          <w:szCs w:val="23"/>
        </w:rPr>
      </w:pPr>
      <w:r w:rsidRPr="008945E6">
        <w:rPr>
          <w:rFonts w:ascii="Trebuchet MS" w:hAnsi="Trebuchet MS"/>
        </w:rPr>
        <w:t>Anexo 3.2: Certificación EPM ISO 55001 - PDF</w:t>
      </w:r>
    </w:p>
    <w:p w14:paraId="52BAB207" w14:textId="77777777" w:rsidR="008945E6" w:rsidRPr="008945E6" w:rsidRDefault="008945E6" w:rsidP="008945E6">
      <w:pPr>
        <w:ind w:left="360"/>
        <w:jc w:val="both"/>
        <w:rPr>
          <w:rFonts w:ascii="Trebuchet MS" w:hAnsi="Trebuchet MS"/>
        </w:rPr>
      </w:pPr>
      <w:r w:rsidRPr="008945E6">
        <w:rPr>
          <w:rFonts w:ascii="Trebuchet MS" w:hAnsi="Trebuchet MS"/>
        </w:rPr>
        <w:t>Informe de seguimiento al plan de inversiones 2022 - PDF</w:t>
      </w:r>
    </w:p>
    <w:p w14:paraId="5F4C93AD" w14:textId="77777777" w:rsidR="008945E6" w:rsidRPr="008945E6" w:rsidRDefault="008945E6" w:rsidP="008945E6">
      <w:pPr>
        <w:ind w:left="360"/>
        <w:jc w:val="both"/>
        <w:rPr>
          <w:rFonts w:ascii="Trebuchet MS" w:hAnsi="Trebuchet MS"/>
        </w:rPr>
      </w:pPr>
      <w:r w:rsidRPr="008945E6">
        <w:rPr>
          <w:rFonts w:ascii="Trebuchet MS" w:hAnsi="Trebuchet MS"/>
        </w:rPr>
        <w:t>Informe de seguimiento al plan de inversiones 2022 - Word</w:t>
      </w:r>
    </w:p>
    <w:p w14:paraId="17CA4B96" w14:textId="77777777" w:rsidR="008945E6" w:rsidRPr="008945E6" w:rsidRDefault="008945E6" w:rsidP="008945E6">
      <w:pPr>
        <w:ind w:left="360"/>
        <w:jc w:val="both"/>
        <w:rPr>
          <w:rFonts w:ascii="Trebuchet MS" w:hAnsi="Trebuchet MS"/>
        </w:rPr>
      </w:pPr>
      <w:r w:rsidRPr="008945E6">
        <w:rPr>
          <w:rFonts w:ascii="Trebuchet MS" w:hAnsi="Trebuchet MS"/>
        </w:rPr>
        <w:t>Presentación ejecución plan de inversiones 2022 - Diapositivas</w:t>
      </w:r>
    </w:p>
    <w:p w14:paraId="151C2FCA" w14:textId="77777777" w:rsidR="00F0733B" w:rsidRPr="00C85EE1" w:rsidRDefault="00F0733B" w:rsidP="00DF29CB">
      <w:pPr>
        <w:ind w:left="360"/>
        <w:jc w:val="both"/>
        <w:rPr>
          <w:rFonts w:ascii="Trebuchet MS" w:hAnsi="Trebuchet MS"/>
          <w:color w:val="A6A6A6" w:themeColor="background1" w:themeShade="A6"/>
          <w:sz w:val="20"/>
          <w:szCs w:val="23"/>
        </w:rPr>
      </w:pPr>
    </w:p>
    <w:p w14:paraId="11A1A240" w14:textId="77777777" w:rsidR="00A215E4" w:rsidRDefault="00A215E4" w:rsidP="00DF29CB">
      <w:pPr>
        <w:jc w:val="both"/>
      </w:pPr>
    </w:p>
    <w:p w14:paraId="403607DE" w14:textId="77777777" w:rsidR="00F0733B" w:rsidRDefault="00F0733B" w:rsidP="00DF29CB">
      <w:pPr>
        <w:jc w:val="both"/>
      </w:pPr>
    </w:p>
    <w:p w14:paraId="1DD7BBAD" w14:textId="77777777" w:rsidR="00447721" w:rsidRDefault="00447721" w:rsidP="00DF29CB">
      <w:pPr>
        <w:jc w:val="both"/>
      </w:pPr>
    </w:p>
    <w:sectPr w:rsidR="00447721" w:rsidSect="00643C3F">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0B776" w14:textId="77777777" w:rsidR="00420F22" w:rsidRDefault="00420F22" w:rsidP="00CB2F80">
      <w:pPr>
        <w:spacing w:after="0" w:line="240" w:lineRule="auto"/>
      </w:pPr>
      <w:r>
        <w:separator/>
      </w:r>
    </w:p>
  </w:endnote>
  <w:endnote w:type="continuationSeparator" w:id="0">
    <w:p w14:paraId="5E16F2A4" w14:textId="77777777" w:rsidR="00420F22" w:rsidRDefault="00420F22" w:rsidP="00CB2F80">
      <w:pPr>
        <w:spacing w:after="0" w:line="240" w:lineRule="auto"/>
      </w:pPr>
      <w:r>
        <w:continuationSeparator/>
      </w:r>
    </w:p>
  </w:endnote>
  <w:endnote w:type="continuationNotice" w:id="1">
    <w:p w14:paraId="674ED5FC" w14:textId="77777777" w:rsidR="00420F22" w:rsidRDefault="00420F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A6494" w14:textId="77777777" w:rsidR="00EE232C" w:rsidRDefault="00EE232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541832"/>
      <w:docPartObj>
        <w:docPartGallery w:val="Page Numbers (Bottom of Page)"/>
        <w:docPartUnique/>
      </w:docPartObj>
    </w:sdtPr>
    <w:sdtEndPr/>
    <w:sdtContent>
      <w:p w14:paraId="28F39DEE" w14:textId="6F18CD36" w:rsidR="005025E7" w:rsidRDefault="005025E7">
        <w:pPr>
          <w:pStyle w:val="Piedepgina"/>
        </w:pPr>
        <w:r>
          <w:rPr>
            <w:noProof/>
            <w:lang w:eastAsia="es-CO"/>
          </w:rPr>
          <mc:AlternateContent>
            <mc:Choice Requires="wps">
              <w:drawing>
                <wp:anchor distT="0" distB="0" distL="114300" distR="114300" simplePos="0" relativeHeight="251658242" behindDoc="0" locked="0" layoutInCell="1" allowOverlap="1" wp14:anchorId="2BD4B126" wp14:editId="2FB5A760">
                  <wp:simplePos x="0" y="0"/>
                  <wp:positionH relativeFrom="margin">
                    <wp:align>center</wp:align>
                  </wp:positionH>
                  <wp:positionV relativeFrom="bottomMargin">
                    <wp:align>center</wp:align>
                  </wp:positionV>
                  <wp:extent cx="551815" cy="238760"/>
                  <wp:effectExtent l="19050" t="19050" r="19685" b="18415"/>
                  <wp:wrapNone/>
                  <wp:docPr id="35" name="Corchete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DCE1C86" w14:textId="77777777" w:rsidR="005025E7" w:rsidRDefault="005025E7">
                              <w:pPr>
                                <w:jc w:val="center"/>
                              </w:pPr>
                              <w:r>
                                <w:fldChar w:fldCharType="begin"/>
                              </w:r>
                              <w:r>
                                <w:instrText>PAGE    \* MERGEFORMAT</w:instrText>
                              </w:r>
                              <w:r>
                                <w:fldChar w:fldCharType="separate"/>
                              </w:r>
                              <w:r w:rsidRPr="00F52B29">
                                <w:rPr>
                                  <w:noProof/>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BD4B1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35" o:spid="_x0000_s1027" type="#_x0000_t185" style="position:absolute;margin-left:0;margin-top:0;width:43.45pt;height:18.8pt;z-index:251662336;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" filled="t" strokecolor="gray" strokeweight="2.25pt">
                  <v:textbox inset=",0,,0">
                    <w:txbxContent>
                      <w:p w14:paraId="2DCE1C86" w14:textId="77777777" w:rsidR="005025E7" w:rsidRDefault="005025E7">
                        <w:pPr>
                          <w:jc w:val="center"/>
                        </w:pPr>
                        <w:r>
                          <w:fldChar w:fldCharType="begin"/>
                        </w:r>
                        <w:r>
                          <w:instrText>PAGE    \* MERGEFORMAT</w:instrText>
                        </w:r>
                        <w:r>
                          <w:fldChar w:fldCharType="separate"/>
                        </w:r>
                        <w:r w:rsidRPr="00F52B29">
                          <w:rPr>
                            <w:noProof/>
                            <w:lang w:val="es-ES"/>
                          </w:rPr>
                          <w:t>2</w:t>
                        </w:r>
                        <w:r>
                          <w:fldChar w:fldCharType="end"/>
                        </w:r>
                      </w:p>
                    </w:txbxContent>
                  </v:textbox>
                  <w10:wrap anchorx="margin" anchory="margin"/>
                </v:shape>
              </w:pict>
            </mc:Fallback>
          </mc:AlternateContent>
        </w:r>
        <w:r>
          <w:rPr>
            <w:noProof/>
            <w:lang w:eastAsia="es-CO"/>
          </w:rPr>
          <mc:AlternateContent>
            <mc:Choice Requires="wps">
              <w:drawing>
                <wp:anchor distT="0" distB="0" distL="114300" distR="114300" simplePos="0" relativeHeight="251658241" behindDoc="0" locked="0" layoutInCell="1" allowOverlap="1" wp14:anchorId="2BD4B128" wp14:editId="66E2DC06">
                  <wp:simplePos x="0" y="0"/>
                  <wp:positionH relativeFrom="margin">
                    <wp:align>center</wp:align>
                  </wp:positionH>
                  <wp:positionV relativeFrom="bottomMargin">
                    <wp:align>center</wp:align>
                  </wp:positionV>
                  <wp:extent cx="5518150" cy="0"/>
                  <wp:effectExtent l="9525" t="9525" r="6350" b="9525"/>
                  <wp:wrapNone/>
                  <wp:docPr id="34" name="Conector recto de flec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7911A2C1" id="_x0000_t32" coordsize="21600,21600" o:spt="32" o:oned="t" path="m,l21600,21600e" filled="f">
                  <v:path arrowok="t" fillok="f" o:connecttype="none"/>
                  <o:lock v:ext="edit" shapetype="t"/>
                </v:shapetype>
                <v:shape id="Conector recto de flecha 34" o:spid="_x0000_s1026" type="#_x0000_t32" style="position:absolute;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F065" w14:textId="77777777" w:rsidR="00EE232C" w:rsidRDefault="00EE232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35936"/>
      <w:docPartObj>
        <w:docPartGallery w:val="Page Numbers (Bottom of Page)"/>
        <w:docPartUnique/>
      </w:docPartObj>
    </w:sdtPr>
    <w:sdtEndPr/>
    <w:sdtContent>
      <w:p w14:paraId="0CDFEEAF" w14:textId="77777777" w:rsidR="005025E7" w:rsidRDefault="005025E7">
        <w:pPr>
          <w:pStyle w:val="Piedepgina"/>
        </w:pPr>
        <w:r>
          <w:rPr>
            <w:noProof/>
            <w:lang w:eastAsia="es-CO"/>
          </w:rPr>
          <mc:AlternateContent>
            <mc:Choice Requires="wps">
              <w:drawing>
                <wp:anchor distT="0" distB="0" distL="114300" distR="114300" simplePos="0" relativeHeight="251658248" behindDoc="0" locked="0" layoutInCell="1" allowOverlap="1" wp14:anchorId="05D4599D" wp14:editId="3E7E8BB1">
                  <wp:simplePos x="0" y="0"/>
                  <wp:positionH relativeFrom="margin">
                    <wp:align>center</wp:align>
                  </wp:positionH>
                  <wp:positionV relativeFrom="bottomMargin">
                    <wp:align>center</wp:align>
                  </wp:positionV>
                  <wp:extent cx="551815" cy="238760"/>
                  <wp:effectExtent l="19050" t="19050" r="19685" b="18415"/>
                  <wp:wrapNone/>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6BE28C2" w14:textId="77777777" w:rsidR="005025E7" w:rsidRDefault="005025E7">
                              <w:pPr>
                                <w:jc w:val="center"/>
                              </w:pPr>
                              <w:r>
                                <w:fldChar w:fldCharType="begin"/>
                              </w:r>
                              <w:r>
                                <w:instrText>PAGE    \* MERGEFORMAT</w:instrText>
                              </w:r>
                              <w:r>
                                <w:fldChar w:fldCharType="separate"/>
                              </w:r>
                              <w:r w:rsidRPr="00F52B29">
                                <w:rPr>
                                  <w:noProof/>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5D459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9" type="#_x0000_t185" style="position:absolute;margin-left:0;margin-top:0;width:43.45pt;height:18.8pt;z-index:251673600;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" filled="t" strokecolor="gray" strokeweight="2.25pt">
                  <v:textbox inset=",0,,0">
                    <w:txbxContent>
                      <w:p w14:paraId="56BE28C2" w14:textId="77777777" w:rsidR="005025E7" w:rsidRDefault="005025E7">
                        <w:pPr>
                          <w:jc w:val="center"/>
                        </w:pPr>
                        <w:r>
                          <w:fldChar w:fldCharType="begin"/>
                        </w:r>
                        <w:r>
                          <w:instrText>PAGE    \* MERGEFORMAT</w:instrText>
                        </w:r>
                        <w:r>
                          <w:fldChar w:fldCharType="separate"/>
                        </w:r>
                        <w:r w:rsidRPr="00F52B29">
                          <w:rPr>
                            <w:noProof/>
                            <w:lang w:val="es-ES"/>
                          </w:rPr>
                          <w:t>2</w:t>
                        </w:r>
                        <w:r>
                          <w:fldChar w:fldCharType="end"/>
                        </w:r>
                      </w:p>
                    </w:txbxContent>
                  </v:textbox>
                  <w10:wrap anchorx="margin" anchory="margin"/>
                </v:shape>
              </w:pict>
            </mc:Fallback>
          </mc:AlternateContent>
        </w:r>
        <w:r>
          <w:rPr>
            <w:noProof/>
            <w:lang w:eastAsia="es-CO"/>
          </w:rPr>
          <mc:AlternateContent>
            <mc:Choice Requires="wps">
              <w:drawing>
                <wp:anchor distT="0" distB="0" distL="114300" distR="114300" simplePos="0" relativeHeight="251658247" behindDoc="0" locked="0" layoutInCell="1" allowOverlap="1" wp14:anchorId="17C1CCDC" wp14:editId="00DCD94F">
                  <wp:simplePos x="0" y="0"/>
                  <wp:positionH relativeFrom="margin">
                    <wp:align>center</wp:align>
                  </wp:positionH>
                  <wp:positionV relativeFrom="bottomMargin">
                    <wp:align>center</wp:align>
                  </wp:positionV>
                  <wp:extent cx="5518150" cy="0"/>
                  <wp:effectExtent l="9525" t="9525" r="6350" b="952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879CBDB" id="_x0000_t32" coordsize="21600,21600" o:spt="32" o:oned="t" path="m,l21600,21600e" filled="f">
                  <v:path arrowok="t" fillok="f" o:connecttype="none"/>
                  <o:lock v:ext="edit" shapetype="t"/>
                </v:shapetype>
                <v:shape id="Conector recto de flecha 3" o:spid="_x0000_s1026" type="#_x0000_t32" style="position:absolute;margin-left:0;margin-top:0;width:434.5pt;height:0;z-index:25167257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D39E" w14:textId="77777777" w:rsidR="00420F22" w:rsidRDefault="00420F22" w:rsidP="00CB2F80">
      <w:pPr>
        <w:spacing w:after="0" w:line="240" w:lineRule="auto"/>
      </w:pPr>
      <w:r>
        <w:separator/>
      </w:r>
    </w:p>
  </w:footnote>
  <w:footnote w:type="continuationSeparator" w:id="0">
    <w:p w14:paraId="75308E43" w14:textId="77777777" w:rsidR="00420F22" w:rsidRDefault="00420F22" w:rsidP="00CB2F80">
      <w:pPr>
        <w:spacing w:after="0" w:line="240" w:lineRule="auto"/>
      </w:pPr>
      <w:r>
        <w:continuationSeparator/>
      </w:r>
    </w:p>
  </w:footnote>
  <w:footnote w:type="continuationNotice" w:id="1">
    <w:p w14:paraId="2BCC6800" w14:textId="77777777" w:rsidR="00420F22" w:rsidRDefault="00420F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C732" w14:textId="77777777" w:rsidR="005025E7" w:rsidRDefault="00EE443E">
    <w:pPr>
      <w:pStyle w:val="Encabezado"/>
    </w:pPr>
    <w:r>
      <w:rPr>
        <w:noProof/>
      </w:rPr>
      <w:pict w14:anchorId="2BD4B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111157" o:spid="_x0000_s1026" type="#_x0000_t136" style="position:absolute;margin-left:0;margin-top:0;width:573.7pt;height:49.15pt;rotation:315;z-index:-251658236;mso-position-horizontal:center;mso-position-horizontal-relative:margin;mso-position-vertical:center;mso-position-vertical-relative:margin" o:allowincell="f" fillcolor="silver" stroked="f">
          <v:fill opacity=".5"/>
          <v:textpath style="font-family:&quot;Calibri&quot;;font-size:1pt" string="ORIGINAL CONTROLADO ELECTRONICAMEN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46F2" w14:textId="379F9960" w:rsidR="005025E7" w:rsidRDefault="00EE443E">
    <w:pPr>
      <w:pStyle w:val="Encabezado"/>
    </w:pPr>
    <w:r>
      <w:rPr>
        <w:noProof/>
      </w:rPr>
      <w:pict w14:anchorId="2BD4B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111158" o:spid="_x0000_s1027" type="#_x0000_t136" style="position:absolute;margin-left:0;margin-top:0;width:573.7pt;height:49.15pt;rotation:315;z-index:-251658235;mso-position-horizontal:center;mso-position-horizontal-relative:margin;mso-position-vertical:center;mso-position-vertical-relative:margin" o:allowincell="f" fillcolor="silver" stroked="f">
          <v:fill opacity=".5"/>
          <v:textpath style="font-family:&quot;Calibri&quot;;font-size:1pt" string="ORIGINAL CONTROLADO ELECTRONICAMENTE"/>
          <w10:wrap anchorx="margin" anchory="margin"/>
        </v:shape>
      </w:pict>
    </w:r>
    <w:r w:rsidR="005025E7">
      <w:rPr>
        <w:noProof/>
        <w:lang w:eastAsia="es-CO"/>
      </w:rPr>
      <mc:AlternateContent>
        <mc:Choice Requires="wps">
          <w:drawing>
            <wp:anchor distT="0" distB="0" distL="118745" distR="118745" simplePos="0" relativeHeight="251658240" behindDoc="1" locked="0" layoutInCell="1" allowOverlap="0" wp14:anchorId="2BD4B124" wp14:editId="1AB1BD3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rebuchet MS" w:hAnsi="Trebuchet MS"/>
                              <w:b/>
                              <w:bCs/>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E496804" w14:textId="460C97D4" w:rsidR="005025E7" w:rsidRPr="00684FFB" w:rsidRDefault="007B7AEB">
                              <w:pPr>
                                <w:pStyle w:val="Encabezado"/>
                                <w:jc w:val="center"/>
                                <w:rPr>
                                  <w:rFonts w:ascii="Trebuchet MS" w:hAnsi="Trebuchet MS"/>
                                  <w:b/>
                                  <w:bCs/>
                                  <w:caps/>
                                  <w:color w:val="FFFFFF" w:themeColor="background1"/>
                                </w:rPr>
                              </w:pPr>
                              <w:r>
                                <w:rPr>
                                  <w:rFonts w:ascii="Trebuchet MS" w:hAnsi="Trebuchet MS"/>
                                  <w:b/>
                                  <w:bCs/>
                                  <w:caps/>
                                  <w:color w:val="FFFFFF" w:themeColor="background1"/>
                                </w:rPr>
                                <w:t>Informe Seguimiento a la Ejecución del Plan de Inversiones Regulatorio – Año 2022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BD4B124"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99cb38 [3204]" stroked="f" strokeweight="1pt">
              <v:textbox style="mso-fit-shape-to-text:t">
                <w:txbxContent>
                  <w:sdt>
                    <w:sdtPr>
                      <w:rPr>
                        <w:rFonts w:ascii="Trebuchet MS" w:hAnsi="Trebuchet MS"/>
                        <w:b/>
                        <w:bCs/>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4E496804" w14:textId="460C97D4" w:rsidR="005025E7" w:rsidRPr="00684FFB" w:rsidRDefault="007B7AEB">
                        <w:pPr>
                          <w:pStyle w:val="Encabezado"/>
                          <w:jc w:val="center"/>
                          <w:rPr>
                            <w:rFonts w:ascii="Trebuchet MS" w:hAnsi="Trebuchet MS"/>
                            <w:b/>
                            <w:bCs/>
                            <w:caps/>
                            <w:color w:val="FFFFFF" w:themeColor="background1"/>
                          </w:rPr>
                        </w:pPr>
                        <w:r>
                          <w:rPr>
                            <w:rFonts w:ascii="Trebuchet MS" w:hAnsi="Trebuchet MS"/>
                            <w:b/>
                            <w:bCs/>
                            <w:caps/>
                            <w:color w:val="FFFFFF" w:themeColor="background1"/>
                          </w:rPr>
                          <w:t>Informe Seguimiento a la Ejecución del Plan de Inversiones Regulatorio – Año 2022</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327D" w14:textId="6A6BD0A6" w:rsidR="005025E7" w:rsidRDefault="005025E7" w:rsidP="00ED4354">
    <w:pPr>
      <w:pStyle w:val="Encabezado"/>
      <w:jc w:val="center"/>
      <w:rPr>
        <w:rFonts w:ascii="Trebuchet MS" w:hAnsi="Trebuchet MS"/>
        <w:b/>
        <w:bCs/>
        <w:caps/>
        <w:color w:val="FFFFFF" w:themeColor="background1"/>
      </w:rPr>
    </w:pPr>
    <w:r>
      <w:rPr>
        <w:noProof/>
        <w:lang w:eastAsia="es-CO"/>
      </w:rPr>
      <mc:AlternateContent>
        <mc:Choice Requires="wps">
          <w:drawing>
            <wp:anchor distT="0" distB="0" distL="118745" distR="118745" simplePos="0" relativeHeight="251658246" behindDoc="1" locked="0" layoutInCell="1" allowOverlap="0" wp14:anchorId="6F078B4C" wp14:editId="281FBD54">
              <wp:simplePos x="0" y="0"/>
              <wp:positionH relativeFrom="margin">
                <wp:posOffset>0</wp:posOffset>
              </wp:positionH>
              <wp:positionV relativeFrom="page">
                <wp:posOffset>448945</wp:posOffset>
              </wp:positionV>
              <wp:extent cx="5950039" cy="270457"/>
              <wp:effectExtent l="0" t="0" r="0" b="7620"/>
              <wp:wrapSquare wrapText="bothSides"/>
              <wp:docPr id="1" name="Rectángulo 1"/>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rebuchet MS" w:hAnsi="Trebuchet MS"/>
                              <w:b/>
                              <w:bCs/>
                              <w:caps/>
                              <w:color w:val="FFFFFF" w:themeColor="background1"/>
                            </w:rPr>
                            <w:alias w:val="Título"/>
                            <w:tag w:val=""/>
                            <w:id w:val="572391174"/>
                            <w:dataBinding w:prefixMappings="xmlns:ns0='http://purl.org/dc/elements/1.1/' xmlns:ns1='http://schemas.openxmlformats.org/package/2006/metadata/core-properties' " w:xpath="/ns1:coreProperties[1]/ns0:title[1]" w:storeItemID="{6C3C8BC8-F283-45AE-878A-BAB7291924A1}"/>
                            <w:text/>
                          </w:sdtPr>
                          <w:sdtEndPr/>
                          <w:sdtContent>
                            <w:p w14:paraId="78CBE43C" w14:textId="6C296D1D" w:rsidR="005025E7" w:rsidRPr="00684FFB" w:rsidRDefault="007B7AEB" w:rsidP="00ED4354">
                              <w:pPr>
                                <w:pStyle w:val="Encabezado"/>
                                <w:jc w:val="center"/>
                                <w:rPr>
                                  <w:rFonts w:ascii="Trebuchet MS" w:hAnsi="Trebuchet MS"/>
                                  <w:b/>
                                  <w:bCs/>
                                  <w:caps/>
                                  <w:color w:val="FFFFFF" w:themeColor="background1"/>
                                </w:rPr>
                              </w:pPr>
                              <w:r>
                                <w:rPr>
                                  <w:rFonts w:ascii="Trebuchet MS" w:hAnsi="Trebuchet MS"/>
                                  <w:b/>
                                  <w:bCs/>
                                  <w:caps/>
                                  <w:color w:val="FFFFFF" w:themeColor="background1"/>
                                </w:rPr>
                                <w:t>Informe Seguimiento a la Ejecución del Plan de Inversiones Regulatorio – Año 2022</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F078B4C" id="Rectángulo 1" o:spid="_x0000_s1028" style="position:absolute;left:0;text-align:left;margin-left:0;margin-top:35.35pt;width:468.5pt;height:21.3pt;z-index:-251645952;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" o:allowoverlap="f" fillcolor="#99cb38 [3204]" stroked="f" strokeweight="1pt">
              <v:textbox style="mso-fit-shape-to-text:t">
                <w:txbxContent>
                  <w:sdt>
                    <w:sdtPr>
                      <w:rPr>
                        <w:rFonts w:ascii="Trebuchet MS" w:hAnsi="Trebuchet MS"/>
                        <w:b/>
                        <w:bCs/>
                        <w:caps/>
                        <w:color w:val="FFFFFF" w:themeColor="background1"/>
                      </w:rPr>
                      <w:alias w:val="Título"/>
                      <w:tag w:val=""/>
                      <w:id w:val="572391174"/>
                      <w:dataBinding w:prefixMappings="xmlns:ns0='http://purl.org/dc/elements/1.1/' xmlns:ns1='http://schemas.openxmlformats.org/package/2006/metadata/core-properties' " w:xpath="/ns1:coreProperties[1]/ns0:title[1]" w:storeItemID="{6C3C8BC8-F283-45AE-878A-BAB7291924A1}"/>
                      <w:text/>
                    </w:sdtPr>
                    <w:sdtContent>
                      <w:p w14:paraId="78CBE43C" w14:textId="6C296D1D" w:rsidR="005025E7" w:rsidRPr="00684FFB" w:rsidRDefault="007B7AEB" w:rsidP="00ED4354">
                        <w:pPr>
                          <w:pStyle w:val="Encabezado"/>
                          <w:jc w:val="center"/>
                          <w:rPr>
                            <w:rFonts w:ascii="Trebuchet MS" w:hAnsi="Trebuchet MS"/>
                            <w:b/>
                            <w:bCs/>
                            <w:caps/>
                            <w:color w:val="FFFFFF" w:themeColor="background1"/>
                          </w:rPr>
                        </w:pPr>
                        <w:r>
                          <w:rPr>
                            <w:rFonts w:ascii="Trebuchet MS" w:hAnsi="Trebuchet MS"/>
                            <w:b/>
                            <w:bCs/>
                            <w:caps/>
                            <w:color w:val="FFFFFF" w:themeColor="background1"/>
                          </w:rPr>
                          <w:t>Informe Seguimiento a la Ejecución del Plan de Inversiones Regulatorio – Año 2022</w:t>
                        </w:r>
                      </w:p>
                    </w:sdtContent>
                  </w:sdt>
                </w:txbxContent>
              </v:textbox>
              <w10:wrap type="square" anchorx="margin" anchory="page"/>
            </v:rect>
          </w:pict>
        </mc:Fallback>
      </mc:AlternateContent>
    </w:r>
  </w:p>
  <w:p w14:paraId="509741A6" w14:textId="73B77E0C" w:rsidR="005025E7" w:rsidRDefault="00EE443E">
    <w:pPr>
      <w:pStyle w:val="Encabezado"/>
    </w:pPr>
    <w:r>
      <w:rPr>
        <w:noProof/>
      </w:rPr>
      <w:pict w14:anchorId="2BD4B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111156" o:spid="_x0000_s1025" type="#_x0000_t136" style="position:absolute;margin-left:0;margin-top:0;width:573.7pt;height:49.15pt;rotation:315;z-index:-251658237;mso-position-horizontal:center;mso-position-horizontal-relative:margin;mso-position-vertical:center;mso-position-vertical-relative:margin" o:allowincell="f" fillcolor="silver" stroked="f">
          <v:fill opacity=".5"/>
          <v:textpath style="font-family:&quot;Calibri&quot;;font-size:1pt" string="ORIGINAL CONTROLADO ELECTRONICAMEN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93C"/>
    <w:multiLevelType w:val="hybridMultilevel"/>
    <w:tmpl w:val="C5B099B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DD55D3E"/>
    <w:multiLevelType w:val="hybridMultilevel"/>
    <w:tmpl w:val="A60807B6"/>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EB02E2B"/>
    <w:multiLevelType w:val="multilevel"/>
    <w:tmpl w:val="8B549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bCs/>
        <w:sz w:val="22"/>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3600ACA"/>
    <w:multiLevelType w:val="hybridMultilevel"/>
    <w:tmpl w:val="1572294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3A42F1A"/>
    <w:multiLevelType w:val="hybridMultilevel"/>
    <w:tmpl w:val="78F2760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1B0B3717"/>
    <w:multiLevelType w:val="hybridMultilevel"/>
    <w:tmpl w:val="7DA83052"/>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6" w15:restartNumberingAfterBreak="0">
    <w:nsid w:val="1F4544A5"/>
    <w:multiLevelType w:val="hybridMultilevel"/>
    <w:tmpl w:val="6C4E6F2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C8116EE"/>
    <w:multiLevelType w:val="hybridMultilevel"/>
    <w:tmpl w:val="B7CEEE4A"/>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D3D4B50"/>
    <w:multiLevelType w:val="hybridMultilevel"/>
    <w:tmpl w:val="C332F09C"/>
    <w:lvl w:ilvl="0" w:tplc="F8208AAE">
      <w:start w:val="98"/>
      <w:numFmt w:val="bullet"/>
      <w:lvlText w:val="-"/>
      <w:lvlJc w:val="left"/>
      <w:pPr>
        <w:ind w:left="786" w:hanging="360"/>
      </w:pPr>
      <w:rPr>
        <w:rFonts w:ascii="Trebuchet MS" w:eastAsiaTheme="minorHAnsi" w:hAnsi="Trebuchet MS" w:cstheme="minorBidi"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9" w15:restartNumberingAfterBreak="0">
    <w:nsid w:val="37853388"/>
    <w:multiLevelType w:val="multilevel"/>
    <w:tmpl w:val="C00E4CB8"/>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bCs/>
        <w:sz w:val="22"/>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FD5F0D"/>
    <w:multiLevelType w:val="hybridMultilevel"/>
    <w:tmpl w:val="5DEEE6A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59BA7EFD"/>
    <w:multiLevelType w:val="hybridMultilevel"/>
    <w:tmpl w:val="18EEB51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64013CF7"/>
    <w:multiLevelType w:val="multilevel"/>
    <w:tmpl w:val="DE62E19A"/>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6BBD006D"/>
    <w:multiLevelType w:val="hybridMultilevel"/>
    <w:tmpl w:val="2258E26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6E464053"/>
    <w:multiLevelType w:val="hybridMultilevel"/>
    <w:tmpl w:val="CF20B24C"/>
    <w:lvl w:ilvl="0" w:tplc="0409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73CB7108"/>
    <w:multiLevelType w:val="hybridMultilevel"/>
    <w:tmpl w:val="7EECC738"/>
    <w:lvl w:ilvl="0" w:tplc="E8BC171A">
      <w:start w:val="7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F0C354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6089202">
    <w:abstractNumId w:val="12"/>
  </w:num>
  <w:num w:numId="2" w16cid:durableId="2067099468">
    <w:abstractNumId w:val="9"/>
  </w:num>
  <w:num w:numId="3" w16cid:durableId="241834444">
    <w:abstractNumId w:val="16"/>
  </w:num>
  <w:num w:numId="4" w16cid:durableId="248125449">
    <w:abstractNumId w:val="1"/>
  </w:num>
  <w:num w:numId="5" w16cid:durableId="623773189">
    <w:abstractNumId w:val="15"/>
  </w:num>
  <w:num w:numId="6" w16cid:durableId="548997462">
    <w:abstractNumId w:val="14"/>
  </w:num>
  <w:num w:numId="7" w16cid:durableId="1576820110">
    <w:abstractNumId w:val="11"/>
  </w:num>
  <w:num w:numId="8" w16cid:durableId="1335113823">
    <w:abstractNumId w:val="6"/>
  </w:num>
  <w:num w:numId="9" w16cid:durableId="766317103">
    <w:abstractNumId w:val="0"/>
  </w:num>
  <w:num w:numId="10" w16cid:durableId="1399281650">
    <w:abstractNumId w:val="13"/>
  </w:num>
  <w:num w:numId="11" w16cid:durableId="916091696">
    <w:abstractNumId w:val="10"/>
  </w:num>
  <w:num w:numId="12" w16cid:durableId="722948905">
    <w:abstractNumId w:val="4"/>
  </w:num>
  <w:num w:numId="13" w16cid:durableId="1450540047">
    <w:abstractNumId w:val="7"/>
  </w:num>
  <w:num w:numId="14" w16cid:durableId="996230540">
    <w:abstractNumId w:val="5"/>
  </w:num>
  <w:num w:numId="15" w16cid:durableId="587929571">
    <w:abstractNumId w:val="3"/>
  </w:num>
  <w:num w:numId="16" w16cid:durableId="2002275374">
    <w:abstractNumId w:val="8"/>
  </w:num>
  <w:num w:numId="17" w16cid:durableId="205403677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efaultTableStyle w:val="Tablaconcuadrcula5oscura-nfasis1"/>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45"/>
    <w:rsid w:val="00001A94"/>
    <w:rsid w:val="0000256B"/>
    <w:rsid w:val="00002588"/>
    <w:rsid w:val="00003779"/>
    <w:rsid w:val="00003ABC"/>
    <w:rsid w:val="00003F2C"/>
    <w:rsid w:val="00004F5E"/>
    <w:rsid w:val="00005674"/>
    <w:rsid w:val="00005F24"/>
    <w:rsid w:val="00006398"/>
    <w:rsid w:val="000063F6"/>
    <w:rsid w:val="00006A2E"/>
    <w:rsid w:val="00006F38"/>
    <w:rsid w:val="000075BE"/>
    <w:rsid w:val="0001045F"/>
    <w:rsid w:val="00010E51"/>
    <w:rsid w:val="00011AF5"/>
    <w:rsid w:val="00012F7C"/>
    <w:rsid w:val="0001368D"/>
    <w:rsid w:val="00013E21"/>
    <w:rsid w:val="00014C47"/>
    <w:rsid w:val="00014DE6"/>
    <w:rsid w:val="00014EE8"/>
    <w:rsid w:val="000152B1"/>
    <w:rsid w:val="0001593A"/>
    <w:rsid w:val="0001597C"/>
    <w:rsid w:val="00017797"/>
    <w:rsid w:val="00017A5C"/>
    <w:rsid w:val="0002068A"/>
    <w:rsid w:val="000217BB"/>
    <w:rsid w:val="00023203"/>
    <w:rsid w:val="00023411"/>
    <w:rsid w:val="0002358B"/>
    <w:rsid w:val="00024C89"/>
    <w:rsid w:val="00024D8A"/>
    <w:rsid w:val="000261C1"/>
    <w:rsid w:val="00026A8F"/>
    <w:rsid w:val="000275A6"/>
    <w:rsid w:val="0002781A"/>
    <w:rsid w:val="00030CF0"/>
    <w:rsid w:val="000315F2"/>
    <w:rsid w:val="0003327E"/>
    <w:rsid w:val="00033C56"/>
    <w:rsid w:val="00034B39"/>
    <w:rsid w:val="00034BD1"/>
    <w:rsid w:val="00037D60"/>
    <w:rsid w:val="00037E30"/>
    <w:rsid w:val="0004032D"/>
    <w:rsid w:val="000408E9"/>
    <w:rsid w:val="00040D13"/>
    <w:rsid w:val="000411A2"/>
    <w:rsid w:val="0004238E"/>
    <w:rsid w:val="00043F72"/>
    <w:rsid w:val="00044B84"/>
    <w:rsid w:val="00046544"/>
    <w:rsid w:val="00046A53"/>
    <w:rsid w:val="0005037F"/>
    <w:rsid w:val="0005144E"/>
    <w:rsid w:val="00051A27"/>
    <w:rsid w:val="00052BD0"/>
    <w:rsid w:val="00052E38"/>
    <w:rsid w:val="00053377"/>
    <w:rsid w:val="00055892"/>
    <w:rsid w:val="000560CC"/>
    <w:rsid w:val="00056692"/>
    <w:rsid w:val="00056715"/>
    <w:rsid w:val="00057BEF"/>
    <w:rsid w:val="00060299"/>
    <w:rsid w:val="00060A84"/>
    <w:rsid w:val="00061605"/>
    <w:rsid w:val="00061E79"/>
    <w:rsid w:val="00061F37"/>
    <w:rsid w:val="00063C75"/>
    <w:rsid w:val="00063D61"/>
    <w:rsid w:val="00064E31"/>
    <w:rsid w:val="000650AA"/>
    <w:rsid w:val="00065708"/>
    <w:rsid w:val="00065D03"/>
    <w:rsid w:val="00065E7C"/>
    <w:rsid w:val="00066C19"/>
    <w:rsid w:val="00066EE6"/>
    <w:rsid w:val="00066F8C"/>
    <w:rsid w:val="0006724F"/>
    <w:rsid w:val="000679CB"/>
    <w:rsid w:val="00067B89"/>
    <w:rsid w:val="0007078E"/>
    <w:rsid w:val="00070F05"/>
    <w:rsid w:val="00070F47"/>
    <w:rsid w:val="00071047"/>
    <w:rsid w:val="000718D7"/>
    <w:rsid w:val="0007197D"/>
    <w:rsid w:val="000721DB"/>
    <w:rsid w:val="00072928"/>
    <w:rsid w:val="0007512E"/>
    <w:rsid w:val="00076581"/>
    <w:rsid w:val="000805F4"/>
    <w:rsid w:val="00081059"/>
    <w:rsid w:val="0008137C"/>
    <w:rsid w:val="00081AF8"/>
    <w:rsid w:val="0008206A"/>
    <w:rsid w:val="0008218E"/>
    <w:rsid w:val="00083D35"/>
    <w:rsid w:val="000845CC"/>
    <w:rsid w:val="00085872"/>
    <w:rsid w:val="0008650E"/>
    <w:rsid w:val="00086553"/>
    <w:rsid w:val="00086906"/>
    <w:rsid w:val="000902BE"/>
    <w:rsid w:val="00090507"/>
    <w:rsid w:val="00090740"/>
    <w:rsid w:val="00090A48"/>
    <w:rsid w:val="000911F8"/>
    <w:rsid w:val="00092028"/>
    <w:rsid w:val="00092571"/>
    <w:rsid w:val="00092A42"/>
    <w:rsid w:val="00093480"/>
    <w:rsid w:val="0009382E"/>
    <w:rsid w:val="000939F4"/>
    <w:rsid w:val="00094979"/>
    <w:rsid w:val="00094CC8"/>
    <w:rsid w:val="000950FD"/>
    <w:rsid w:val="00095ADB"/>
    <w:rsid w:val="000960B1"/>
    <w:rsid w:val="000962DB"/>
    <w:rsid w:val="000965B6"/>
    <w:rsid w:val="000972F0"/>
    <w:rsid w:val="00097D6F"/>
    <w:rsid w:val="000A010B"/>
    <w:rsid w:val="000A0644"/>
    <w:rsid w:val="000A08F7"/>
    <w:rsid w:val="000A09AA"/>
    <w:rsid w:val="000A0D55"/>
    <w:rsid w:val="000A0FC6"/>
    <w:rsid w:val="000A138F"/>
    <w:rsid w:val="000A398F"/>
    <w:rsid w:val="000A40AF"/>
    <w:rsid w:val="000A4D92"/>
    <w:rsid w:val="000A5BFB"/>
    <w:rsid w:val="000A6742"/>
    <w:rsid w:val="000A75CD"/>
    <w:rsid w:val="000A7FB6"/>
    <w:rsid w:val="000B00B3"/>
    <w:rsid w:val="000B0F60"/>
    <w:rsid w:val="000B3CD8"/>
    <w:rsid w:val="000B4335"/>
    <w:rsid w:val="000B45E2"/>
    <w:rsid w:val="000B59D7"/>
    <w:rsid w:val="000B6238"/>
    <w:rsid w:val="000B631F"/>
    <w:rsid w:val="000B7FDC"/>
    <w:rsid w:val="000C0666"/>
    <w:rsid w:val="000C0C92"/>
    <w:rsid w:val="000C1791"/>
    <w:rsid w:val="000C19AE"/>
    <w:rsid w:val="000C2724"/>
    <w:rsid w:val="000C2EAC"/>
    <w:rsid w:val="000C3BEF"/>
    <w:rsid w:val="000C442E"/>
    <w:rsid w:val="000C530C"/>
    <w:rsid w:val="000C53FA"/>
    <w:rsid w:val="000C54EC"/>
    <w:rsid w:val="000C6F82"/>
    <w:rsid w:val="000D0741"/>
    <w:rsid w:val="000D10E8"/>
    <w:rsid w:val="000D1533"/>
    <w:rsid w:val="000D29EA"/>
    <w:rsid w:val="000D2F54"/>
    <w:rsid w:val="000D305C"/>
    <w:rsid w:val="000D348C"/>
    <w:rsid w:val="000D4875"/>
    <w:rsid w:val="000D618E"/>
    <w:rsid w:val="000D6CEC"/>
    <w:rsid w:val="000E13EC"/>
    <w:rsid w:val="000E2CDC"/>
    <w:rsid w:val="000E35A6"/>
    <w:rsid w:val="000E35BD"/>
    <w:rsid w:val="000E3C8E"/>
    <w:rsid w:val="000E5760"/>
    <w:rsid w:val="000E6962"/>
    <w:rsid w:val="000E70F3"/>
    <w:rsid w:val="000F1372"/>
    <w:rsid w:val="000F1F18"/>
    <w:rsid w:val="000F249E"/>
    <w:rsid w:val="000F330A"/>
    <w:rsid w:val="000F5404"/>
    <w:rsid w:val="000F588E"/>
    <w:rsid w:val="000F5A74"/>
    <w:rsid w:val="000F634A"/>
    <w:rsid w:val="000F646C"/>
    <w:rsid w:val="001001F2"/>
    <w:rsid w:val="001015EC"/>
    <w:rsid w:val="00101A6C"/>
    <w:rsid w:val="001020B0"/>
    <w:rsid w:val="001021D3"/>
    <w:rsid w:val="00102E5E"/>
    <w:rsid w:val="00103F0A"/>
    <w:rsid w:val="00104157"/>
    <w:rsid w:val="0010516B"/>
    <w:rsid w:val="00106757"/>
    <w:rsid w:val="0010735A"/>
    <w:rsid w:val="00110AAF"/>
    <w:rsid w:val="00110BDC"/>
    <w:rsid w:val="00110D70"/>
    <w:rsid w:val="00111AD7"/>
    <w:rsid w:val="00113070"/>
    <w:rsid w:val="00113DBE"/>
    <w:rsid w:val="001140B7"/>
    <w:rsid w:val="00114756"/>
    <w:rsid w:val="00115BCA"/>
    <w:rsid w:val="00116188"/>
    <w:rsid w:val="00117036"/>
    <w:rsid w:val="001204B3"/>
    <w:rsid w:val="00120F42"/>
    <w:rsid w:val="001218E8"/>
    <w:rsid w:val="00122A2E"/>
    <w:rsid w:val="00122C7E"/>
    <w:rsid w:val="001243BC"/>
    <w:rsid w:val="001247B0"/>
    <w:rsid w:val="001249B0"/>
    <w:rsid w:val="00124F97"/>
    <w:rsid w:val="0012542F"/>
    <w:rsid w:val="00125971"/>
    <w:rsid w:val="00125B9F"/>
    <w:rsid w:val="00125CA3"/>
    <w:rsid w:val="0012673D"/>
    <w:rsid w:val="001270CD"/>
    <w:rsid w:val="001274B1"/>
    <w:rsid w:val="00127839"/>
    <w:rsid w:val="00127A90"/>
    <w:rsid w:val="00130948"/>
    <w:rsid w:val="001345D6"/>
    <w:rsid w:val="001345FB"/>
    <w:rsid w:val="001346A3"/>
    <w:rsid w:val="0013487A"/>
    <w:rsid w:val="00134F89"/>
    <w:rsid w:val="001356A1"/>
    <w:rsid w:val="00135E6E"/>
    <w:rsid w:val="00137424"/>
    <w:rsid w:val="00137706"/>
    <w:rsid w:val="00137EB7"/>
    <w:rsid w:val="00142346"/>
    <w:rsid w:val="0014251E"/>
    <w:rsid w:val="00142673"/>
    <w:rsid w:val="001433DE"/>
    <w:rsid w:val="00145A94"/>
    <w:rsid w:val="0014664C"/>
    <w:rsid w:val="00147384"/>
    <w:rsid w:val="00147EA4"/>
    <w:rsid w:val="00150B12"/>
    <w:rsid w:val="001519A9"/>
    <w:rsid w:val="001524C6"/>
    <w:rsid w:val="00153A68"/>
    <w:rsid w:val="00154F6D"/>
    <w:rsid w:val="001559B5"/>
    <w:rsid w:val="00156099"/>
    <w:rsid w:val="00157671"/>
    <w:rsid w:val="001604C2"/>
    <w:rsid w:val="0016067F"/>
    <w:rsid w:val="00160AE2"/>
    <w:rsid w:val="00160FCD"/>
    <w:rsid w:val="00161A96"/>
    <w:rsid w:val="00162AA8"/>
    <w:rsid w:val="00162AF5"/>
    <w:rsid w:val="001633C3"/>
    <w:rsid w:val="001637F4"/>
    <w:rsid w:val="00164AFF"/>
    <w:rsid w:val="00165823"/>
    <w:rsid w:val="00165A22"/>
    <w:rsid w:val="00166300"/>
    <w:rsid w:val="0016653B"/>
    <w:rsid w:val="0016654A"/>
    <w:rsid w:val="001669C2"/>
    <w:rsid w:val="00166E15"/>
    <w:rsid w:val="00166F97"/>
    <w:rsid w:val="001671B7"/>
    <w:rsid w:val="00170FAF"/>
    <w:rsid w:val="00174995"/>
    <w:rsid w:val="00174FA6"/>
    <w:rsid w:val="0017620F"/>
    <w:rsid w:val="001764D7"/>
    <w:rsid w:val="00176D46"/>
    <w:rsid w:val="00177F68"/>
    <w:rsid w:val="001803B3"/>
    <w:rsid w:val="0018068C"/>
    <w:rsid w:val="00181CB6"/>
    <w:rsid w:val="00182329"/>
    <w:rsid w:val="00182743"/>
    <w:rsid w:val="00182877"/>
    <w:rsid w:val="001838EF"/>
    <w:rsid w:val="00186787"/>
    <w:rsid w:val="001869BD"/>
    <w:rsid w:val="00186C75"/>
    <w:rsid w:val="00187DD1"/>
    <w:rsid w:val="001911E9"/>
    <w:rsid w:val="00192724"/>
    <w:rsid w:val="00194DAA"/>
    <w:rsid w:val="00195885"/>
    <w:rsid w:val="0019664C"/>
    <w:rsid w:val="00197869"/>
    <w:rsid w:val="00197BE7"/>
    <w:rsid w:val="001A00A9"/>
    <w:rsid w:val="001A0267"/>
    <w:rsid w:val="001A04EE"/>
    <w:rsid w:val="001A0A5A"/>
    <w:rsid w:val="001A0C7F"/>
    <w:rsid w:val="001A1A18"/>
    <w:rsid w:val="001A20F5"/>
    <w:rsid w:val="001A2507"/>
    <w:rsid w:val="001A2C44"/>
    <w:rsid w:val="001A36BC"/>
    <w:rsid w:val="001A4040"/>
    <w:rsid w:val="001A4A85"/>
    <w:rsid w:val="001A50B5"/>
    <w:rsid w:val="001A54F4"/>
    <w:rsid w:val="001A5C62"/>
    <w:rsid w:val="001A6EC5"/>
    <w:rsid w:val="001A7550"/>
    <w:rsid w:val="001A78B3"/>
    <w:rsid w:val="001B0787"/>
    <w:rsid w:val="001B0A1C"/>
    <w:rsid w:val="001B133C"/>
    <w:rsid w:val="001B1742"/>
    <w:rsid w:val="001B1E3F"/>
    <w:rsid w:val="001B23D2"/>
    <w:rsid w:val="001B28AA"/>
    <w:rsid w:val="001B28D8"/>
    <w:rsid w:val="001B3494"/>
    <w:rsid w:val="001B52C7"/>
    <w:rsid w:val="001B5682"/>
    <w:rsid w:val="001B58CB"/>
    <w:rsid w:val="001B619C"/>
    <w:rsid w:val="001B6214"/>
    <w:rsid w:val="001B62B1"/>
    <w:rsid w:val="001B6B26"/>
    <w:rsid w:val="001B7189"/>
    <w:rsid w:val="001B75C5"/>
    <w:rsid w:val="001C0554"/>
    <w:rsid w:val="001C10EB"/>
    <w:rsid w:val="001C139E"/>
    <w:rsid w:val="001C2936"/>
    <w:rsid w:val="001C2972"/>
    <w:rsid w:val="001C2D6A"/>
    <w:rsid w:val="001C2EE8"/>
    <w:rsid w:val="001C2F74"/>
    <w:rsid w:val="001C4313"/>
    <w:rsid w:val="001C446D"/>
    <w:rsid w:val="001C5494"/>
    <w:rsid w:val="001C59C9"/>
    <w:rsid w:val="001C66DC"/>
    <w:rsid w:val="001C6E8B"/>
    <w:rsid w:val="001C7175"/>
    <w:rsid w:val="001C7251"/>
    <w:rsid w:val="001C78BC"/>
    <w:rsid w:val="001D0CAF"/>
    <w:rsid w:val="001D28D0"/>
    <w:rsid w:val="001D2A1E"/>
    <w:rsid w:val="001D35F3"/>
    <w:rsid w:val="001D3754"/>
    <w:rsid w:val="001D40BF"/>
    <w:rsid w:val="001D4DC0"/>
    <w:rsid w:val="001D4EDF"/>
    <w:rsid w:val="001D6236"/>
    <w:rsid w:val="001D6B5A"/>
    <w:rsid w:val="001D6F9F"/>
    <w:rsid w:val="001D70B0"/>
    <w:rsid w:val="001E0492"/>
    <w:rsid w:val="001E0A40"/>
    <w:rsid w:val="001E0F15"/>
    <w:rsid w:val="001E2452"/>
    <w:rsid w:val="001E309C"/>
    <w:rsid w:val="001E333F"/>
    <w:rsid w:val="001E3869"/>
    <w:rsid w:val="001E3AC5"/>
    <w:rsid w:val="001E4E49"/>
    <w:rsid w:val="001E57D2"/>
    <w:rsid w:val="001E6270"/>
    <w:rsid w:val="001E6736"/>
    <w:rsid w:val="001F066E"/>
    <w:rsid w:val="001F1323"/>
    <w:rsid w:val="001F1744"/>
    <w:rsid w:val="001F2399"/>
    <w:rsid w:val="001F2FF0"/>
    <w:rsid w:val="001F3163"/>
    <w:rsid w:val="001F36DF"/>
    <w:rsid w:val="001F3B4F"/>
    <w:rsid w:val="001F4E45"/>
    <w:rsid w:val="001F530C"/>
    <w:rsid w:val="001F54E9"/>
    <w:rsid w:val="001F6A7C"/>
    <w:rsid w:val="001F7DDB"/>
    <w:rsid w:val="00200FA7"/>
    <w:rsid w:val="00200FF6"/>
    <w:rsid w:val="002013AA"/>
    <w:rsid w:val="00201BFE"/>
    <w:rsid w:val="00202C36"/>
    <w:rsid w:val="00203368"/>
    <w:rsid w:val="00203787"/>
    <w:rsid w:val="002037FF"/>
    <w:rsid w:val="00203D99"/>
    <w:rsid w:val="00204CD8"/>
    <w:rsid w:val="0020529A"/>
    <w:rsid w:val="002058B4"/>
    <w:rsid w:val="00206E93"/>
    <w:rsid w:val="00206F5C"/>
    <w:rsid w:val="00210461"/>
    <w:rsid w:val="002105B6"/>
    <w:rsid w:val="0021154E"/>
    <w:rsid w:val="00211ACA"/>
    <w:rsid w:val="002149CB"/>
    <w:rsid w:val="00214D7D"/>
    <w:rsid w:val="002151E1"/>
    <w:rsid w:val="002159D9"/>
    <w:rsid w:val="0021604B"/>
    <w:rsid w:val="002178F7"/>
    <w:rsid w:val="00221B54"/>
    <w:rsid w:val="00221BC4"/>
    <w:rsid w:val="002234C9"/>
    <w:rsid w:val="00224AA8"/>
    <w:rsid w:val="00225571"/>
    <w:rsid w:val="00225F30"/>
    <w:rsid w:val="002265C4"/>
    <w:rsid w:val="00226714"/>
    <w:rsid w:val="00227864"/>
    <w:rsid w:val="00227C4F"/>
    <w:rsid w:val="0023051B"/>
    <w:rsid w:val="00230D65"/>
    <w:rsid w:val="00231703"/>
    <w:rsid w:val="00232671"/>
    <w:rsid w:val="002326C8"/>
    <w:rsid w:val="00232B84"/>
    <w:rsid w:val="00232C59"/>
    <w:rsid w:val="00233A88"/>
    <w:rsid w:val="00233F79"/>
    <w:rsid w:val="00234507"/>
    <w:rsid w:val="002346E9"/>
    <w:rsid w:val="00234BB4"/>
    <w:rsid w:val="0023505F"/>
    <w:rsid w:val="00235546"/>
    <w:rsid w:val="0023699A"/>
    <w:rsid w:val="00236C7B"/>
    <w:rsid w:val="00236D91"/>
    <w:rsid w:val="00237958"/>
    <w:rsid w:val="002407FC"/>
    <w:rsid w:val="0024134D"/>
    <w:rsid w:val="002414A7"/>
    <w:rsid w:val="00241867"/>
    <w:rsid w:val="00242999"/>
    <w:rsid w:val="00243887"/>
    <w:rsid w:val="002439D7"/>
    <w:rsid w:val="002441F6"/>
    <w:rsid w:val="002442D4"/>
    <w:rsid w:val="0024461B"/>
    <w:rsid w:val="002452D4"/>
    <w:rsid w:val="002455EA"/>
    <w:rsid w:val="00245BB6"/>
    <w:rsid w:val="0024605F"/>
    <w:rsid w:val="0024627A"/>
    <w:rsid w:val="002467E5"/>
    <w:rsid w:val="00247E8A"/>
    <w:rsid w:val="002508AD"/>
    <w:rsid w:val="0025210D"/>
    <w:rsid w:val="00252FEE"/>
    <w:rsid w:val="0025315C"/>
    <w:rsid w:val="00253462"/>
    <w:rsid w:val="00253BAA"/>
    <w:rsid w:val="00253FCF"/>
    <w:rsid w:val="00254941"/>
    <w:rsid w:val="002553ED"/>
    <w:rsid w:val="002557E3"/>
    <w:rsid w:val="00256054"/>
    <w:rsid w:val="0025620D"/>
    <w:rsid w:val="0025742F"/>
    <w:rsid w:val="002577B0"/>
    <w:rsid w:val="0025799A"/>
    <w:rsid w:val="00257E57"/>
    <w:rsid w:val="00257FC1"/>
    <w:rsid w:val="00262467"/>
    <w:rsid w:val="00262736"/>
    <w:rsid w:val="002628AA"/>
    <w:rsid w:val="00262FC0"/>
    <w:rsid w:val="002631E7"/>
    <w:rsid w:val="00263C86"/>
    <w:rsid w:val="00263D7B"/>
    <w:rsid w:val="00264D2D"/>
    <w:rsid w:val="00265166"/>
    <w:rsid w:val="002700AC"/>
    <w:rsid w:val="00271C83"/>
    <w:rsid w:val="002726CF"/>
    <w:rsid w:val="00272730"/>
    <w:rsid w:val="002743E2"/>
    <w:rsid w:val="002747B5"/>
    <w:rsid w:val="00275588"/>
    <w:rsid w:val="002757A6"/>
    <w:rsid w:val="00275A1F"/>
    <w:rsid w:val="00276217"/>
    <w:rsid w:val="0027651A"/>
    <w:rsid w:val="0027672E"/>
    <w:rsid w:val="002777B2"/>
    <w:rsid w:val="00277B55"/>
    <w:rsid w:val="00277DF3"/>
    <w:rsid w:val="0028005E"/>
    <w:rsid w:val="0028072C"/>
    <w:rsid w:val="002812D3"/>
    <w:rsid w:val="00281670"/>
    <w:rsid w:val="00282B8E"/>
    <w:rsid w:val="00282DA3"/>
    <w:rsid w:val="002832D2"/>
    <w:rsid w:val="00283A8E"/>
    <w:rsid w:val="00283DF3"/>
    <w:rsid w:val="002841BE"/>
    <w:rsid w:val="002859FE"/>
    <w:rsid w:val="00286DD4"/>
    <w:rsid w:val="00287DFA"/>
    <w:rsid w:val="00287F1C"/>
    <w:rsid w:val="00292BF0"/>
    <w:rsid w:val="0029343D"/>
    <w:rsid w:val="0029429C"/>
    <w:rsid w:val="00294649"/>
    <w:rsid w:val="002946A9"/>
    <w:rsid w:val="00295382"/>
    <w:rsid w:val="00295CF6"/>
    <w:rsid w:val="002964AF"/>
    <w:rsid w:val="00296533"/>
    <w:rsid w:val="00296988"/>
    <w:rsid w:val="00297436"/>
    <w:rsid w:val="00297B21"/>
    <w:rsid w:val="002A0A2C"/>
    <w:rsid w:val="002A0A5E"/>
    <w:rsid w:val="002A0EC7"/>
    <w:rsid w:val="002A168D"/>
    <w:rsid w:val="002A241A"/>
    <w:rsid w:val="002A3805"/>
    <w:rsid w:val="002A3DB3"/>
    <w:rsid w:val="002A426A"/>
    <w:rsid w:val="002A5321"/>
    <w:rsid w:val="002A64EB"/>
    <w:rsid w:val="002A7302"/>
    <w:rsid w:val="002A73F2"/>
    <w:rsid w:val="002B0184"/>
    <w:rsid w:val="002B0BD2"/>
    <w:rsid w:val="002B25E7"/>
    <w:rsid w:val="002B3532"/>
    <w:rsid w:val="002B3AC4"/>
    <w:rsid w:val="002B44D0"/>
    <w:rsid w:val="002B4F1C"/>
    <w:rsid w:val="002B6221"/>
    <w:rsid w:val="002B67FD"/>
    <w:rsid w:val="002B75FA"/>
    <w:rsid w:val="002B78B5"/>
    <w:rsid w:val="002C04B6"/>
    <w:rsid w:val="002C2708"/>
    <w:rsid w:val="002C30A9"/>
    <w:rsid w:val="002C3687"/>
    <w:rsid w:val="002C4484"/>
    <w:rsid w:val="002C497C"/>
    <w:rsid w:val="002C533A"/>
    <w:rsid w:val="002C575E"/>
    <w:rsid w:val="002C5BD0"/>
    <w:rsid w:val="002C5EC0"/>
    <w:rsid w:val="002C6177"/>
    <w:rsid w:val="002C704F"/>
    <w:rsid w:val="002C70C3"/>
    <w:rsid w:val="002C711B"/>
    <w:rsid w:val="002C7A50"/>
    <w:rsid w:val="002C7F7C"/>
    <w:rsid w:val="002D025D"/>
    <w:rsid w:val="002D0FD5"/>
    <w:rsid w:val="002D119D"/>
    <w:rsid w:val="002D29EB"/>
    <w:rsid w:val="002D2C2B"/>
    <w:rsid w:val="002D345A"/>
    <w:rsid w:val="002D353E"/>
    <w:rsid w:val="002D378C"/>
    <w:rsid w:val="002D4324"/>
    <w:rsid w:val="002D5026"/>
    <w:rsid w:val="002D53BB"/>
    <w:rsid w:val="002D59FC"/>
    <w:rsid w:val="002D5B29"/>
    <w:rsid w:val="002D5F75"/>
    <w:rsid w:val="002D64B0"/>
    <w:rsid w:val="002D679F"/>
    <w:rsid w:val="002D7059"/>
    <w:rsid w:val="002D70EE"/>
    <w:rsid w:val="002D7927"/>
    <w:rsid w:val="002E04BE"/>
    <w:rsid w:val="002E0928"/>
    <w:rsid w:val="002E1C25"/>
    <w:rsid w:val="002E1D2D"/>
    <w:rsid w:val="002E27B7"/>
    <w:rsid w:val="002E2BEC"/>
    <w:rsid w:val="002E3318"/>
    <w:rsid w:val="002E434C"/>
    <w:rsid w:val="002E546B"/>
    <w:rsid w:val="002E54A8"/>
    <w:rsid w:val="002E6229"/>
    <w:rsid w:val="002E6A7B"/>
    <w:rsid w:val="002E6FAA"/>
    <w:rsid w:val="002E7640"/>
    <w:rsid w:val="002E790A"/>
    <w:rsid w:val="002E7A20"/>
    <w:rsid w:val="002F0A9A"/>
    <w:rsid w:val="002F1FFA"/>
    <w:rsid w:val="002F23AA"/>
    <w:rsid w:val="002F3318"/>
    <w:rsid w:val="002F3579"/>
    <w:rsid w:val="002F39EB"/>
    <w:rsid w:val="002F4A0C"/>
    <w:rsid w:val="002F54AF"/>
    <w:rsid w:val="002F6A9B"/>
    <w:rsid w:val="002F6C22"/>
    <w:rsid w:val="002F7035"/>
    <w:rsid w:val="002F7208"/>
    <w:rsid w:val="003008A0"/>
    <w:rsid w:val="00300CA0"/>
    <w:rsid w:val="0030181F"/>
    <w:rsid w:val="00302171"/>
    <w:rsid w:val="00302184"/>
    <w:rsid w:val="003035CF"/>
    <w:rsid w:val="003048A5"/>
    <w:rsid w:val="003058D5"/>
    <w:rsid w:val="003063A2"/>
    <w:rsid w:val="00306A7E"/>
    <w:rsid w:val="00307E2B"/>
    <w:rsid w:val="003124D3"/>
    <w:rsid w:val="00313172"/>
    <w:rsid w:val="00313B22"/>
    <w:rsid w:val="00314067"/>
    <w:rsid w:val="003141A6"/>
    <w:rsid w:val="00314751"/>
    <w:rsid w:val="00316128"/>
    <w:rsid w:val="003163ED"/>
    <w:rsid w:val="00317A93"/>
    <w:rsid w:val="00317CE8"/>
    <w:rsid w:val="00320206"/>
    <w:rsid w:val="003213A4"/>
    <w:rsid w:val="00321564"/>
    <w:rsid w:val="0032239C"/>
    <w:rsid w:val="00322797"/>
    <w:rsid w:val="003236C0"/>
    <w:rsid w:val="00323849"/>
    <w:rsid w:val="003248E7"/>
    <w:rsid w:val="00324F2B"/>
    <w:rsid w:val="00325464"/>
    <w:rsid w:val="003260B0"/>
    <w:rsid w:val="00326E4B"/>
    <w:rsid w:val="00327AE7"/>
    <w:rsid w:val="003302C1"/>
    <w:rsid w:val="003308CE"/>
    <w:rsid w:val="00331172"/>
    <w:rsid w:val="00331265"/>
    <w:rsid w:val="00331AD6"/>
    <w:rsid w:val="00331F3B"/>
    <w:rsid w:val="00332C22"/>
    <w:rsid w:val="0033416B"/>
    <w:rsid w:val="003344EA"/>
    <w:rsid w:val="00335A6E"/>
    <w:rsid w:val="00337241"/>
    <w:rsid w:val="00337275"/>
    <w:rsid w:val="0033773D"/>
    <w:rsid w:val="003407A3"/>
    <w:rsid w:val="00340C41"/>
    <w:rsid w:val="00341116"/>
    <w:rsid w:val="00341281"/>
    <w:rsid w:val="00342342"/>
    <w:rsid w:val="00342C0A"/>
    <w:rsid w:val="00342DCC"/>
    <w:rsid w:val="00343E4A"/>
    <w:rsid w:val="00343F5A"/>
    <w:rsid w:val="00344775"/>
    <w:rsid w:val="00344CA3"/>
    <w:rsid w:val="003450E4"/>
    <w:rsid w:val="00345F25"/>
    <w:rsid w:val="00345F80"/>
    <w:rsid w:val="00346EB6"/>
    <w:rsid w:val="003476F0"/>
    <w:rsid w:val="003477E8"/>
    <w:rsid w:val="00347A6E"/>
    <w:rsid w:val="00347B3B"/>
    <w:rsid w:val="00350C39"/>
    <w:rsid w:val="00351072"/>
    <w:rsid w:val="00351500"/>
    <w:rsid w:val="003516BE"/>
    <w:rsid w:val="003516E0"/>
    <w:rsid w:val="00351798"/>
    <w:rsid w:val="00351B13"/>
    <w:rsid w:val="00351FB4"/>
    <w:rsid w:val="00352240"/>
    <w:rsid w:val="00352B2C"/>
    <w:rsid w:val="00352C0D"/>
    <w:rsid w:val="00352D3D"/>
    <w:rsid w:val="003530B7"/>
    <w:rsid w:val="00353FA7"/>
    <w:rsid w:val="00355206"/>
    <w:rsid w:val="00356514"/>
    <w:rsid w:val="00357602"/>
    <w:rsid w:val="003577E5"/>
    <w:rsid w:val="00357EC6"/>
    <w:rsid w:val="0036142F"/>
    <w:rsid w:val="003615B8"/>
    <w:rsid w:val="00361978"/>
    <w:rsid w:val="0036214C"/>
    <w:rsid w:val="00362698"/>
    <w:rsid w:val="00362799"/>
    <w:rsid w:val="00363492"/>
    <w:rsid w:val="00364D18"/>
    <w:rsid w:val="00364EDD"/>
    <w:rsid w:val="0036587A"/>
    <w:rsid w:val="00365D5F"/>
    <w:rsid w:val="00366856"/>
    <w:rsid w:val="00367D1A"/>
    <w:rsid w:val="0037013F"/>
    <w:rsid w:val="003705FA"/>
    <w:rsid w:val="00370F28"/>
    <w:rsid w:val="00371438"/>
    <w:rsid w:val="0037342A"/>
    <w:rsid w:val="00374603"/>
    <w:rsid w:val="00374ED4"/>
    <w:rsid w:val="00377975"/>
    <w:rsid w:val="00381025"/>
    <w:rsid w:val="003815B1"/>
    <w:rsid w:val="0038251A"/>
    <w:rsid w:val="00382ACF"/>
    <w:rsid w:val="00384793"/>
    <w:rsid w:val="00384DBD"/>
    <w:rsid w:val="00385875"/>
    <w:rsid w:val="00385EEF"/>
    <w:rsid w:val="00386182"/>
    <w:rsid w:val="00386F4F"/>
    <w:rsid w:val="0038732E"/>
    <w:rsid w:val="0038759D"/>
    <w:rsid w:val="00390D9D"/>
    <w:rsid w:val="00391740"/>
    <w:rsid w:val="00392049"/>
    <w:rsid w:val="00392B3A"/>
    <w:rsid w:val="003934E4"/>
    <w:rsid w:val="00394266"/>
    <w:rsid w:val="0039484C"/>
    <w:rsid w:val="003957CB"/>
    <w:rsid w:val="00395C9B"/>
    <w:rsid w:val="00397A46"/>
    <w:rsid w:val="003A06BF"/>
    <w:rsid w:val="003A0949"/>
    <w:rsid w:val="003A2146"/>
    <w:rsid w:val="003A2656"/>
    <w:rsid w:val="003A2BCB"/>
    <w:rsid w:val="003A3175"/>
    <w:rsid w:val="003A367E"/>
    <w:rsid w:val="003A4256"/>
    <w:rsid w:val="003A5167"/>
    <w:rsid w:val="003A5577"/>
    <w:rsid w:val="003A5A72"/>
    <w:rsid w:val="003A5F81"/>
    <w:rsid w:val="003A68BE"/>
    <w:rsid w:val="003A7117"/>
    <w:rsid w:val="003A7D9D"/>
    <w:rsid w:val="003B0ADC"/>
    <w:rsid w:val="003B1470"/>
    <w:rsid w:val="003B18F2"/>
    <w:rsid w:val="003B2CDD"/>
    <w:rsid w:val="003B2D13"/>
    <w:rsid w:val="003B43EA"/>
    <w:rsid w:val="003B4456"/>
    <w:rsid w:val="003B4E37"/>
    <w:rsid w:val="003B580D"/>
    <w:rsid w:val="003B5EB1"/>
    <w:rsid w:val="003B6D26"/>
    <w:rsid w:val="003B6ECF"/>
    <w:rsid w:val="003B71EE"/>
    <w:rsid w:val="003B7D14"/>
    <w:rsid w:val="003C08A3"/>
    <w:rsid w:val="003C0B29"/>
    <w:rsid w:val="003C12D7"/>
    <w:rsid w:val="003C164F"/>
    <w:rsid w:val="003C1F13"/>
    <w:rsid w:val="003C2AF3"/>
    <w:rsid w:val="003C2C9A"/>
    <w:rsid w:val="003C3AA2"/>
    <w:rsid w:val="003C3CD7"/>
    <w:rsid w:val="003C3FFC"/>
    <w:rsid w:val="003C48B2"/>
    <w:rsid w:val="003C4B59"/>
    <w:rsid w:val="003C54C1"/>
    <w:rsid w:val="003C5F3C"/>
    <w:rsid w:val="003C7E21"/>
    <w:rsid w:val="003C7F19"/>
    <w:rsid w:val="003D067E"/>
    <w:rsid w:val="003D0EB8"/>
    <w:rsid w:val="003D1866"/>
    <w:rsid w:val="003D21C9"/>
    <w:rsid w:val="003D25B1"/>
    <w:rsid w:val="003D28EA"/>
    <w:rsid w:val="003D2C67"/>
    <w:rsid w:val="003D31EC"/>
    <w:rsid w:val="003D3754"/>
    <w:rsid w:val="003D3AF7"/>
    <w:rsid w:val="003D3C1D"/>
    <w:rsid w:val="003D40E9"/>
    <w:rsid w:val="003D4306"/>
    <w:rsid w:val="003D48F6"/>
    <w:rsid w:val="003D4F0C"/>
    <w:rsid w:val="003D636A"/>
    <w:rsid w:val="003D6CE5"/>
    <w:rsid w:val="003D76F4"/>
    <w:rsid w:val="003E0357"/>
    <w:rsid w:val="003E0D78"/>
    <w:rsid w:val="003E135B"/>
    <w:rsid w:val="003E19AB"/>
    <w:rsid w:val="003E21FE"/>
    <w:rsid w:val="003E31B4"/>
    <w:rsid w:val="003E4097"/>
    <w:rsid w:val="003E468D"/>
    <w:rsid w:val="003E4A20"/>
    <w:rsid w:val="003E4F51"/>
    <w:rsid w:val="003E50B6"/>
    <w:rsid w:val="003E5D1C"/>
    <w:rsid w:val="003F2953"/>
    <w:rsid w:val="003F375E"/>
    <w:rsid w:val="003F39E2"/>
    <w:rsid w:val="003F4563"/>
    <w:rsid w:val="003F48AB"/>
    <w:rsid w:val="003F5A37"/>
    <w:rsid w:val="003F6AE4"/>
    <w:rsid w:val="003F7BFB"/>
    <w:rsid w:val="004005D4"/>
    <w:rsid w:val="00400ED2"/>
    <w:rsid w:val="00402531"/>
    <w:rsid w:val="00402BBF"/>
    <w:rsid w:val="00402BC5"/>
    <w:rsid w:val="00402D8B"/>
    <w:rsid w:val="00402DAC"/>
    <w:rsid w:val="004034BE"/>
    <w:rsid w:val="0040361A"/>
    <w:rsid w:val="00403A0E"/>
    <w:rsid w:val="00404F37"/>
    <w:rsid w:val="00405118"/>
    <w:rsid w:val="004067D0"/>
    <w:rsid w:val="00406C94"/>
    <w:rsid w:val="0040725F"/>
    <w:rsid w:val="00407439"/>
    <w:rsid w:val="00407448"/>
    <w:rsid w:val="00407A1F"/>
    <w:rsid w:val="00407FFC"/>
    <w:rsid w:val="004101D5"/>
    <w:rsid w:val="00412A2C"/>
    <w:rsid w:val="00412D14"/>
    <w:rsid w:val="0041328A"/>
    <w:rsid w:val="00413614"/>
    <w:rsid w:val="00414E4E"/>
    <w:rsid w:val="00415260"/>
    <w:rsid w:val="0041575E"/>
    <w:rsid w:val="00416B5E"/>
    <w:rsid w:val="004171B1"/>
    <w:rsid w:val="00417339"/>
    <w:rsid w:val="00420F22"/>
    <w:rsid w:val="00420F32"/>
    <w:rsid w:val="00420F5C"/>
    <w:rsid w:val="00421F8A"/>
    <w:rsid w:val="00422836"/>
    <w:rsid w:val="00422CAA"/>
    <w:rsid w:val="00423934"/>
    <w:rsid w:val="00423A86"/>
    <w:rsid w:val="0042421C"/>
    <w:rsid w:val="00424E1C"/>
    <w:rsid w:val="00425DD4"/>
    <w:rsid w:val="00426387"/>
    <w:rsid w:val="00426404"/>
    <w:rsid w:val="00426987"/>
    <w:rsid w:val="00426AA7"/>
    <w:rsid w:val="00426B6E"/>
    <w:rsid w:val="00427682"/>
    <w:rsid w:val="004301EA"/>
    <w:rsid w:val="00430E61"/>
    <w:rsid w:val="00431EAB"/>
    <w:rsid w:val="004325CD"/>
    <w:rsid w:val="004328FA"/>
    <w:rsid w:val="00434E52"/>
    <w:rsid w:val="00434EA8"/>
    <w:rsid w:val="004372C1"/>
    <w:rsid w:val="00440ECC"/>
    <w:rsid w:val="004411ED"/>
    <w:rsid w:val="004420E3"/>
    <w:rsid w:val="00442402"/>
    <w:rsid w:val="00442428"/>
    <w:rsid w:val="00442596"/>
    <w:rsid w:val="004436FA"/>
    <w:rsid w:val="00443ED1"/>
    <w:rsid w:val="0044402E"/>
    <w:rsid w:val="00444E82"/>
    <w:rsid w:val="00445A15"/>
    <w:rsid w:val="00445EB0"/>
    <w:rsid w:val="00445F11"/>
    <w:rsid w:val="00447721"/>
    <w:rsid w:val="00452613"/>
    <w:rsid w:val="00452BE3"/>
    <w:rsid w:val="00453D7C"/>
    <w:rsid w:val="00454B88"/>
    <w:rsid w:val="004554DF"/>
    <w:rsid w:val="00456CF8"/>
    <w:rsid w:val="00457E87"/>
    <w:rsid w:val="004600EA"/>
    <w:rsid w:val="0046093C"/>
    <w:rsid w:val="004616E6"/>
    <w:rsid w:val="00462A35"/>
    <w:rsid w:val="004639F7"/>
    <w:rsid w:val="00464EB2"/>
    <w:rsid w:val="0046581B"/>
    <w:rsid w:val="004669D4"/>
    <w:rsid w:val="00467CE6"/>
    <w:rsid w:val="00467DB0"/>
    <w:rsid w:val="00467E86"/>
    <w:rsid w:val="00470C80"/>
    <w:rsid w:val="00471384"/>
    <w:rsid w:val="00471779"/>
    <w:rsid w:val="00471B4F"/>
    <w:rsid w:val="00471F84"/>
    <w:rsid w:val="00472A6D"/>
    <w:rsid w:val="00474D3E"/>
    <w:rsid w:val="00474E6F"/>
    <w:rsid w:val="004753FE"/>
    <w:rsid w:val="004754C3"/>
    <w:rsid w:val="004762CD"/>
    <w:rsid w:val="0047651A"/>
    <w:rsid w:val="004766E3"/>
    <w:rsid w:val="0047735D"/>
    <w:rsid w:val="00477664"/>
    <w:rsid w:val="004808DB"/>
    <w:rsid w:val="00480C64"/>
    <w:rsid w:val="00480D68"/>
    <w:rsid w:val="004828AD"/>
    <w:rsid w:val="00482DFD"/>
    <w:rsid w:val="00482FB8"/>
    <w:rsid w:val="004836BB"/>
    <w:rsid w:val="00483ABF"/>
    <w:rsid w:val="004841EA"/>
    <w:rsid w:val="00485306"/>
    <w:rsid w:val="004855E5"/>
    <w:rsid w:val="0048578D"/>
    <w:rsid w:val="00485E7D"/>
    <w:rsid w:val="00485EC7"/>
    <w:rsid w:val="0048640E"/>
    <w:rsid w:val="00486527"/>
    <w:rsid w:val="0048789D"/>
    <w:rsid w:val="004878A9"/>
    <w:rsid w:val="0049032B"/>
    <w:rsid w:val="00490A74"/>
    <w:rsid w:val="00490AD5"/>
    <w:rsid w:val="00491678"/>
    <w:rsid w:val="00492D75"/>
    <w:rsid w:val="00493185"/>
    <w:rsid w:val="00494CDB"/>
    <w:rsid w:val="00494ECF"/>
    <w:rsid w:val="00496F63"/>
    <w:rsid w:val="004971F3"/>
    <w:rsid w:val="00497686"/>
    <w:rsid w:val="004979F2"/>
    <w:rsid w:val="004A00E0"/>
    <w:rsid w:val="004A04CD"/>
    <w:rsid w:val="004A11A5"/>
    <w:rsid w:val="004A17E0"/>
    <w:rsid w:val="004A1DF8"/>
    <w:rsid w:val="004A1F9D"/>
    <w:rsid w:val="004A254B"/>
    <w:rsid w:val="004A2612"/>
    <w:rsid w:val="004A337E"/>
    <w:rsid w:val="004A35B5"/>
    <w:rsid w:val="004A379D"/>
    <w:rsid w:val="004A3B21"/>
    <w:rsid w:val="004A3FC6"/>
    <w:rsid w:val="004A4265"/>
    <w:rsid w:val="004A5283"/>
    <w:rsid w:val="004A5881"/>
    <w:rsid w:val="004A5AF3"/>
    <w:rsid w:val="004A5F81"/>
    <w:rsid w:val="004A605A"/>
    <w:rsid w:val="004A62EF"/>
    <w:rsid w:val="004A63AB"/>
    <w:rsid w:val="004A7737"/>
    <w:rsid w:val="004B1716"/>
    <w:rsid w:val="004B2227"/>
    <w:rsid w:val="004B29C4"/>
    <w:rsid w:val="004B2B8F"/>
    <w:rsid w:val="004B36A8"/>
    <w:rsid w:val="004B3D06"/>
    <w:rsid w:val="004B4005"/>
    <w:rsid w:val="004B5218"/>
    <w:rsid w:val="004B5A56"/>
    <w:rsid w:val="004B5BD3"/>
    <w:rsid w:val="004B626E"/>
    <w:rsid w:val="004C12F5"/>
    <w:rsid w:val="004C19A9"/>
    <w:rsid w:val="004C1A5B"/>
    <w:rsid w:val="004C2004"/>
    <w:rsid w:val="004C2120"/>
    <w:rsid w:val="004C3CAA"/>
    <w:rsid w:val="004C3F29"/>
    <w:rsid w:val="004C55A4"/>
    <w:rsid w:val="004C5878"/>
    <w:rsid w:val="004C5A6C"/>
    <w:rsid w:val="004C5BB1"/>
    <w:rsid w:val="004C5F46"/>
    <w:rsid w:val="004C60AA"/>
    <w:rsid w:val="004D00DE"/>
    <w:rsid w:val="004D0676"/>
    <w:rsid w:val="004D0EBE"/>
    <w:rsid w:val="004D20DD"/>
    <w:rsid w:val="004D358D"/>
    <w:rsid w:val="004D5BC3"/>
    <w:rsid w:val="004D7D92"/>
    <w:rsid w:val="004E1502"/>
    <w:rsid w:val="004E4CE7"/>
    <w:rsid w:val="004E4E4F"/>
    <w:rsid w:val="004E4ED3"/>
    <w:rsid w:val="004E6DE7"/>
    <w:rsid w:val="004E6F22"/>
    <w:rsid w:val="004E73D1"/>
    <w:rsid w:val="004F0647"/>
    <w:rsid w:val="004F0E29"/>
    <w:rsid w:val="004F1030"/>
    <w:rsid w:val="004F1238"/>
    <w:rsid w:val="004F17C2"/>
    <w:rsid w:val="004F1A2B"/>
    <w:rsid w:val="004F5E72"/>
    <w:rsid w:val="004F6EAF"/>
    <w:rsid w:val="004F7094"/>
    <w:rsid w:val="004F7EC7"/>
    <w:rsid w:val="004F7EDA"/>
    <w:rsid w:val="00500397"/>
    <w:rsid w:val="0050073B"/>
    <w:rsid w:val="00501E32"/>
    <w:rsid w:val="005025E7"/>
    <w:rsid w:val="005028C1"/>
    <w:rsid w:val="00502A45"/>
    <w:rsid w:val="00503DD4"/>
    <w:rsid w:val="005057D4"/>
    <w:rsid w:val="0051136F"/>
    <w:rsid w:val="00512C74"/>
    <w:rsid w:val="00513417"/>
    <w:rsid w:val="00514F3F"/>
    <w:rsid w:val="00514F62"/>
    <w:rsid w:val="00515015"/>
    <w:rsid w:val="0051502B"/>
    <w:rsid w:val="005157B7"/>
    <w:rsid w:val="005159AA"/>
    <w:rsid w:val="00515BFB"/>
    <w:rsid w:val="005160A9"/>
    <w:rsid w:val="00516A98"/>
    <w:rsid w:val="00517D5E"/>
    <w:rsid w:val="005201D1"/>
    <w:rsid w:val="005205B7"/>
    <w:rsid w:val="005205F6"/>
    <w:rsid w:val="00521174"/>
    <w:rsid w:val="005218BB"/>
    <w:rsid w:val="0052223F"/>
    <w:rsid w:val="00522FFB"/>
    <w:rsid w:val="005233C0"/>
    <w:rsid w:val="005234D3"/>
    <w:rsid w:val="005239FA"/>
    <w:rsid w:val="00523CA6"/>
    <w:rsid w:val="00524138"/>
    <w:rsid w:val="00524959"/>
    <w:rsid w:val="0052507D"/>
    <w:rsid w:val="00525A93"/>
    <w:rsid w:val="00525F7C"/>
    <w:rsid w:val="0052648C"/>
    <w:rsid w:val="00526D8E"/>
    <w:rsid w:val="00527468"/>
    <w:rsid w:val="005300A7"/>
    <w:rsid w:val="00530894"/>
    <w:rsid w:val="00530B06"/>
    <w:rsid w:val="005312F3"/>
    <w:rsid w:val="00531616"/>
    <w:rsid w:val="00531B02"/>
    <w:rsid w:val="00532479"/>
    <w:rsid w:val="00532946"/>
    <w:rsid w:val="00533BD3"/>
    <w:rsid w:val="00533FAD"/>
    <w:rsid w:val="005351E2"/>
    <w:rsid w:val="00535263"/>
    <w:rsid w:val="00535B2B"/>
    <w:rsid w:val="00535F1D"/>
    <w:rsid w:val="00536B76"/>
    <w:rsid w:val="005374D2"/>
    <w:rsid w:val="005403AF"/>
    <w:rsid w:val="00540466"/>
    <w:rsid w:val="00540610"/>
    <w:rsid w:val="005411D8"/>
    <w:rsid w:val="00541325"/>
    <w:rsid w:val="00541C9C"/>
    <w:rsid w:val="00541F47"/>
    <w:rsid w:val="00542129"/>
    <w:rsid w:val="00542727"/>
    <w:rsid w:val="00542ADD"/>
    <w:rsid w:val="0054325B"/>
    <w:rsid w:val="00543A9A"/>
    <w:rsid w:val="00546A28"/>
    <w:rsid w:val="00547404"/>
    <w:rsid w:val="005477CC"/>
    <w:rsid w:val="005479D8"/>
    <w:rsid w:val="00547C05"/>
    <w:rsid w:val="00550AD1"/>
    <w:rsid w:val="005517EC"/>
    <w:rsid w:val="00551957"/>
    <w:rsid w:val="00551FB4"/>
    <w:rsid w:val="0055246F"/>
    <w:rsid w:val="0055292D"/>
    <w:rsid w:val="005535B3"/>
    <w:rsid w:val="005542FC"/>
    <w:rsid w:val="00554BA2"/>
    <w:rsid w:val="00556B95"/>
    <w:rsid w:val="00556D91"/>
    <w:rsid w:val="00556F9B"/>
    <w:rsid w:val="005572D2"/>
    <w:rsid w:val="005575B1"/>
    <w:rsid w:val="00557ABB"/>
    <w:rsid w:val="00560E13"/>
    <w:rsid w:val="00562B4A"/>
    <w:rsid w:val="00563CF6"/>
    <w:rsid w:val="00564311"/>
    <w:rsid w:val="00570195"/>
    <w:rsid w:val="0057027C"/>
    <w:rsid w:val="00570472"/>
    <w:rsid w:val="00570504"/>
    <w:rsid w:val="00570796"/>
    <w:rsid w:val="00570D1C"/>
    <w:rsid w:val="00572FBC"/>
    <w:rsid w:val="00574A1D"/>
    <w:rsid w:val="00574AA9"/>
    <w:rsid w:val="005751A8"/>
    <w:rsid w:val="005809FA"/>
    <w:rsid w:val="00580B05"/>
    <w:rsid w:val="005810F9"/>
    <w:rsid w:val="0058150B"/>
    <w:rsid w:val="0058160B"/>
    <w:rsid w:val="005817C8"/>
    <w:rsid w:val="00582629"/>
    <w:rsid w:val="00584DEA"/>
    <w:rsid w:val="00584FF3"/>
    <w:rsid w:val="00585F79"/>
    <w:rsid w:val="00586500"/>
    <w:rsid w:val="0058654A"/>
    <w:rsid w:val="00586CF5"/>
    <w:rsid w:val="005874DC"/>
    <w:rsid w:val="005876DC"/>
    <w:rsid w:val="00587BF1"/>
    <w:rsid w:val="0059006D"/>
    <w:rsid w:val="00591AE0"/>
    <w:rsid w:val="00592078"/>
    <w:rsid w:val="00592118"/>
    <w:rsid w:val="00592889"/>
    <w:rsid w:val="00592BB2"/>
    <w:rsid w:val="00593057"/>
    <w:rsid w:val="005936A2"/>
    <w:rsid w:val="00593728"/>
    <w:rsid w:val="0059387F"/>
    <w:rsid w:val="00595A02"/>
    <w:rsid w:val="00595BF4"/>
    <w:rsid w:val="00597487"/>
    <w:rsid w:val="00597863"/>
    <w:rsid w:val="00597B25"/>
    <w:rsid w:val="005A01D8"/>
    <w:rsid w:val="005A244F"/>
    <w:rsid w:val="005A2B3E"/>
    <w:rsid w:val="005A36FD"/>
    <w:rsid w:val="005A3DD8"/>
    <w:rsid w:val="005A4974"/>
    <w:rsid w:val="005A54C7"/>
    <w:rsid w:val="005A5F9D"/>
    <w:rsid w:val="005A5FB2"/>
    <w:rsid w:val="005A6F06"/>
    <w:rsid w:val="005A7092"/>
    <w:rsid w:val="005A73B4"/>
    <w:rsid w:val="005A7A4E"/>
    <w:rsid w:val="005B053F"/>
    <w:rsid w:val="005B0A95"/>
    <w:rsid w:val="005B1050"/>
    <w:rsid w:val="005B17A8"/>
    <w:rsid w:val="005B1B0C"/>
    <w:rsid w:val="005B24AD"/>
    <w:rsid w:val="005B2632"/>
    <w:rsid w:val="005B2DE9"/>
    <w:rsid w:val="005B3162"/>
    <w:rsid w:val="005B33A3"/>
    <w:rsid w:val="005B3728"/>
    <w:rsid w:val="005B39DC"/>
    <w:rsid w:val="005B495A"/>
    <w:rsid w:val="005B4962"/>
    <w:rsid w:val="005B4EA3"/>
    <w:rsid w:val="005B5642"/>
    <w:rsid w:val="005C0D74"/>
    <w:rsid w:val="005C3729"/>
    <w:rsid w:val="005C3AFF"/>
    <w:rsid w:val="005C3B3D"/>
    <w:rsid w:val="005C3DAA"/>
    <w:rsid w:val="005C3DCE"/>
    <w:rsid w:val="005C4B34"/>
    <w:rsid w:val="005C4BA5"/>
    <w:rsid w:val="005C573D"/>
    <w:rsid w:val="005C5A02"/>
    <w:rsid w:val="005C5E16"/>
    <w:rsid w:val="005C604D"/>
    <w:rsid w:val="005C6152"/>
    <w:rsid w:val="005C6F76"/>
    <w:rsid w:val="005C736B"/>
    <w:rsid w:val="005C7624"/>
    <w:rsid w:val="005C7F85"/>
    <w:rsid w:val="005D0175"/>
    <w:rsid w:val="005D07AC"/>
    <w:rsid w:val="005D0DB6"/>
    <w:rsid w:val="005D14FA"/>
    <w:rsid w:val="005D18A1"/>
    <w:rsid w:val="005D28B7"/>
    <w:rsid w:val="005D345A"/>
    <w:rsid w:val="005D4EF0"/>
    <w:rsid w:val="005D5B04"/>
    <w:rsid w:val="005D5BC0"/>
    <w:rsid w:val="005D6C3F"/>
    <w:rsid w:val="005E02D1"/>
    <w:rsid w:val="005E096C"/>
    <w:rsid w:val="005E0BFD"/>
    <w:rsid w:val="005E1F39"/>
    <w:rsid w:val="005E2E9F"/>
    <w:rsid w:val="005E351D"/>
    <w:rsid w:val="005E4466"/>
    <w:rsid w:val="005E4C66"/>
    <w:rsid w:val="005E5341"/>
    <w:rsid w:val="005E5851"/>
    <w:rsid w:val="005E59D9"/>
    <w:rsid w:val="005E5B2A"/>
    <w:rsid w:val="005F1782"/>
    <w:rsid w:val="005F1B33"/>
    <w:rsid w:val="005F1BD8"/>
    <w:rsid w:val="005F20FD"/>
    <w:rsid w:val="005F3362"/>
    <w:rsid w:val="005F34E0"/>
    <w:rsid w:val="005F3560"/>
    <w:rsid w:val="005F4328"/>
    <w:rsid w:val="005F5A62"/>
    <w:rsid w:val="005F6018"/>
    <w:rsid w:val="005F6187"/>
    <w:rsid w:val="005F6BB9"/>
    <w:rsid w:val="00600D79"/>
    <w:rsid w:val="006018FF"/>
    <w:rsid w:val="00602E24"/>
    <w:rsid w:val="00603561"/>
    <w:rsid w:val="00603582"/>
    <w:rsid w:val="006035FF"/>
    <w:rsid w:val="00603AA5"/>
    <w:rsid w:val="006059A5"/>
    <w:rsid w:val="00607624"/>
    <w:rsid w:val="00611168"/>
    <w:rsid w:val="0061146C"/>
    <w:rsid w:val="0061180A"/>
    <w:rsid w:val="00612726"/>
    <w:rsid w:val="0061334D"/>
    <w:rsid w:val="006137E6"/>
    <w:rsid w:val="00613B2C"/>
    <w:rsid w:val="006141DF"/>
    <w:rsid w:val="00615372"/>
    <w:rsid w:val="0061572F"/>
    <w:rsid w:val="00617C6E"/>
    <w:rsid w:val="006204C2"/>
    <w:rsid w:val="00620631"/>
    <w:rsid w:val="00620C39"/>
    <w:rsid w:val="00620F2E"/>
    <w:rsid w:val="006210D0"/>
    <w:rsid w:val="00621727"/>
    <w:rsid w:val="00622104"/>
    <w:rsid w:val="00622408"/>
    <w:rsid w:val="00622C80"/>
    <w:rsid w:val="00622C9E"/>
    <w:rsid w:val="00622D57"/>
    <w:rsid w:val="00623944"/>
    <w:rsid w:val="00627B27"/>
    <w:rsid w:val="006304DD"/>
    <w:rsid w:val="00630587"/>
    <w:rsid w:val="00630687"/>
    <w:rsid w:val="00630B88"/>
    <w:rsid w:val="00631502"/>
    <w:rsid w:val="00631EC4"/>
    <w:rsid w:val="00632DBD"/>
    <w:rsid w:val="00632F8E"/>
    <w:rsid w:val="00633592"/>
    <w:rsid w:val="00634486"/>
    <w:rsid w:val="00634F7A"/>
    <w:rsid w:val="00634FC3"/>
    <w:rsid w:val="006359CD"/>
    <w:rsid w:val="00635AD0"/>
    <w:rsid w:val="006363A8"/>
    <w:rsid w:val="0063644A"/>
    <w:rsid w:val="00636AE7"/>
    <w:rsid w:val="00637253"/>
    <w:rsid w:val="0063758D"/>
    <w:rsid w:val="006378B7"/>
    <w:rsid w:val="00640C38"/>
    <w:rsid w:val="0064141F"/>
    <w:rsid w:val="006417FC"/>
    <w:rsid w:val="00641CFF"/>
    <w:rsid w:val="00643B88"/>
    <w:rsid w:val="00643C3F"/>
    <w:rsid w:val="00643FA1"/>
    <w:rsid w:val="00644A45"/>
    <w:rsid w:val="006458A9"/>
    <w:rsid w:val="006475A1"/>
    <w:rsid w:val="00647890"/>
    <w:rsid w:val="00647E7A"/>
    <w:rsid w:val="00647FB9"/>
    <w:rsid w:val="006501CB"/>
    <w:rsid w:val="00650816"/>
    <w:rsid w:val="0065109B"/>
    <w:rsid w:val="0065140E"/>
    <w:rsid w:val="006516D1"/>
    <w:rsid w:val="00651A4E"/>
    <w:rsid w:val="00651F9A"/>
    <w:rsid w:val="00652022"/>
    <w:rsid w:val="00652DF3"/>
    <w:rsid w:val="00652E46"/>
    <w:rsid w:val="00653195"/>
    <w:rsid w:val="00653B58"/>
    <w:rsid w:val="00657814"/>
    <w:rsid w:val="00657816"/>
    <w:rsid w:val="00657E29"/>
    <w:rsid w:val="0066036B"/>
    <w:rsid w:val="00660E02"/>
    <w:rsid w:val="00660E15"/>
    <w:rsid w:val="006611B6"/>
    <w:rsid w:val="00662322"/>
    <w:rsid w:val="00662972"/>
    <w:rsid w:val="00662F76"/>
    <w:rsid w:val="00663A0A"/>
    <w:rsid w:val="00663B35"/>
    <w:rsid w:val="006645FA"/>
    <w:rsid w:val="00664F7E"/>
    <w:rsid w:val="006654FA"/>
    <w:rsid w:val="00665584"/>
    <w:rsid w:val="006670AB"/>
    <w:rsid w:val="006675E5"/>
    <w:rsid w:val="0067020E"/>
    <w:rsid w:val="0067080B"/>
    <w:rsid w:val="00670A8B"/>
    <w:rsid w:val="00671AF3"/>
    <w:rsid w:val="00672F11"/>
    <w:rsid w:val="00674846"/>
    <w:rsid w:val="00675177"/>
    <w:rsid w:val="006752B6"/>
    <w:rsid w:val="00676161"/>
    <w:rsid w:val="00676275"/>
    <w:rsid w:val="00676BE8"/>
    <w:rsid w:val="00677244"/>
    <w:rsid w:val="006774B2"/>
    <w:rsid w:val="00677633"/>
    <w:rsid w:val="00677848"/>
    <w:rsid w:val="00680A62"/>
    <w:rsid w:val="00680B73"/>
    <w:rsid w:val="0068213C"/>
    <w:rsid w:val="00682C52"/>
    <w:rsid w:val="00684FFB"/>
    <w:rsid w:val="00685EEF"/>
    <w:rsid w:val="006862C9"/>
    <w:rsid w:val="00686E4E"/>
    <w:rsid w:val="00687746"/>
    <w:rsid w:val="00687F88"/>
    <w:rsid w:val="006905B3"/>
    <w:rsid w:val="00691EBF"/>
    <w:rsid w:val="0069203A"/>
    <w:rsid w:val="00692344"/>
    <w:rsid w:val="00692A03"/>
    <w:rsid w:val="00692A37"/>
    <w:rsid w:val="00692FB7"/>
    <w:rsid w:val="0069330A"/>
    <w:rsid w:val="00693582"/>
    <w:rsid w:val="006936E6"/>
    <w:rsid w:val="00693800"/>
    <w:rsid w:val="006938CB"/>
    <w:rsid w:val="00693C69"/>
    <w:rsid w:val="0069423B"/>
    <w:rsid w:val="006949F4"/>
    <w:rsid w:val="00696400"/>
    <w:rsid w:val="006970C2"/>
    <w:rsid w:val="00697E47"/>
    <w:rsid w:val="006A177F"/>
    <w:rsid w:val="006A1825"/>
    <w:rsid w:val="006A2214"/>
    <w:rsid w:val="006A2A7E"/>
    <w:rsid w:val="006A3270"/>
    <w:rsid w:val="006A44EF"/>
    <w:rsid w:val="006A4F80"/>
    <w:rsid w:val="006A5038"/>
    <w:rsid w:val="006A5124"/>
    <w:rsid w:val="006A5185"/>
    <w:rsid w:val="006A540B"/>
    <w:rsid w:val="006A5994"/>
    <w:rsid w:val="006A6A1F"/>
    <w:rsid w:val="006A74B4"/>
    <w:rsid w:val="006A74E6"/>
    <w:rsid w:val="006A7982"/>
    <w:rsid w:val="006B0CBB"/>
    <w:rsid w:val="006B0D38"/>
    <w:rsid w:val="006B1422"/>
    <w:rsid w:val="006B1AA2"/>
    <w:rsid w:val="006B1B81"/>
    <w:rsid w:val="006B31A2"/>
    <w:rsid w:val="006B36C7"/>
    <w:rsid w:val="006B4A7D"/>
    <w:rsid w:val="006B4AF5"/>
    <w:rsid w:val="006B526E"/>
    <w:rsid w:val="006C025F"/>
    <w:rsid w:val="006C258A"/>
    <w:rsid w:val="006C2C9B"/>
    <w:rsid w:val="006C2D72"/>
    <w:rsid w:val="006C39D2"/>
    <w:rsid w:val="006C3C29"/>
    <w:rsid w:val="006C4DEB"/>
    <w:rsid w:val="006C4F40"/>
    <w:rsid w:val="006C5B8A"/>
    <w:rsid w:val="006C65F2"/>
    <w:rsid w:val="006C674C"/>
    <w:rsid w:val="006C6BE8"/>
    <w:rsid w:val="006C6D83"/>
    <w:rsid w:val="006C716B"/>
    <w:rsid w:val="006C7E26"/>
    <w:rsid w:val="006D0288"/>
    <w:rsid w:val="006D038C"/>
    <w:rsid w:val="006D2F66"/>
    <w:rsid w:val="006D36DC"/>
    <w:rsid w:val="006D373A"/>
    <w:rsid w:val="006D38A0"/>
    <w:rsid w:val="006D3EBD"/>
    <w:rsid w:val="006D40C2"/>
    <w:rsid w:val="006D487D"/>
    <w:rsid w:val="006D4C09"/>
    <w:rsid w:val="006D52F0"/>
    <w:rsid w:val="006D55B0"/>
    <w:rsid w:val="006D584B"/>
    <w:rsid w:val="006D6A70"/>
    <w:rsid w:val="006D6B78"/>
    <w:rsid w:val="006D7F26"/>
    <w:rsid w:val="006E0955"/>
    <w:rsid w:val="006E1ADA"/>
    <w:rsid w:val="006E2AAE"/>
    <w:rsid w:val="006E3AF9"/>
    <w:rsid w:val="006E3D44"/>
    <w:rsid w:val="006E3EE4"/>
    <w:rsid w:val="006E4C21"/>
    <w:rsid w:val="006E4E57"/>
    <w:rsid w:val="006E5D54"/>
    <w:rsid w:val="006E6ED9"/>
    <w:rsid w:val="006E7ABE"/>
    <w:rsid w:val="006F08F8"/>
    <w:rsid w:val="006F0EE4"/>
    <w:rsid w:val="006F0FB2"/>
    <w:rsid w:val="006F1C70"/>
    <w:rsid w:val="006F2E53"/>
    <w:rsid w:val="006F333B"/>
    <w:rsid w:val="006F496D"/>
    <w:rsid w:val="006F4DE7"/>
    <w:rsid w:val="006F5120"/>
    <w:rsid w:val="006F56FC"/>
    <w:rsid w:val="006F5A63"/>
    <w:rsid w:val="006F5B3D"/>
    <w:rsid w:val="006F605D"/>
    <w:rsid w:val="006F6408"/>
    <w:rsid w:val="006F6E6D"/>
    <w:rsid w:val="006F71F9"/>
    <w:rsid w:val="006F7547"/>
    <w:rsid w:val="00701690"/>
    <w:rsid w:val="007017AE"/>
    <w:rsid w:val="00701915"/>
    <w:rsid w:val="00702082"/>
    <w:rsid w:val="00702D6E"/>
    <w:rsid w:val="00703ABE"/>
    <w:rsid w:val="007056B6"/>
    <w:rsid w:val="00705C11"/>
    <w:rsid w:val="007061AA"/>
    <w:rsid w:val="00707553"/>
    <w:rsid w:val="0070788C"/>
    <w:rsid w:val="00712D09"/>
    <w:rsid w:val="00712EFF"/>
    <w:rsid w:val="007134C9"/>
    <w:rsid w:val="00713644"/>
    <w:rsid w:val="007137C1"/>
    <w:rsid w:val="007138CF"/>
    <w:rsid w:val="00713B1C"/>
    <w:rsid w:val="00714E22"/>
    <w:rsid w:val="007155B4"/>
    <w:rsid w:val="00715ABD"/>
    <w:rsid w:val="007166AB"/>
    <w:rsid w:val="00716A1F"/>
    <w:rsid w:val="00716A74"/>
    <w:rsid w:val="00716D37"/>
    <w:rsid w:val="007177BC"/>
    <w:rsid w:val="0071794E"/>
    <w:rsid w:val="007205FB"/>
    <w:rsid w:val="00721CE9"/>
    <w:rsid w:val="00722673"/>
    <w:rsid w:val="00723F79"/>
    <w:rsid w:val="0072415D"/>
    <w:rsid w:val="007241F1"/>
    <w:rsid w:val="007243F1"/>
    <w:rsid w:val="007254B0"/>
    <w:rsid w:val="007257C8"/>
    <w:rsid w:val="00725DCA"/>
    <w:rsid w:val="00726F4F"/>
    <w:rsid w:val="00727D1D"/>
    <w:rsid w:val="00727FA3"/>
    <w:rsid w:val="007304E0"/>
    <w:rsid w:val="007307BF"/>
    <w:rsid w:val="00731A4E"/>
    <w:rsid w:val="00734181"/>
    <w:rsid w:val="00734BF0"/>
    <w:rsid w:val="007351D6"/>
    <w:rsid w:val="00735813"/>
    <w:rsid w:val="0073638D"/>
    <w:rsid w:val="00736616"/>
    <w:rsid w:val="00736717"/>
    <w:rsid w:val="007378B7"/>
    <w:rsid w:val="00740BC9"/>
    <w:rsid w:val="00741010"/>
    <w:rsid w:val="00741A05"/>
    <w:rsid w:val="007461DD"/>
    <w:rsid w:val="00746593"/>
    <w:rsid w:val="00746A63"/>
    <w:rsid w:val="00747125"/>
    <w:rsid w:val="0074715D"/>
    <w:rsid w:val="00747C79"/>
    <w:rsid w:val="007509EF"/>
    <w:rsid w:val="00751CD9"/>
    <w:rsid w:val="00751D84"/>
    <w:rsid w:val="00751E00"/>
    <w:rsid w:val="007523EC"/>
    <w:rsid w:val="00752AA4"/>
    <w:rsid w:val="007534B4"/>
    <w:rsid w:val="00753599"/>
    <w:rsid w:val="007536AC"/>
    <w:rsid w:val="00753841"/>
    <w:rsid w:val="007539A9"/>
    <w:rsid w:val="00753B46"/>
    <w:rsid w:val="007546D4"/>
    <w:rsid w:val="007546F3"/>
    <w:rsid w:val="00754D4D"/>
    <w:rsid w:val="00756E9B"/>
    <w:rsid w:val="007574F1"/>
    <w:rsid w:val="00757641"/>
    <w:rsid w:val="007606FE"/>
    <w:rsid w:val="007608DF"/>
    <w:rsid w:val="00760B79"/>
    <w:rsid w:val="00761028"/>
    <w:rsid w:val="00762109"/>
    <w:rsid w:val="00762502"/>
    <w:rsid w:val="007628E4"/>
    <w:rsid w:val="00762E41"/>
    <w:rsid w:val="00762EF0"/>
    <w:rsid w:val="00763B8B"/>
    <w:rsid w:val="00765007"/>
    <w:rsid w:val="00765BD0"/>
    <w:rsid w:val="00765C43"/>
    <w:rsid w:val="00765C58"/>
    <w:rsid w:val="00765F86"/>
    <w:rsid w:val="00766B30"/>
    <w:rsid w:val="007674E2"/>
    <w:rsid w:val="007675D8"/>
    <w:rsid w:val="007715ED"/>
    <w:rsid w:val="007716B1"/>
    <w:rsid w:val="00772AEC"/>
    <w:rsid w:val="00773B72"/>
    <w:rsid w:val="0077522A"/>
    <w:rsid w:val="00775248"/>
    <w:rsid w:val="007758D1"/>
    <w:rsid w:val="00775FC0"/>
    <w:rsid w:val="00777DA5"/>
    <w:rsid w:val="007802B9"/>
    <w:rsid w:val="007806AB"/>
    <w:rsid w:val="007807F4"/>
    <w:rsid w:val="00780EEA"/>
    <w:rsid w:val="0078184B"/>
    <w:rsid w:val="00781DAD"/>
    <w:rsid w:val="00783ABA"/>
    <w:rsid w:val="00784029"/>
    <w:rsid w:val="0078619F"/>
    <w:rsid w:val="00786F4A"/>
    <w:rsid w:val="007901D3"/>
    <w:rsid w:val="007923ED"/>
    <w:rsid w:val="007930D5"/>
    <w:rsid w:val="00793254"/>
    <w:rsid w:val="00793485"/>
    <w:rsid w:val="0079352D"/>
    <w:rsid w:val="007946F9"/>
    <w:rsid w:val="00794F51"/>
    <w:rsid w:val="007955EB"/>
    <w:rsid w:val="0079599D"/>
    <w:rsid w:val="00795EA0"/>
    <w:rsid w:val="00797AE6"/>
    <w:rsid w:val="00797BCC"/>
    <w:rsid w:val="007A02FB"/>
    <w:rsid w:val="007A03BA"/>
    <w:rsid w:val="007A120C"/>
    <w:rsid w:val="007A127B"/>
    <w:rsid w:val="007A1CD4"/>
    <w:rsid w:val="007A2EE0"/>
    <w:rsid w:val="007A3098"/>
    <w:rsid w:val="007A30F7"/>
    <w:rsid w:val="007A3429"/>
    <w:rsid w:val="007A5168"/>
    <w:rsid w:val="007A5A36"/>
    <w:rsid w:val="007A697E"/>
    <w:rsid w:val="007B05DE"/>
    <w:rsid w:val="007B1373"/>
    <w:rsid w:val="007B1EC1"/>
    <w:rsid w:val="007B2ABD"/>
    <w:rsid w:val="007B3020"/>
    <w:rsid w:val="007B4185"/>
    <w:rsid w:val="007B5D85"/>
    <w:rsid w:val="007B5EB6"/>
    <w:rsid w:val="007B632A"/>
    <w:rsid w:val="007B6A42"/>
    <w:rsid w:val="007B6DF7"/>
    <w:rsid w:val="007B75F8"/>
    <w:rsid w:val="007B7AEB"/>
    <w:rsid w:val="007C011A"/>
    <w:rsid w:val="007C0565"/>
    <w:rsid w:val="007C0C4F"/>
    <w:rsid w:val="007C1131"/>
    <w:rsid w:val="007C2F24"/>
    <w:rsid w:val="007C2FDB"/>
    <w:rsid w:val="007C3247"/>
    <w:rsid w:val="007C3575"/>
    <w:rsid w:val="007C5338"/>
    <w:rsid w:val="007C5860"/>
    <w:rsid w:val="007C6F4B"/>
    <w:rsid w:val="007C71CA"/>
    <w:rsid w:val="007D017B"/>
    <w:rsid w:val="007D064B"/>
    <w:rsid w:val="007D0CE8"/>
    <w:rsid w:val="007D1753"/>
    <w:rsid w:val="007D5117"/>
    <w:rsid w:val="007D65E3"/>
    <w:rsid w:val="007D6C79"/>
    <w:rsid w:val="007D7C5C"/>
    <w:rsid w:val="007E1773"/>
    <w:rsid w:val="007E1946"/>
    <w:rsid w:val="007E1C3A"/>
    <w:rsid w:val="007E243E"/>
    <w:rsid w:val="007E2607"/>
    <w:rsid w:val="007E26BA"/>
    <w:rsid w:val="007E51C5"/>
    <w:rsid w:val="007E5271"/>
    <w:rsid w:val="007E58F1"/>
    <w:rsid w:val="007E600C"/>
    <w:rsid w:val="007E6125"/>
    <w:rsid w:val="007E6CD7"/>
    <w:rsid w:val="007E6EE5"/>
    <w:rsid w:val="007E782F"/>
    <w:rsid w:val="007F0283"/>
    <w:rsid w:val="007F0432"/>
    <w:rsid w:val="007F05F1"/>
    <w:rsid w:val="007F0C08"/>
    <w:rsid w:val="007F107D"/>
    <w:rsid w:val="007F1D34"/>
    <w:rsid w:val="007F1E9A"/>
    <w:rsid w:val="007F2179"/>
    <w:rsid w:val="007F3061"/>
    <w:rsid w:val="007F3836"/>
    <w:rsid w:val="007F3A80"/>
    <w:rsid w:val="007F4C8E"/>
    <w:rsid w:val="007F4D4F"/>
    <w:rsid w:val="007F513F"/>
    <w:rsid w:val="007F7045"/>
    <w:rsid w:val="007F71E6"/>
    <w:rsid w:val="00801928"/>
    <w:rsid w:val="00801CA7"/>
    <w:rsid w:val="00801D3F"/>
    <w:rsid w:val="00801E6A"/>
    <w:rsid w:val="00802B44"/>
    <w:rsid w:val="00802F5F"/>
    <w:rsid w:val="0080341C"/>
    <w:rsid w:val="008039A2"/>
    <w:rsid w:val="0080485B"/>
    <w:rsid w:val="0080545A"/>
    <w:rsid w:val="008054FA"/>
    <w:rsid w:val="008056F8"/>
    <w:rsid w:val="00805A11"/>
    <w:rsid w:val="00805C40"/>
    <w:rsid w:val="00806841"/>
    <w:rsid w:val="00806F4A"/>
    <w:rsid w:val="00807330"/>
    <w:rsid w:val="00807555"/>
    <w:rsid w:val="008103C9"/>
    <w:rsid w:val="00810A03"/>
    <w:rsid w:val="0081117D"/>
    <w:rsid w:val="0081120D"/>
    <w:rsid w:val="008112BB"/>
    <w:rsid w:val="00811307"/>
    <w:rsid w:val="00812322"/>
    <w:rsid w:val="00813F17"/>
    <w:rsid w:val="00814EF7"/>
    <w:rsid w:val="00815219"/>
    <w:rsid w:val="00816200"/>
    <w:rsid w:val="0081626B"/>
    <w:rsid w:val="008165F8"/>
    <w:rsid w:val="008169BD"/>
    <w:rsid w:val="00816AEE"/>
    <w:rsid w:val="00816B72"/>
    <w:rsid w:val="00816CF5"/>
    <w:rsid w:val="00820306"/>
    <w:rsid w:val="0082209F"/>
    <w:rsid w:val="0082263D"/>
    <w:rsid w:val="0082267F"/>
    <w:rsid w:val="0082274A"/>
    <w:rsid w:val="00822F6F"/>
    <w:rsid w:val="00822FBD"/>
    <w:rsid w:val="008232E8"/>
    <w:rsid w:val="00824390"/>
    <w:rsid w:val="0082732B"/>
    <w:rsid w:val="008273E3"/>
    <w:rsid w:val="00827C78"/>
    <w:rsid w:val="008308FB"/>
    <w:rsid w:val="008315B5"/>
    <w:rsid w:val="00831CE0"/>
    <w:rsid w:val="00832F40"/>
    <w:rsid w:val="008331AC"/>
    <w:rsid w:val="00833F56"/>
    <w:rsid w:val="0083402A"/>
    <w:rsid w:val="0083423A"/>
    <w:rsid w:val="00834AB9"/>
    <w:rsid w:val="00834E1D"/>
    <w:rsid w:val="008356FF"/>
    <w:rsid w:val="00835E80"/>
    <w:rsid w:val="0083604A"/>
    <w:rsid w:val="0083682D"/>
    <w:rsid w:val="008370A6"/>
    <w:rsid w:val="00840669"/>
    <w:rsid w:val="00840B4F"/>
    <w:rsid w:val="00840E36"/>
    <w:rsid w:val="00840E7F"/>
    <w:rsid w:val="00841131"/>
    <w:rsid w:val="008415B2"/>
    <w:rsid w:val="00841F29"/>
    <w:rsid w:val="008425E5"/>
    <w:rsid w:val="008436F2"/>
    <w:rsid w:val="00844409"/>
    <w:rsid w:val="00844441"/>
    <w:rsid w:val="00844A95"/>
    <w:rsid w:val="00845947"/>
    <w:rsid w:val="00845E64"/>
    <w:rsid w:val="008462F0"/>
    <w:rsid w:val="00846A0A"/>
    <w:rsid w:val="00847783"/>
    <w:rsid w:val="0085122F"/>
    <w:rsid w:val="0085208A"/>
    <w:rsid w:val="008520DE"/>
    <w:rsid w:val="00852181"/>
    <w:rsid w:val="0085234B"/>
    <w:rsid w:val="00854044"/>
    <w:rsid w:val="00854172"/>
    <w:rsid w:val="00855DDC"/>
    <w:rsid w:val="00856211"/>
    <w:rsid w:val="008566B8"/>
    <w:rsid w:val="008568D0"/>
    <w:rsid w:val="00856AF1"/>
    <w:rsid w:val="00857063"/>
    <w:rsid w:val="00857C00"/>
    <w:rsid w:val="008641E7"/>
    <w:rsid w:val="00864F89"/>
    <w:rsid w:val="00865386"/>
    <w:rsid w:val="00866C52"/>
    <w:rsid w:val="00871040"/>
    <w:rsid w:val="00871F92"/>
    <w:rsid w:val="00872141"/>
    <w:rsid w:val="0087245F"/>
    <w:rsid w:val="00873378"/>
    <w:rsid w:val="00873A01"/>
    <w:rsid w:val="00873D4D"/>
    <w:rsid w:val="008744E8"/>
    <w:rsid w:val="008747D4"/>
    <w:rsid w:val="00874F3A"/>
    <w:rsid w:val="00875666"/>
    <w:rsid w:val="008777E8"/>
    <w:rsid w:val="00877DD9"/>
    <w:rsid w:val="008800B2"/>
    <w:rsid w:val="00880393"/>
    <w:rsid w:val="008806F1"/>
    <w:rsid w:val="00880A9A"/>
    <w:rsid w:val="008810B9"/>
    <w:rsid w:val="0088224A"/>
    <w:rsid w:val="00882C22"/>
    <w:rsid w:val="008830F9"/>
    <w:rsid w:val="00883BC1"/>
    <w:rsid w:val="00883FF2"/>
    <w:rsid w:val="008842AF"/>
    <w:rsid w:val="00884BC9"/>
    <w:rsid w:val="00884C0F"/>
    <w:rsid w:val="008851AD"/>
    <w:rsid w:val="008851B3"/>
    <w:rsid w:val="008858E6"/>
    <w:rsid w:val="00885A93"/>
    <w:rsid w:val="00886C67"/>
    <w:rsid w:val="00886E27"/>
    <w:rsid w:val="00890BB6"/>
    <w:rsid w:val="00890DEC"/>
    <w:rsid w:val="00890FB9"/>
    <w:rsid w:val="00891257"/>
    <w:rsid w:val="00891456"/>
    <w:rsid w:val="008918D8"/>
    <w:rsid w:val="00892AE3"/>
    <w:rsid w:val="00893D0F"/>
    <w:rsid w:val="00893E0C"/>
    <w:rsid w:val="008945E6"/>
    <w:rsid w:val="00895613"/>
    <w:rsid w:val="0089571C"/>
    <w:rsid w:val="00895842"/>
    <w:rsid w:val="008958BA"/>
    <w:rsid w:val="0089610B"/>
    <w:rsid w:val="00896887"/>
    <w:rsid w:val="008969F3"/>
    <w:rsid w:val="00896BA5"/>
    <w:rsid w:val="00896BAA"/>
    <w:rsid w:val="00896EE7"/>
    <w:rsid w:val="0089758C"/>
    <w:rsid w:val="00897835"/>
    <w:rsid w:val="00897ECC"/>
    <w:rsid w:val="008A0700"/>
    <w:rsid w:val="008A0B37"/>
    <w:rsid w:val="008A11E8"/>
    <w:rsid w:val="008A11FE"/>
    <w:rsid w:val="008A23CE"/>
    <w:rsid w:val="008A26B3"/>
    <w:rsid w:val="008A2A33"/>
    <w:rsid w:val="008A2C7F"/>
    <w:rsid w:val="008A4562"/>
    <w:rsid w:val="008A489A"/>
    <w:rsid w:val="008A4A13"/>
    <w:rsid w:val="008A4F2D"/>
    <w:rsid w:val="008A5892"/>
    <w:rsid w:val="008A59A5"/>
    <w:rsid w:val="008A5B7D"/>
    <w:rsid w:val="008A6778"/>
    <w:rsid w:val="008A7761"/>
    <w:rsid w:val="008B08AD"/>
    <w:rsid w:val="008B17C4"/>
    <w:rsid w:val="008B1C51"/>
    <w:rsid w:val="008B1E90"/>
    <w:rsid w:val="008B2392"/>
    <w:rsid w:val="008B2648"/>
    <w:rsid w:val="008B30BF"/>
    <w:rsid w:val="008B333F"/>
    <w:rsid w:val="008B376E"/>
    <w:rsid w:val="008B4B63"/>
    <w:rsid w:val="008B594D"/>
    <w:rsid w:val="008B5CA9"/>
    <w:rsid w:val="008B66EB"/>
    <w:rsid w:val="008B672D"/>
    <w:rsid w:val="008B6A92"/>
    <w:rsid w:val="008B6E55"/>
    <w:rsid w:val="008B6ED9"/>
    <w:rsid w:val="008C04C0"/>
    <w:rsid w:val="008C071A"/>
    <w:rsid w:val="008C209E"/>
    <w:rsid w:val="008C29E6"/>
    <w:rsid w:val="008C2B2E"/>
    <w:rsid w:val="008C2E3D"/>
    <w:rsid w:val="008C30D8"/>
    <w:rsid w:val="008C311C"/>
    <w:rsid w:val="008C3916"/>
    <w:rsid w:val="008C40E4"/>
    <w:rsid w:val="008C4235"/>
    <w:rsid w:val="008C4A00"/>
    <w:rsid w:val="008C4AE7"/>
    <w:rsid w:val="008C4C49"/>
    <w:rsid w:val="008C4E8A"/>
    <w:rsid w:val="008C4FC8"/>
    <w:rsid w:val="008C505C"/>
    <w:rsid w:val="008C5194"/>
    <w:rsid w:val="008C5B5B"/>
    <w:rsid w:val="008C5EEA"/>
    <w:rsid w:val="008C6067"/>
    <w:rsid w:val="008C6E2A"/>
    <w:rsid w:val="008D124C"/>
    <w:rsid w:val="008D227E"/>
    <w:rsid w:val="008D2BA1"/>
    <w:rsid w:val="008D355A"/>
    <w:rsid w:val="008D4A23"/>
    <w:rsid w:val="008D6E36"/>
    <w:rsid w:val="008D7A29"/>
    <w:rsid w:val="008E0B07"/>
    <w:rsid w:val="008E3C74"/>
    <w:rsid w:val="008E4059"/>
    <w:rsid w:val="008E40C6"/>
    <w:rsid w:val="008E4BB2"/>
    <w:rsid w:val="008E63DD"/>
    <w:rsid w:val="008E6639"/>
    <w:rsid w:val="008E7582"/>
    <w:rsid w:val="008E7E88"/>
    <w:rsid w:val="008E7FD5"/>
    <w:rsid w:val="008F06F9"/>
    <w:rsid w:val="008F091B"/>
    <w:rsid w:val="008F0DC6"/>
    <w:rsid w:val="008F3C86"/>
    <w:rsid w:val="008F3FB7"/>
    <w:rsid w:val="008F45E1"/>
    <w:rsid w:val="008F4A4E"/>
    <w:rsid w:val="008F4EF3"/>
    <w:rsid w:val="008F69B4"/>
    <w:rsid w:val="008F7294"/>
    <w:rsid w:val="009002B1"/>
    <w:rsid w:val="00901359"/>
    <w:rsid w:val="00901758"/>
    <w:rsid w:val="0090180A"/>
    <w:rsid w:val="00902E8F"/>
    <w:rsid w:val="00902F1D"/>
    <w:rsid w:val="0090339B"/>
    <w:rsid w:val="00903CCF"/>
    <w:rsid w:val="00903F5C"/>
    <w:rsid w:val="00903F81"/>
    <w:rsid w:val="0090405B"/>
    <w:rsid w:val="00904A7C"/>
    <w:rsid w:val="00904E48"/>
    <w:rsid w:val="009053B6"/>
    <w:rsid w:val="009055E8"/>
    <w:rsid w:val="009057B1"/>
    <w:rsid w:val="00905A37"/>
    <w:rsid w:val="00906678"/>
    <w:rsid w:val="00906B98"/>
    <w:rsid w:val="00906C68"/>
    <w:rsid w:val="009073B0"/>
    <w:rsid w:val="009101C0"/>
    <w:rsid w:val="00910F41"/>
    <w:rsid w:val="00912D91"/>
    <w:rsid w:val="00912DDC"/>
    <w:rsid w:val="00912F20"/>
    <w:rsid w:val="00912F7C"/>
    <w:rsid w:val="009139A7"/>
    <w:rsid w:val="0091424B"/>
    <w:rsid w:val="009146C4"/>
    <w:rsid w:val="00914D67"/>
    <w:rsid w:val="00915165"/>
    <w:rsid w:val="00915178"/>
    <w:rsid w:val="00915615"/>
    <w:rsid w:val="00915782"/>
    <w:rsid w:val="00917008"/>
    <w:rsid w:val="009179DA"/>
    <w:rsid w:val="0092037A"/>
    <w:rsid w:val="00922278"/>
    <w:rsid w:val="00923A29"/>
    <w:rsid w:val="00923FC1"/>
    <w:rsid w:val="0092548C"/>
    <w:rsid w:val="00925E01"/>
    <w:rsid w:val="00930548"/>
    <w:rsid w:val="009306AB"/>
    <w:rsid w:val="00930F38"/>
    <w:rsid w:val="00933360"/>
    <w:rsid w:val="00933A29"/>
    <w:rsid w:val="009353E8"/>
    <w:rsid w:val="009357B1"/>
    <w:rsid w:val="00935E8F"/>
    <w:rsid w:val="0093787C"/>
    <w:rsid w:val="00937BCD"/>
    <w:rsid w:val="009404CE"/>
    <w:rsid w:val="00941261"/>
    <w:rsid w:val="00941A03"/>
    <w:rsid w:val="00943444"/>
    <w:rsid w:val="00943940"/>
    <w:rsid w:val="00944B92"/>
    <w:rsid w:val="00944FC5"/>
    <w:rsid w:val="009451D4"/>
    <w:rsid w:val="009463CF"/>
    <w:rsid w:val="00946E4D"/>
    <w:rsid w:val="009473FB"/>
    <w:rsid w:val="00947533"/>
    <w:rsid w:val="00947AE6"/>
    <w:rsid w:val="00950059"/>
    <w:rsid w:val="0095075C"/>
    <w:rsid w:val="00951945"/>
    <w:rsid w:val="00951F84"/>
    <w:rsid w:val="00953268"/>
    <w:rsid w:val="009532C7"/>
    <w:rsid w:val="009534AF"/>
    <w:rsid w:val="00954C53"/>
    <w:rsid w:val="00954CDC"/>
    <w:rsid w:val="00955361"/>
    <w:rsid w:val="00956079"/>
    <w:rsid w:val="00956289"/>
    <w:rsid w:val="00956490"/>
    <w:rsid w:val="009567DF"/>
    <w:rsid w:val="00956EAC"/>
    <w:rsid w:val="00957AEC"/>
    <w:rsid w:val="009603E4"/>
    <w:rsid w:val="0096060B"/>
    <w:rsid w:val="009613B8"/>
    <w:rsid w:val="00962D83"/>
    <w:rsid w:val="00962E6C"/>
    <w:rsid w:val="009640AC"/>
    <w:rsid w:val="009644AF"/>
    <w:rsid w:val="00964680"/>
    <w:rsid w:val="009646CC"/>
    <w:rsid w:val="00965D41"/>
    <w:rsid w:val="00966CAA"/>
    <w:rsid w:val="0097126A"/>
    <w:rsid w:val="00971829"/>
    <w:rsid w:val="009719A5"/>
    <w:rsid w:val="00971E86"/>
    <w:rsid w:val="00972039"/>
    <w:rsid w:val="00972066"/>
    <w:rsid w:val="009725F0"/>
    <w:rsid w:val="00972E22"/>
    <w:rsid w:val="00972E35"/>
    <w:rsid w:val="00974104"/>
    <w:rsid w:val="00974199"/>
    <w:rsid w:val="00974462"/>
    <w:rsid w:val="00974DC0"/>
    <w:rsid w:val="0097526A"/>
    <w:rsid w:val="00975993"/>
    <w:rsid w:val="0097675E"/>
    <w:rsid w:val="00976B05"/>
    <w:rsid w:val="00977BCD"/>
    <w:rsid w:val="00980266"/>
    <w:rsid w:val="00980899"/>
    <w:rsid w:val="009817FF"/>
    <w:rsid w:val="009818C3"/>
    <w:rsid w:val="009819DA"/>
    <w:rsid w:val="009819ED"/>
    <w:rsid w:val="0098268F"/>
    <w:rsid w:val="0098306C"/>
    <w:rsid w:val="009832F4"/>
    <w:rsid w:val="00983D66"/>
    <w:rsid w:val="00984465"/>
    <w:rsid w:val="0098477C"/>
    <w:rsid w:val="00984CBE"/>
    <w:rsid w:val="00984E2D"/>
    <w:rsid w:val="00984E9D"/>
    <w:rsid w:val="009850AA"/>
    <w:rsid w:val="009852C5"/>
    <w:rsid w:val="00985778"/>
    <w:rsid w:val="00985888"/>
    <w:rsid w:val="0098649E"/>
    <w:rsid w:val="00986516"/>
    <w:rsid w:val="00986F28"/>
    <w:rsid w:val="00987174"/>
    <w:rsid w:val="00990BCE"/>
    <w:rsid w:val="00990D6A"/>
    <w:rsid w:val="00991243"/>
    <w:rsid w:val="0099291C"/>
    <w:rsid w:val="009933EC"/>
    <w:rsid w:val="009935AE"/>
    <w:rsid w:val="00993957"/>
    <w:rsid w:val="0099422F"/>
    <w:rsid w:val="00994FEC"/>
    <w:rsid w:val="0099510C"/>
    <w:rsid w:val="009951F9"/>
    <w:rsid w:val="00995727"/>
    <w:rsid w:val="009965AD"/>
    <w:rsid w:val="00997870"/>
    <w:rsid w:val="00997B98"/>
    <w:rsid w:val="00997EF8"/>
    <w:rsid w:val="009A0367"/>
    <w:rsid w:val="009A061B"/>
    <w:rsid w:val="009A1A64"/>
    <w:rsid w:val="009A2248"/>
    <w:rsid w:val="009A3B1D"/>
    <w:rsid w:val="009A4205"/>
    <w:rsid w:val="009A4899"/>
    <w:rsid w:val="009A48D8"/>
    <w:rsid w:val="009A4D66"/>
    <w:rsid w:val="009A70FF"/>
    <w:rsid w:val="009A76DC"/>
    <w:rsid w:val="009A794B"/>
    <w:rsid w:val="009A7965"/>
    <w:rsid w:val="009A7BC5"/>
    <w:rsid w:val="009B09C6"/>
    <w:rsid w:val="009B1569"/>
    <w:rsid w:val="009B16FB"/>
    <w:rsid w:val="009B1E9C"/>
    <w:rsid w:val="009B2BF2"/>
    <w:rsid w:val="009B3BA4"/>
    <w:rsid w:val="009B43D6"/>
    <w:rsid w:val="009B4D88"/>
    <w:rsid w:val="009B50E8"/>
    <w:rsid w:val="009B6014"/>
    <w:rsid w:val="009B6866"/>
    <w:rsid w:val="009B6C3C"/>
    <w:rsid w:val="009B7640"/>
    <w:rsid w:val="009B7B06"/>
    <w:rsid w:val="009B7B8D"/>
    <w:rsid w:val="009B7BC6"/>
    <w:rsid w:val="009B7F65"/>
    <w:rsid w:val="009C06E7"/>
    <w:rsid w:val="009C1126"/>
    <w:rsid w:val="009C1A92"/>
    <w:rsid w:val="009C2F57"/>
    <w:rsid w:val="009C39E0"/>
    <w:rsid w:val="009C4CF8"/>
    <w:rsid w:val="009C4DEA"/>
    <w:rsid w:val="009C50AD"/>
    <w:rsid w:val="009C681A"/>
    <w:rsid w:val="009C77FC"/>
    <w:rsid w:val="009C79A5"/>
    <w:rsid w:val="009C7A70"/>
    <w:rsid w:val="009D0101"/>
    <w:rsid w:val="009D0507"/>
    <w:rsid w:val="009D0E70"/>
    <w:rsid w:val="009D1B44"/>
    <w:rsid w:val="009D1FF7"/>
    <w:rsid w:val="009D24A9"/>
    <w:rsid w:val="009D25D9"/>
    <w:rsid w:val="009D25DC"/>
    <w:rsid w:val="009D30A0"/>
    <w:rsid w:val="009D33FF"/>
    <w:rsid w:val="009D38B8"/>
    <w:rsid w:val="009D4D41"/>
    <w:rsid w:val="009D4F45"/>
    <w:rsid w:val="009D5AB6"/>
    <w:rsid w:val="009D733B"/>
    <w:rsid w:val="009D758C"/>
    <w:rsid w:val="009D77DE"/>
    <w:rsid w:val="009D7937"/>
    <w:rsid w:val="009E0150"/>
    <w:rsid w:val="009E03A3"/>
    <w:rsid w:val="009E05CC"/>
    <w:rsid w:val="009E0A8A"/>
    <w:rsid w:val="009E1EEE"/>
    <w:rsid w:val="009E2A6C"/>
    <w:rsid w:val="009E2DFA"/>
    <w:rsid w:val="009E2F1B"/>
    <w:rsid w:val="009E3D9F"/>
    <w:rsid w:val="009E484C"/>
    <w:rsid w:val="009E51DA"/>
    <w:rsid w:val="009E5567"/>
    <w:rsid w:val="009E59B6"/>
    <w:rsid w:val="009E5B86"/>
    <w:rsid w:val="009E6300"/>
    <w:rsid w:val="009E7360"/>
    <w:rsid w:val="009F034C"/>
    <w:rsid w:val="009F09B2"/>
    <w:rsid w:val="009F116C"/>
    <w:rsid w:val="009F17EF"/>
    <w:rsid w:val="009F28D9"/>
    <w:rsid w:val="009F3299"/>
    <w:rsid w:val="009F3B25"/>
    <w:rsid w:val="009F534F"/>
    <w:rsid w:val="009F547D"/>
    <w:rsid w:val="009F74E2"/>
    <w:rsid w:val="009F7567"/>
    <w:rsid w:val="009F7958"/>
    <w:rsid w:val="00A000A2"/>
    <w:rsid w:val="00A007FD"/>
    <w:rsid w:val="00A0174D"/>
    <w:rsid w:val="00A01A24"/>
    <w:rsid w:val="00A01AB6"/>
    <w:rsid w:val="00A0238F"/>
    <w:rsid w:val="00A0326E"/>
    <w:rsid w:val="00A03E4B"/>
    <w:rsid w:val="00A04694"/>
    <w:rsid w:val="00A06D36"/>
    <w:rsid w:val="00A071CB"/>
    <w:rsid w:val="00A073A9"/>
    <w:rsid w:val="00A07C45"/>
    <w:rsid w:val="00A102CD"/>
    <w:rsid w:val="00A11F72"/>
    <w:rsid w:val="00A12241"/>
    <w:rsid w:val="00A167FE"/>
    <w:rsid w:val="00A168A3"/>
    <w:rsid w:val="00A16FF5"/>
    <w:rsid w:val="00A175C3"/>
    <w:rsid w:val="00A17803"/>
    <w:rsid w:val="00A2032F"/>
    <w:rsid w:val="00A2108E"/>
    <w:rsid w:val="00A215E4"/>
    <w:rsid w:val="00A21E31"/>
    <w:rsid w:val="00A22C56"/>
    <w:rsid w:val="00A23108"/>
    <w:rsid w:val="00A23CA3"/>
    <w:rsid w:val="00A23D7A"/>
    <w:rsid w:val="00A24184"/>
    <w:rsid w:val="00A241FD"/>
    <w:rsid w:val="00A2454B"/>
    <w:rsid w:val="00A256EC"/>
    <w:rsid w:val="00A2576C"/>
    <w:rsid w:val="00A261BE"/>
    <w:rsid w:val="00A27001"/>
    <w:rsid w:val="00A2728A"/>
    <w:rsid w:val="00A27602"/>
    <w:rsid w:val="00A30613"/>
    <w:rsid w:val="00A3134F"/>
    <w:rsid w:val="00A315C2"/>
    <w:rsid w:val="00A326F6"/>
    <w:rsid w:val="00A32815"/>
    <w:rsid w:val="00A33ABA"/>
    <w:rsid w:val="00A33B8C"/>
    <w:rsid w:val="00A34D0C"/>
    <w:rsid w:val="00A35F1D"/>
    <w:rsid w:val="00A36AD2"/>
    <w:rsid w:val="00A37219"/>
    <w:rsid w:val="00A41051"/>
    <w:rsid w:val="00A42E6F"/>
    <w:rsid w:val="00A43526"/>
    <w:rsid w:val="00A44496"/>
    <w:rsid w:val="00A44699"/>
    <w:rsid w:val="00A45A1A"/>
    <w:rsid w:val="00A45F77"/>
    <w:rsid w:val="00A46C05"/>
    <w:rsid w:val="00A50302"/>
    <w:rsid w:val="00A509D5"/>
    <w:rsid w:val="00A51DA4"/>
    <w:rsid w:val="00A5245D"/>
    <w:rsid w:val="00A52825"/>
    <w:rsid w:val="00A53922"/>
    <w:rsid w:val="00A53B45"/>
    <w:rsid w:val="00A560C6"/>
    <w:rsid w:val="00A56601"/>
    <w:rsid w:val="00A606D8"/>
    <w:rsid w:val="00A6090B"/>
    <w:rsid w:val="00A60C7F"/>
    <w:rsid w:val="00A6235C"/>
    <w:rsid w:val="00A62A76"/>
    <w:rsid w:val="00A643C5"/>
    <w:rsid w:val="00A64AAB"/>
    <w:rsid w:val="00A67A8B"/>
    <w:rsid w:val="00A67DEC"/>
    <w:rsid w:val="00A70923"/>
    <w:rsid w:val="00A71004"/>
    <w:rsid w:val="00A71043"/>
    <w:rsid w:val="00A71887"/>
    <w:rsid w:val="00A72CB1"/>
    <w:rsid w:val="00A72DBA"/>
    <w:rsid w:val="00A73470"/>
    <w:rsid w:val="00A735B4"/>
    <w:rsid w:val="00A73624"/>
    <w:rsid w:val="00A743C0"/>
    <w:rsid w:val="00A74FB0"/>
    <w:rsid w:val="00A764DF"/>
    <w:rsid w:val="00A766C6"/>
    <w:rsid w:val="00A7692E"/>
    <w:rsid w:val="00A76C03"/>
    <w:rsid w:val="00A779AF"/>
    <w:rsid w:val="00A803E4"/>
    <w:rsid w:val="00A80C91"/>
    <w:rsid w:val="00A81786"/>
    <w:rsid w:val="00A81BB9"/>
    <w:rsid w:val="00A81D6C"/>
    <w:rsid w:val="00A828DA"/>
    <w:rsid w:val="00A82923"/>
    <w:rsid w:val="00A84F6E"/>
    <w:rsid w:val="00A86D3D"/>
    <w:rsid w:val="00A872D1"/>
    <w:rsid w:val="00A87C0B"/>
    <w:rsid w:val="00A90188"/>
    <w:rsid w:val="00A90604"/>
    <w:rsid w:val="00A90AFB"/>
    <w:rsid w:val="00A90CA8"/>
    <w:rsid w:val="00A91344"/>
    <w:rsid w:val="00A91695"/>
    <w:rsid w:val="00A92EF8"/>
    <w:rsid w:val="00A933AA"/>
    <w:rsid w:val="00A935C9"/>
    <w:rsid w:val="00A9370B"/>
    <w:rsid w:val="00A93762"/>
    <w:rsid w:val="00A9390F"/>
    <w:rsid w:val="00A943AC"/>
    <w:rsid w:val="00A9448F"/>
    <w:rsid w:val="00A94A25"/>
    <w:rsid w:val="00A957EA"/>
    <w:rsid w:val="00A95D33"/>
    <w:rsid w:val="00A96F49"/>
    <w:rsid w:val="00AA08FA"/>
    <w:rsid w:val="00AA1255"/>
    <w:rsid w:val="00AA1598"/>
    <w:rsid w:val="00AA45A3"/>
    <w:rsid w:val="00AA49B3"/>
    <w:rsid w:val="00AA54BD"/>
    <w:rsid w:val="00AA5FEF"/>
    <w:rsid w:val="00AB059B"/>
    <w:rsid w:val="00AB09CD"/>
    <w:rsid w:val="00AB11D3"/>
    <w:rsid w:val="00AB2B38"/>
    <w:rsid w:val="00AB2D17"/>
    <w:rsid w:val="00AB3CBF"/>
    <w:rsid w:val="00AB5959"/>
    <w:rsid w:val="00AB6D6C"/>
    <w:rsid w:val="00AB768B"/>
    <w:rsid w:val="00AB7A63"/>
    <w:rsid w:val="00AC0662"/>
    <w:rsid w:val="00AC09D4"/>
    <w:rsid w:val="00AC1898"/>
    <w:rsid w:val="00AC2394"/>
    <w:rsid w:val="00AC2D79"/>
    <w:rsid w:val="00AC3626"/>
    <w:rsid w:val="00AC3C3B"/>
    <w:rsid w:val="00AC41B7"/>
    <w:rsid w:val="00AC4844"/>
    <w:rsid w:val="00AC498A"/>
    <w:rsid w:val="00AC566B"/>
    <w:rsid w:val="00AC61D9"/>
    <w:rsid w:val="00AC767E"/>
    <w:rsid w:val="00AC7977"/>
    <w:rsid w:val="00AD036E"/>
    <w:rsid w:val="00AD05A7"/>
    <w:rsid w:val="00AD0692"/>
    <w:rsid w:val="00AD19EB"/>
    <w:rsid w:val="00AD1A95"/>
    <w:rsid w:val="00AD1FD0"/>
    <w:rsid w:val="00AD2EA8"/>
    <w:rsid w:val="00AD30FB"/>
    <w:rsid w:val="00AD315C"/>
    <w:rsid w:val="00AD461E"/>
    <w:rsid w:val="00AD4A33"/>
    <w:rsid w:val="00AD59E2"/>
    <w:rsid w:val="00AD6CDB"/>
    <w:rsid w:val="00AD73CB"/>
    <w:rsid w:val="00AD7B45"/>
    <w:rsid w:val="00AE019E"/>
    <w:rsid w:val="00AE2662"/>
    <w:rsid w:val="00AE4EDD"/>
    <w:rsid w:val="00AE7097"/>
    <w:rsid w:val="00AE7B13"/>
    <w:rsid w:val="00AF1D37"/>
    <w:rsid w:val="00AF1FA3"/>
    <w:rsid w:val="00AF22A7"/>
    <w:rsid w:val="00AF2E0B"/>
    <w:rsid w:val="00AF3F66"/>
    <w:rsid w:val="00AF4339"/>
    <w:rsid w:val="00AF53D2"/>
    <w:rsid w:val="00AF591C"/>
    <w:rsid w:val="00AF5A0A"/>
    <w:rsid w:val="00AF5A12"/>
    <w:rsid w:val="00AF5A31"/>
    <w:rsid w:val="00AF5E20"/>
    <w:rsid w:val="00AF6E29"/>
    <w:rsid w:val="00AF6FCF"/>
    <w:rsid w:val="00AF73B9"/>
    <w:rsid w:val="00AF7B52"/>
    <w:rsid w:val="00B0045A"/>
    <w:rsid w:val="00B00B1A"/>
    <w:rsid w:val="00B017A0"/>
    <w:rsid w:val="00B01C31"/>
    <w:rsid w:val="00B01D66"/>
    <w:rsid w:val="00B0223C"/>
    <w:rsid w:val="00B022D8"/>
    <w:rsid w:val="00B0231E"/>
    <w:rsid w:val="00B02FC7"/>
    <w:rsid w:val="00B0395D"/>
    <w:rsid w:val="00B03F49"/>
    <w:rsid w:val="00B041BC"/>
    <w:rsid w:val="00B04651"/>
    <w:rsid w:val="00B04D39"/>
    <w:rsid w:val="00B053B4"/>
    <w:rsid w:val="00B05B77"/>
    <w:rsid w:val="00B05EB0"/>
    <w:rsid w:val="00B06561"/>
    <w:rsid w:val="00B0743B"/>
    <w:rsid w:val="00B1133B"/>
    <w:rsid w:val="00B1134B"/>
    <w:rsid w:val="00B12E51"/>
    <w:rsid w:val="00B13125"/>
    <w:rsid w:val="00B1322D"/>
    <w:rsid w:val="00B14AD5"/>
    <w:rsid w:val="00B14B89"/>
    <w:rsid w:val="00B168D2"/>
    <w:rsid w:val="00B17F10"/>
    <w:rsid w:val="00B2012E"/>
    <w:rsid w:val="00B22C19"/>
    <w:rsid w:val="00B232D8"/>
    <w:rsid w:val="00B237FD"/>
    <w:rsid w:val="00B24FA6"/>
    <w:rsid w:val="00B25130"/>
    <w:rsid w:val="00B260E5"/>
    <w:rsid w:val="00B26F8D"/>
    <w:rsid w:val="00B271DA"/>
    <w:rsid w:val="00B3038C"/>
    <w:rsid w:val="00B30399"/>
    <w:rsid w:val="00B3069D"/>
    <w:rsid w:val="00B30E09"/>
    <w:rsid w:val="00B310E7"/>
    <w:rsid w:val="00B318D6"/>
    <w:rsid w:val="00B324B7"/>
    <w:rsid w:val="00B33311"/>
    <w:rsid w:val="00B33AB1"/>
    <w:rsid w:val="00B33EA1"/>
    <w:rsid w:val="00B33F38"/>
    <w:rsid w:val="00B3411E"/>
    <w:rsid w:val="00B3482E"/>
    <w:rsid w:val="00B34E44"/>
    <w:rsid w:val="00B35382"/>
    <w:rsid w:val="00B35BF6"/>
    <w:rsid w:val="00B35E82"/>
    <w:rsid w:val="00B36CEE"/>
    <w:rsid w:val="00B376C0"/>
    <w:rsid w:val="00B41642"/>
    <w:rsid w:val="00B41B96"/>
    <w:rsid w:val="00B41CF1"/>
    <w:rsid w:val="00B4289E"/>
    <w:rsid w:val="00B43061"/>
    <w:rsid w:val="00B4369C"/>
    <w:rsid w:val="00B4458F"/>
    <w:rsid w:val="00B44626"/>
    <w:rsid w:val="00B45548"/>
    <w:rsid w:val="00B45AE5"/>
    <w:rsid w:val="00B4609C"/>
    <w:rsid w:val="00B4651A"/>
    <w:rsid w:val="00B46721"/>
    <w:rsid w:val="00B468B3"/>
    <w:rsid w:val="00B469E4"/>
    <w:rsid w:val="00B46F0C"/>
    <w:rsid w:val="00B509F6"/>
    <w:rsid w:val="00B51908"/>
    <w:rsid w:val="00B52BD3"/>
    <w:rsid w:val="00B53020"/>
    <w:rsid w:val="00B53086"/>
    <w:rsid w:val="00B542FA"/>
    <w:rsid w:val="00B545B8"/>
    <w:rsid w:val="00B5548D"/>
    <w:rsid w:val="00B5587C"/>
    <w:rsid w:val="00B55DCA"/>
    <w:rsid w:val="00B60006"/>
    <w:rsid w:val="00B60629"/>
    <w:rsid w:val="00B607B9"/>
    <w:rsid w:val="00B60815"/>
    <w:rsid w:val="00B6149C"/>
    <w:rsid w:val="00B614C4"/>
    <w:rsid w:val="00B616FF"/>
    <w:rsid w:val="00B617BB"/>
    <w:rsid w:val="00B622A1"/>
    <w:rsid w:val="00B627B0"/>
    <w:rsid w:val="00B62FC9"/>
    <w:rsid w:val="00B63960"/>
    <w:rsid w:val="00B649F6"/>
    <w:rsid w:val="00B65017"/>
    <w:rsid w:val="00B65528"/>
    <w:rsid w:val="00B65E21"/>
    <w:rsid w:val="00B675C1"/>
    <w:rsid w:val="00B7000B"/>
    <w:rsid w:val="00B70109"/>
    <w:rsid w:val="00B706C5"/>
    <w:rsid w:val="00B70CA1"/>
    <w:rsid w:val="00B70D1B"/>
    <w:rsid w:val="00B72CC8"/>
    <w:rsid w:val="00B73A30"/>
    <w:rsid w:val="00B73C1F"/>
    <w:rsid w:val="00B752D2"/>
    <w:rsid w:val="00B759E8"/>
    <w:rsid w:val="00B75D15"/>
    <w:rsid w:val="00B76917"/>
    <w:rsid w:val="00B7718B"/>
    <w:rsid w:val="00B803BC"/>
    <w:rsid w:val="00B8083F"/>
    <w:rsid w:val="00B814DF"/>
    <w:rsid w:val="00B827F0"/>
    <w:rsid w:val="00B83EF7"/>
    <w:rsid w:val="00B84DD5"/>
    <w:rsid w:val="00B84F8B"/>
    <w:rsid w:val="00B852BA"/>
    <w:rsid w:val="00B85301"/>
    <w:rsid w:val="00B85838"/>
    <w:rsid w:val="00B85AF4"/>
    <w:rsid w:val="00B85F3C"/>
    <w:rsid w:val="00B86C35"/>
    <w:rsid w:val="00B86F27"/>
    <w:rsid w:val="00B91321"/>
    <w:rsid w:val="00B92608"/>
    <w:rsid w:val="00B946B5"/>
    <w:rsid w:val="00B94E02"/>
    <w:rsid w:val="00B95938"/>
    <w:rsid w:val="00B965D2"/>
    <w:rsid w:val="00B97109"/>
    <w:rsid w:val="00B97B79"/>
    <w:rsid w:val="00BA00FA"/>
    <w:rsid w:val="00BA04FB"/>
    <w:rsid w:val="00BA10BC"/>
    <w:rsid w:val="00BA1379"/>
    <w:rsid w:val="00BA1DBB"/>
    <w:rsid w:val="00BA2ED0"/>
    <w:rsid w:val="00BA3561"/>
    <w:rsid w:val="00BA37A4"/>
    <w:rsid w:val="00BA4583"/>
    <w:rsid w:val="00BA46F0"/>
    <w:rsid w:val="00BA4CDC"/>
    <w:rsid w:val="00BA5A1E"/>
    <w:rsid w:val="00BA5D63"/>
    <w:rsid w:val="00BA5FFD"/>
    <w:rsid w:val="00BA60E3"/>
    <w:rsid w:val="00BA6BDE"/>
    <w:rsid w:val="00BA7189"/>
    <w:rsid w:val="00BB087F"/>
    <w:rsid w:val="00BB126D"/>
    <w:rsid w:val="00BB1A28"/>
    <w:rsid w:val="00BB261C"/>
    <w:rsid w:val="00BB2AFE"/>
    <w:rsid w:val="00BB2C21"/>
    <w:rsid w:val="00BB2F0E"/>
    <w:rsid w:val="00BB2F1A"/>
    <w:rsid w:val="00BB3C11"/>
    <w:rsid w:val="00BB3FA2"/>
    <w:rsid w:val="00BB6526"/>
    <w:rsid w:val="00BB74E6"/>
    <w:rsid w:val="00BB7F11"/>
    <w:rsid w:val="00BC0118"/>
    <w:rsid w:val="00BC0928"/>
    <w:rsid w:val="00BC0B1F"/>
    <w:rsid w:val="00BC0D4E"/>
    <w:rsid w:val="00BC1D62"/>
    <w:rsid w:val="00BC296B"/>
    <w:rsid w:val="00BC29A1"/>
    <w:rsid w:val="00BC2E78"/>
    <w:rsid w:val="00BC3474"/>
    <w:rsid w:val="00BC3540"/>
    <w:rsid w:val="00BC3D52"/>
    <w:rsid w:val="00BC4A60"/>
    <w:rsid w:val="00BC556E"/>
    <w:rsid w:val="00BC57B5"/>
    <w:rsid w:val="00BC645B"/>
    <w:rsid w:val="00BC6C5E"/>
    <w:rsid w:val="00BC6CE3"/>
    <w:rsid w:val="00BC71EF"/>
    <w:rsid w:val="00BC7CBD"/>
    <w:rsid w:val="00BD06D8"/>
    <w:rsid w:val="00BD0F2F"/>
    <w:rsid w:val="00BD1777"/>
    <w:rsid w:val="00BD1B3B"/>
    <w:rsid w:val="00BD23CF"/>
    <w:rsid w:val="00BD24D7"/>
    <w:rsid w:val="00BD2678"/>
    <w:rsid w:val="00BD2BDC"/>
    <w:rsid w:val="00BD3499"/>
    <w:rsid w:val="00BD4D14"/>
    <w:rsid w:val="00BD4F9B"/>
    <w:rsid w:val="00BD54BD"/>
    <w:rsid w:val="00BD54D3"/>
    <w:rsid w:val="00BD5F3B"/>
    <w:rsid w:val="00BD7EC4"/>
    <w:rsid w:val="00BE10B5"/>
    <w:rsid w:val="00BE38B3"/>
    <w:rsid w:val="00BE53C2"/>
    <w:rsid w:val="00BE5D17"/>
    <w:rsid w:val="00BE6049"/>
    <w:rsid w:val="00BE6BA6"/>
    <w:rsid w:val="00BE6D57"/>
    <w:rsid w:val="00BE7338"/>
    <w:rsid w:val="00BE7CF6"/>
    <w:rsid w:val="00BF16F0"/>
    <w:rsid w:val="00BF2C1D"/>
    <w:rsid w:val="00BF4EF8"/>
    <w:rsid w:val="00BF55B4"/>
    <w:rsid w:val="00BF5819"/>
    <w:rsid w:val="00BF7136"/>
    <w:rsid w:val="00C00421"/>
    <w:rsid w:val="00C00ACE"/>
    <w:rsid w:val="00C01749"/>
    <w:rsid w:val="00C01857"/>
    <w:rsid w:val="00C03D5E"/>
    <w:rsid w:val="00C04114"/>
    <w:rsid w:val="00C041D0"/>
    <w:rsid w:val="00C04B28"/>
    <w:rsid w:val="00C04CD5"/>
    <w:rsid w:val="00C04E26"/>
    <w:rsid w:val="00C05D60"/>
    <w:rsid w:val="00C07801"/>
    <w:rsid w:val="00C07CFB"/>
    <w:rsid w:val="00C107F1"/>
    <w:rsid w:val="00C10920"/>
    <w:rsid w:val="00C1165A"/>
    <w:rsid w:val="00C11C6F"/>
    <w:rsid w:val="00C1238D"/>
    <w:rsid w:val="00C13C37"/>
    <w:rsid w:val="00C1454C"/>
    <w:rsid w:val="00C1491E"/>
    <w:rsid w:val="00C14FE7"/>
    <w:rsid w:val="00C1674B"/>
    <w:rsid w:val="00C171D5"/>
    <w:rsid w:val="00C17DF3"/>
    <w:rsid w:val="00C17E77"/>
    <w:rsid w:val="00C202C2"/>
    <w:rsid w:val="00C205C2"/>
    <w:rsid w:val="00C20A69"/>
    <w:rsid w:val="00C20B64"/>
    <w:rsid w:val="00C22028"/>
    <w:rsid w:val="00C22A4A"/>
    <w:rsid w:val="00C22B01"/>
    <w:rsid w:val="00C23898"/>
    <w:rsid w:val="00C24E8D"/>
    <w:rsid w:val="00C25612"/>
    <w:rsid w:val="00C26D06"/>
    <w:rsid w:val="00C27C5B"/>
    <w:rsid w:val="00C30B00"/>
    <w:rsid w:val="00C31F5F"/>
    <w:rsid w:val="00C322F1"/>
    <w:rsid w:val="00C34509"/>
    <w:rsid w:val="00C34AFD"/>
    <w:rsid w:val="00C35371"/>
    <w:rsid w:val="00C35749"/>
    <w:rsid w:val="00C359FF"/>
    <w:rsid w:val="00C35CF4"/>
    <w:rsid w:val="00C36425"/>
    <w:rsid w:val="00C366EF"/>
    <w:rsid w:val="00C3674D"/>
    <w:rsid w:val="00C36836"/>
    <w:rsid w:val="00C368A2"/>
    <w:rsid w:val="00C37369"/>
    <w:rsid w:val="00C3739E"/>
    <w:rsid w:val="00C3756E"/>
    <w:rsid w:val="00C37F1A"/>
    <w:rsid w:val="00C4099A"/>
    <w:rsid w:val="00C42703"/>
    <w:rsid w:val="00C42833"/>
    <w:rsid w:val="00C438AB"/>
    <w:rsid w:val="00C43B8D"/>
    <w:rsid w:val="00C442AB"/>
    <w:rsid w:val="00C446B1"/>
    <w:rsid w:val="00C45551"/>
    <w:rsid w:val="00C45792"/>
    <w:rsid w:val="00C45B28"/>
    <w:rsid w:val="00C464E0"/>
    <w:rsid w:val="00C4701E"/>
    <w:rsid w:val="00C47283"/>
    <w:rsid w:val="00C47AB7"/>
    <w:rsid w:val="00C5109F"/>
    <w:rsid w:val="00C5182D"/>
    <w:rsid w:val="00C52463"/>
    <w:rsid w:val="00C52C18"/>
    <w:rsid w:val="00C53521"/>
    <w:rsid w:val="00C542E4"/>
    <w:rsid w:val="00C55C2C"/>
    <w:rsid w:val="00C55E6C"/>
    <w:rsid w:val="00C56598"/>
    <w:rsid w:val="00C56B63"/>
    <w:rsid w:val="00C56BAC"/>
    <w:rsid w:val="00C6003B"/>
    <w:rsid w:val="00C607D4"/>
    <w:rsid w:val="00C6082A"/>
    <w:rsid w:val="00C6150D"/>
    <w:rsid w:val="00C6152C"/>
    <w:rsid w:val="00C62702"/>
    <w:rsid w:val="00C647D3"/>
    <w:rsid w:val="00C64A09"/>
    <w:rsid w:val="00C666C0"/>
    <w:rsid w:val="00C671DE"/>
    <w:rsid w:val="00C678F7"/>
    <w:rsid w:val="00C67910"/>
    <w:rsid w:val="00C67C0E"/>
    <w:rsid w:val="00C67FE3"/>
    <w:rsid w:val="00C71174"/>
    <w:rsid w:val="00C71561"/>
    <w:rsid w:val="00C71746"/>
    <w:rsid w:val="00C7177B"/>
    <w:rsid w:val="00C718F3"/>
    <w:rsid w:val="00C7200E"/>
    <w:rsid w:val="00C734C8"/>
    <w:rsid w:val="00C739E5"/>
    <w:rsid w:val="00C76CC1"/>
    <w:rsid w:val="00C77C5C"/>
    <w:rsid w:val="00C77F87"/>
    <w:rsid w:val="00C80555"/>
    <w:rsid w:val="00C805F8"/>
    <w:rsid w:val="00C8148C"/>
    <w:rsid w:val="00C81653"/>
    <w:rsid w:val="00C81B51"/>
    <w:rsid w:val="00C8485F"/>
    <w:rsid w:val="00C848D3"/>
    <w:rsid w:val="00C84BED"/>
    <w:rsid w:val="00C85407"/>
    <w:rsid w:val="00C85EE1"/>
    <w:rsid w:val="00C8623C"/>
    <w:rsid w:val="00C86840"/>
    <w:rsid w:val="00C874A3"/>
    <w:rsid w:val="00C87C5F"/>
    <w:rsid w:val="00C87C8E"/>
    <w:rsid w:val="00C87CCB"/>
    <w:rsid w:val="00C87DE6"/>
    <w:rsid w:val="00C90F2B"/>
    <w:rsid w:val="00C9191E"/>
    <w:rsid w:val="00C930F0"/>
    <w:rsid w:val="00C93C82"/>
    <w:rsid w:val="00C93D29"/>
    <w:rsid w:val="00C93F20"/>
    <w:rsid w:val="00C94122"/>
    <w:rsid w:val="00C944CB"/>
    <w:rsid w:val="00C94BFE"/>
    <w:rsid w:val="00C94CB1"/>
    <w:rsid w:val="00C95B2D"/>
    <w:rsid w:val="00C95B69"/>
    <w:rsid w:val="00C95FDC"/>
    <w:rsid w:val="00C97D0C"/>
    <w:rsid w:val="00C97FCC"/>
    <w:rsid w:val="00CA1E81"/>
    <w:rsid w:val="00CA219A"/>
    <w:rsid w:val="00CA30F7"/>
    <w:rsid w:val="00CA3F63"/>
    <w:rsid w:val="00CA45AD"/>
    <w:rsid w:val="00CA6035"/>
    <w:rsid w:val="00CA6982"/>
    <w:rsid w:val="00CA752B"/>
    <w:rsid w:val="00CB104E"/>
    <w:rsid w:val="00CB1E63"/>
    <w:rsid w:val="00CB2540"/>
    <w:rsid w:val="00CB2F80"/>
    <w:rsid w:val="00CB39F4"/>
    <w:rsid w:val="00CB3DF4"/>
    <w:rsid w:val="00CB3EE2"/>
    <w:rsid w:val="00CB5014"/>
    <w:rsid w:val="00CB54C9"/>
    <w:rsid w:val="00CB5C8E"/>
    <w:rsid w:val="00CB5F5B"/>
    <w:rsid w:val="00CB6126"/>
    <w:rsid w:val="00CB76EC"/>
    <w:rsid w:val="00CB78B7"/>
    <w:rsid w:val="00CC01E6"/>
    <w:rsid w:val="00CC0B9D"/>
    <w:rsid w:val="00CC0BE5"/>
    <w:rsid w:val="00CC106A"/>
    <w:rsid w:val="00CC2948"/>
    <w:rsid w:val="00CC29AC"/>
    <w:rsid w:val="00CC326A"/>
    <w:rsid w:val="00CC3300"/>
    <w:rsid w:val="00CC475E"/>
    <w:rsid w:val="00CC4E4F"/>
    <w:rsid w:val="00CC5DB8"/>
    <w:rsid w:val="00CC6374"/>
    <w:rsid w:val="00CC641F"/>
    <w:rsid w:val="00CC65EF"/>
    <w:rsid w:val="00CC6638"/>
    <w:rsid w:val="00CC7E15"/>
    <w:rsid w:val="00CD0982"/>
    <w:rsid w:val="00CD10F1"/>
    <w:rsid w:val="00CD144F"/>
    <w:rsid w:val="00CD1741"/>
    <w:rsid w:val="00CD1884"/>
    <w:rsid w:val="00CD1997"/>
    <w:rsid w:val="00CD2A7B"/>
    <w:rsid w:val="00CD2BD8"/>
    <w:rsid w:val="00CD4CE6"/>
    <w:rsid w:val="00CD571E"/>
    <w:rsid w:val="00CD68D2"/>
    <w:rsid w:val="00CD695B"/>
    <w:rsid w:val="00CD7301"/>
    <w:rsid w:val="00CE148A"/>
    <w:rsid w:val="00CE2BC9"/>
    <w:rsid w:val="00CE32B6"/>
    <w:rsid w:val="00CE4761"/>
    <w:rsid w:val="00CE4A21"/>
    <w:rsid w:val="00CE5559"/>
    <w:rsid w:val="00CE5C82"/>
    <w:rsid w:val="00CE68C4"/>
    <w:rsid w:val="00CE6ED8"/>
    <w:rsid w:val="00CE756C"/>
    <w:rsid w:val="00CE7F5A"/>
    <w:rsid w:val="00CF0FFC"/>
    <w:rsid w:val="00CF1270"/>
    <w:rsid w:val="00CF2135"/>
    <w:rsid w:val="00CF226D"/>
    <w:rsid w:val="00CF27A0"/>
    <w:rsid w:val="00CF31ED"/>
    <w:rsid w:val="00CF38B8"/>
    <w:rsid w:val="00CF3ECC"/>
    <w:rsid w:val="00CF3F2D"/>
    <w:rsid w:val="00CF4965"/>
    <w:rsid w:val="00CF7D06"/>
    <w:rsid w:val="00D0056B"/>
    <w:rsid w:val="00D0153D"/>
    <w:rsid w:val="00D017CA"/>
    <w:rsid w:val="00D01A5A"/>
    <w:rsid w:val="00D03254"/>
    <w:rsid w:val="00D034C5"/>
    <w:rsid w:val="00D04221"/>
    <w:rsid w:val="00D04837"/>
    <w:rsid w:val="00D04F4C"/>
    <w:rsid w:val="00D05799"/>
    <w:rsid w:val="00D06F78"/>
    <w:rsid w:val="00D072D1"/>
    <w:rsid w:val="00D103E7"/>
    <w:rsid w:val="00D10432"/>
    <w:rsid w:val="00D10C7E"/>
    <w:rsid w:val="00D11046"/>
    <w:rsid w:val="00D1116E"/>
    <w:rsid w:val="00D117E9"/>
    <w:rsid w:val="00D11ED7"/>
    <w:rsid w:val="00D12382"/>
    <w:rsid w:val="00D124E3"/>
    <w:rsid w:val="00D126F8"/>
    <w:rsid w:val="00D1343E"/>
    <w:rsid w:val="00D135D2"/>
    <w:rsid w:val="00D13606"/>
    <w:rsid w:val="00D14B1E"/>
    <w:rsid w:val="00D15240"/>
    <w:rsid w:val="00D169BF"/>
    <w:rsid w:val="00D17366"/>
    <w:rsid w:val="00D1736F"/>
    <w:rsid w:val="00D17BA5"/>
    <w:rsid w:val="00D20656"/>
    <w:rsid w:val="00D209F8"/>
    <w:rsid w:val="00D23034"/>
    <w:rsid w:val="00D24702"/>
    <w:rsid w:val="00D24C75"/>
    <w:rsid w:val="00D250DC"/>
    <w:rsid w:val="00D255B9"/>
    <w:rsid w:val="00D25891"/>
    <w:rsid w:val="00D25AF6"/>
    <w:rsid w:val="00D276DD"/>
    <w:rsid w:val="00D314B3"/>
    <w:rsid w:val="00D32709"/>
    <w:rsid w:val="00D3391D"/>
    <w:rsid w:val="00D34A9E"/>
    <w:rsid w:val="00D34BCB"/>
    <w:rsid w:val="00D34CFF"/>
    <w:rsid w:val="00D34E67"/>
    <w:rsid w:val="00D351FE"/>
    <w:rsid w:val="00D356FE"/>
    <w:rsid w:val="00D35EFC"/>
    <w:rsid w:val="00D362FA"/>
    <w:rsid w:val="00D366A0"/>
    <w:rsid w:val="00D36FE6"/>
    <w:rsid w:val="00D3735C"/>
    <w:rsid w:val="00D37426"/>
    <w:rsid w:val="00D374CF"/>
    <w:rsid w:val="00D37679"/>
    <w:rsid w:val="00D37AE8"/>
    <w:rsid w:val="00D37C2C"/>
    <w:rsid w:val="00D410AD"/>
    <w:rsid w:val="00D41A1F"/>
    <w:rsid w:val="00D434CB"/>
    <w:rsid w:val="00D436D3"/>
    <w:rsid w:val="00D43DAD"/>
    <w:rsid w:val="00D4438D"/>
    <w:rsid w:val="00D44510"/>
    <w:rsid w:val="00D4480A"/>
    <w:rsid w:val="00D44C32"/>
    <w:rsid w:val="00D45D89"/>
    <w:rsid w:val="00D45DAF"/>
    <w:rsid w:val="00D477F2"/>
    <w:rsid w:val="00D47CA2"/>
    <w:rsid w:val="00D47CBA"/>
    <w:rsid w:val="00D50183"/>
    <w:rsid w:val="00D50330"/>
    <w:rsid w:val="00D50DB2"/>
    <w:rsid w:val="00D50E34"/>
    <w:rsid w:val="00D51548"/>
    <w:rsid w:val="00D526A4"/>
    <w:rsid w:val="00D52A83"/>
    <w:rsid w:val="00D52BB3"/>
    <w:rsid w:val="00D52E5C"/>
    <w:rsid w:val="00D53CE7"/>
    <w:rsid w:val="00D53F3A"/>
    <w:rsid w:val="00D5650E"/>
    <w:rsid w:val="00D56F04"/>
    <w:rsid w:val="00D57249"/>
    <w:rsid w:val="00D57345"/>
    <w:rsid w:val="00D57642"/>
    <w:rsid w:val="00D60569"/>
    <w:rsid w:val="00D60E73"/>
    <w:rsid w:val="00D61C48"/>
    <w:rsid w:val="00D62094"/>
    <w:rsid w:val="00D62FD8"/>
    <w:rsid w:val="00D63124"/>
    <w:rsid w:val="00D64337"/>
    <w:rsid w:val="00D6613D"/>
    <w:rsid w:val="00D66218"/>
    <w:rsid w:val="00D66625"/>
    <w:rsid w:val="00D666D8"/>
    <w:rsid w:val="00D66C48"/>
    <w:rsid w:val="00D70C73"/>
    <w:rsid w:val="00D711CD"/>
    <w:rsid w:val="00D716BA"/>
    <w:rsid w:val="00D71C3E"/>
    <w:rsid w:val="00D72779"/>
    <w:rsid w:val="00D736BE"/>
    <w:rsid w:val="00D744D1"/>
    <w:rsid w:val="00D74680"/>
    <w:rsid w:val="00D746A4"/>
    <w:rsid w:val="00D75152"/>
    <w:rsid w:val="00D7525A"/>
    <w:rsid w:val="00D753DC"/>
    <w:rsid w:val="00D76B34"/>
    <w:rsid w:val="00D77420"/>
    <w:rsid w:val="00D77547"/>
    <w:rsid w:val="00D77745"/>
    <w:rsid w:val="00D8163A"/>
    <w:rsid w:val="00D82575"/>
    <w:rsid w:val="00D82834"/>
    <w:rsid w:val="00D85816"/>
    <w:rsid w:val="00D859C9"/>
    <w:rsid w:val="00D85D32"/>
    <w:rsid w:val="00D86730"/>
    <w:rsid w:val="00D86BA4"/>
    <w:rsid w:val="00D87745"/>
    <w:rsid w:val="00D87FB0"/>
    <w:rsid w:val="00D9040C"/>
    <w:rsid w:val="00D91756"/>
    <w:rsid w:val="00D92667"/>
    <w:rsid w:val="00D928D7"/>
    <w:rsid w:val="00D93743"/>
    <w:rsid w:val="00D95368"/>
    <w:rsid w:val="00D9541F"/>
    <w:rsid w:val="00D9686B"/>
    <w:rsid w:val="00D97127"/>
    <w:rsid w:val="00D97942"/>
    <w:rsid w:val="00D97B49"/>
    <w:rsid w:val="00DA057F"/>
    <w:rsid w:val="00DA0D0E"/>
    <w:rsid w:val="00DA159D"/>
    <w:rsid w:val="00DA1A68"/>
    <w:rsid w:val="00DA2369"/>
    <w:rsid w:val="00DA2467"/>
    <w:rsid w:val="00DA25D3"/>
    <w:rsid w:val="00DA31CE"/>
    <w:rsid w:val="00DA409F"/>
    <w:rsid w:val="00DA40DA"/>
    <w:rsid w:val="00DA53D0"/>
    <w:rsid w:val="00DA5BAD"/>
    <w:rsid w:val="00DA5E05"/>
    <w:rsid w:val="00DA6540"/>
    <w:rsid w:val="00DA672B"/>
    <w:rsid w:val="00DA72F6"/>
    <w:rsid w:val="00DA7E05"/>
    <w:rsid w:val="00DB00ED"/>
    <w:rsid w:val="00DB018F"/>
    <w:rsid w:val="00DB0481"/>
    <w:rsid w:val="00DB1D28"/>
    <w:rsid w:val="00DB2470"/>
    <w:rsid w:val="00DB2E71"/>
    <w:rsid w:val="00DB3323"/>
    <w:rsid w:val="00DB421E"/>
    <w:rsid w:val="00DB498D"/>
    <w:rsid w:val="00DB4F7C"/>
    <w:rsid w:val="00DB5B1C"/>
    <w:rsid w:val="00DB7E58"/>
    <w:rsid w:val="00DC0FF1"/>
    <w:rsid w:val="00DC1362"/>
    <w:rsid w:val="00DC1496"/>
    <w:rsid w:val="00DC1601"/>
    <w:rsid w:val="00DC3471"/>
    <w:rsid w:val="00DC429F"/>
    <w:rsid w:val="00DC52AF"/>
    <w:rsid w:val="00DC6F1A"/>
    <w:rsid w:val="00DC77F2"/>
    <w:rsid w:val="00DC7E27"/>
    <w:rsid w:val="00DD02A8"/>
    <w:rsid w:val="00DD02D4"/>
    <w:rsid w:val="00DD138B"/>
    <w:rsid w:val="00DD2952"/>
    <w:rsid w:val="00DD370F"/>
    <w:rsid w:val="00DD454A"/>
    <w:rsid w:val="00DD4B7E"/>
    <w:rsid w:val="00DD4BB3"/>
    <w:rsid w:val="00DD4E48"/>
    <w:rsid w:val="00DD5A0F"/>
    <w:rsid w:val="00DD612E"/>
    <w:rsid w:val="00DD61A7"/>
    <w:rsid w:val="00DD772D"/>
    <w:rsid w:val="00DD7AF5"/>
    <w:rsid w:val="00DD7E2C"/>
    <w:rsid w:val="00DE1040"/>
    <w:rsid w:val="00DE1320"/>
    <w:rsid w:val="00DE179D"/>
    <w:rsid w:val="00DE225A"/>
    <w:rsid w:val="00DE22F7"/>
    <w:rsid w:val="00DE26FA"/>
    <w:rsid w:val="00DE276D"/>
    <w:rsid w:val="00DE2CB0"/>
    <w:rsid w:val="00DE37D8"/>
    <w:rsid w:val="00DE3E80"/>
    <w:rsid w:val="00DE41CF"/>
    <w:rsid w:val="00DE711E"/>
    <w:rsid w:val="00DE77D2"/>
    <w:rsid w:val="00DF02C3"/>
    <w:rsid w:val="00DF09F0"/>
    <w:rsid w:val="00DF107A"/>
    <w:rsid w:val="00DF14C3"/>
    <w:rsid w:val="00DF18B9"/>
    <w:rsid w:val="00DF2273"/>
    <w:rsid w:val="00DF29CB"/>
    <w:rsid w:val="00DF29DC"/>
    <w:rsid w:val="00DF4106"/>
    <w:rsid w:val="00DF4717"/>
    <w:rsid w:val="00DF758F"/>
    <w:rsid w:val="00DF78F1"/>
    <w:rsid w:val="00E002F0"/>
    <w:rsid w:val="00E00551"/>
    <w:rsid w:val="00E006FA"/>
    <w:rsid w:val="00E020E0"/>
    <w:rsid w:val="00E03E61"/>
    <w:rsid w:val="00E0517D"/>
    <w:rsid w:val="00E053E2"/>
    <w:rsid w:val="00E05EFB"/>
    <w:rsid w:val="00E06114"/>
    <w:rsid w:val="00E06B97"/>
    <w:rsid w:val="00E06D6A"/>
    <w:rsid w:val="00E1010E"/>
    <w:rsid w:val="00E10868"/>
    <w:rsid w:val="00E10B38"/>
    <w:rsid w:val="00E1182F"/>
    <w:rsid w:val="00E11F7D"/>
    <w:rsid w:val="00E12D66"/>
    <w:rsid w:val="00E130B1"/>
    <w:rsid w:val="00E13DB2"/>
    <w:rsid w:val="00E14736"/>
    <w:rsid w:val="00E1473A"/>
    <w:rsid w:val="00E15356"/>
    <w:rsid w:val="00E17C9F"/>
    <w:rsid w:val="00E17EB7"/>
    <w:rsid w:val="00E20FA0"/>
    <w:rsid w:val="00E2193B"/>
    <w:rsid w:val="00E21C17"/>
    <w:rsid w:val="00E23982"/>
    <w:rsid w:val="00E25B15"/>
    <w:rsid w:val="00E2647E"/>
    <w:rsid w:val="00E27D75"/>
    <w:rsid w:val="00E3128B"/>
    <w:rsid w:val="00E3167D"/>
    <w:rsid w:val="00E31989"/>
    <w:rsid w:val="00E31BC4"/>
    <w:rsid w:val="00E31E01"/>
    <w:rsid w:val="00E32A73"/>
    <w:rsid w:val="00E33CFA"/>
    <w:rsid w:val="00E33D8F"/>
    <w:rsid w:val="00E3406F"/>
    <w:rsid w:val="00E36A1C"/>
    <w:rsid w:val="00E36C9B"/>
    <w:rsid w:val="00E36EA0"/>
    <w:rsid w:val="00E377F2"/>
    <w:rsid w:val="00E402A8"/>
    <w:rsid w:val="00E408D8"/>
    <w:rsid w:val="00E41A1C"/>
    <w:rsid w:val="00E41B0C"/>
    <w:rsid w:val="00E41B3B"/>
    <w:rsid w:val="00E42C6E"/>
    <w:rsid w:val="00E43779"/>
    <w:rsid w:val="00E43A65"/>
    <w:rsid w:val="00E43F15"/>
    <w:rsid w:val="00E4406C"/>
    <w:rsid w:val="00E44705"/>
    <w:rsid w:val="00E44BEB"/>
    <w:rsid w:val="00E45FE1"/>
    <w:rsid w:val="00E46961"/>
    <w:rsid w:val="00E47C0A"/>
    <w:rsid w:val="00E50BAB"/>
    <w:rsid w:val="00E511C8"/>
    <w:rsid w:val="00E51328"/>
    <w:rsid w:val="00E52275"/>
    <w:rsid w:val="00E528E5"/>
    <w:rsid w:val="00E52B40"/>
    <w:rsid w:val="00E52E5F"/>
    <w:rsid w:val="00E54366"/>
    <w:rsid w:val="00E563CD"/>
    <w:rsid w:val="00E56738"/>
    <w:rsid w:val="00E56EE9"/>
    <w:rsid w:val="00E60AD9"/>
    <w:rsid w:val="00E61424"/>
    <w:rsid w:val="00E61CEF"/>
    <w:rsid w:val="00E61F1C"/>
    <w:rsid w:val="00E623E1"/>
    <w:rsid w:val="00E6256A"/>
    <w:rsid w:val="00E62AD6"/>
    <w:rsid w:val="00E6302F"/>
    <w:rsid w:val="00E635C5"/>
    <w:rsid w:val="00E63ED8"/>
    <w:rsid w:val="00E64913"/>
    <w:rsid w:val="00E64947"/>
    <w:rsid w:val="00E655F5"/>
    <w:rsid w:val="00E6563E"/>
    <w:rsid w:val="00E65CD9"/>
    <w:rsid w:val="00E65D30"/>
    <w:rsid w:val="00E65DA3"/>
    <w:rsid w:val="00E669FF"/>
    <w:rsid w:val="00E676C4"/>
    <w:rsid w:val="00E70127"/>
    <w:rsid w:val="00E70642"/>
    <w:rsid w:val="00E72405"/>
    <w:rsid w:val="00E72FF5"/>
    <w:rsid w:val="00E743A4"/>
    <w:rsid w:val="00E7441C"/>
    <w:rsid w:val="00E75169"/>
    <w:rsid w:val="00E76676"/>
    <w:rsid w:val="00E7683B"/>
    <w:rsid w:val="00E76F4A"/>
    <w:rsid w:val="00E77641"/>
    <w:rsid w:val="00E80012"/>
    <w:rsid w:val="00E8013D"/>
    <w:rsid w:val="00E80A59"/>
    <w:rsid w:val="00E80AFB"/>
    <w:rsid w:val="00E81138"/>
    <w:rsid w:val="00E81C03"/>
    <w:rsid w:val="00E81C95"/>
    <w:rsid w:val="00E81CA2"/>
    <w:rsid w:val="00E8280E"/>
    <w:rsid w:val="00E82C7E"/>
    <w:rsid w:val="00E82D56"/>
    <w:rsid w:val="00E84013"/>
    <w:rsid w:val="00E84D90"/>
    <w:rsid w:val="00E856CB"/>
    <w:rsid w:val="00E85BBB"/>
    <w:rsid w:val="00E8603D"/>
    <w:rsid w:val="00E86AF2"/>
    <w:rsid w:val="00E87C07"/>
    <w:rsid w:val="00E90200"/>
    <w:rsid w:val="00E902C7"/>
    <w:rsid w:val="00E905B5"/>
    <w:rsid w:val="00E9232A"/>
    <w:rsid w:val="00E932EB"/>
    <w:rsid w:val="00E935A5"/>
    <w:rsid w:val="00E93D02"/>
    <w:rsid w:val="00E94735"/>
    <w:rsid w:val="00E94CD5"/>
    <w:rsid w:val="00E9525F"/>
    <w:rsid w:val="00E95263"/>
    <w:rsid w:val="00E95465"/>
    <w:rsid w:val="00E95DAF"/>
    <w:rsid w:val="00EA01F3"/>
    <w:rsid w:val="00EA0604"/>
    <w:rsid w:val="00EA0988"/>
    <w:rsid w:val="00EA0A3F"/>
    <w:rsid w:val="00EA2695"/>
    <w:rsid w:val="00EA3379"/>
    <w:rsid w:val="00EA447F"/>
    <w:rsid w:val="00EA5210"/>
    <w:rsid w:val="00EA605D"/>
    <w:rsid w:val="00EA6113"/>
    <w:rsid w:val="00EA6142"/>
    <w:rsid w:val="00EA7256"/>
    <w:rsid w:val="00EB0A33"/>
    <w:rsid w:val="00EB0BEC"/>
    <w:rsid w:val="00EB1BA3"/>
    <w:rsid w:val="00EB2E8E"/>
    <w:rsid w:val="00EB3167"/>
    <w:rsid w:val="00EB33A6"/>
    <w:rsid w:val="00EB4DED"/>
    <w:rsid w:val="00EB5186"/>
    <w:rsid w:val="00EB5A90"/>
    <w:rsid w:val="00EB6771"/>
    <w:rsid w:val="00EB6B0F"/>
    <w:rsid w:val="00EB6E93"/>
    <w:rsid w:val="00EB7306"/>
    <w:rsid w:val="00EB7417"/>
    <w:rsid w:val="00EB7837"/>
    <w:rsid w:val="00EC025E"/>
    <w:rsid w:val="00EC0E54"/>
    <w:rsid w:val="00EC1928"/>
    <w:rsid w:val="00EC201C"/>
    <w:rsid w:val="00EC2112"/>
    <w:rsid w:val="00EC21F1"/>
    <w:rsid w:val="00EC31F7"/>
    <w:rsid w:val="00EC462F"/>
    <w:rsid w:val="00ED0472"/>
    <w:rsid w:val="00ED2124"/>
    <w:rsid w:val="00ED223E"/>
    <w:rsid w:val="00ED2BB5"/>
    <w:rsid w:val="00ED2BF9"/>
    <w:rsid w:val="00ED2F72"/>
    <w:rsid w:val="00ED2FFB"/>
    <w:rsid w:val="00ED3673"/>
    <w:rsid w:val="00ED3759"/>
    <w:rsid w:val="00ED4354"/>
    <w:rsid w:val="00ED4657"/>
    <w:rsid w:val="00ED6CDE"/>
    <w:rsid w:val="00EE118E"/>
    <w:rsid w:val="00EE1982"/>
    <w:rsid w:val="00EE232C"/>
    <w:rsid w:val="00EE2DE0"/>
    <w:rsid w:val="00EE443E"/>
    <w:rsid w:val="00EE4664"/>
    <w:rsid w:val="00EE4BFB"/>
    <w:rsid w:val="00EE563F"/>
    <w:rsid w:val="00EE57D4"/>
    <w:rsid w:val="00EE59CA"/>
    <w:rsid w:val="00EE5A99"/>
    <w:rsid w:val="00EE6AC8"/>
    <w:rsid w:val="00EE7A1F"/>
    <w:rsid w:val="00EF09E2"/>
    <w:rsid w:val="00EF0BCD"/>
    <w:rsid w:val="00EF0C80"/>
    <w:rsid w:val="00EF1752"/>
    <w:rsid w:val="00EF1BBA"/>
    <w:rsid w:val="00EF2922"/>
    <w:rsid w:val="00EF3896"/>
    <w:rsid w:val="00EF3F98"/>
    <w:rsid w:val="00EF453F"/>
    <w:rsid w:val="00EF5233"/>
    <w:rsid w:val="00EF56CC"/>
    <w:rsid w:val="00EF586D"/>
    <w:rsid w:val="00EF5B09"/>
    <w:rsid w:val="00EF7054"/>
    <w:rsid w:val="00EF7254"/>
    <w:rsid w:val="00EF7FFA"/>
    <w:rsid w:val="00F003EA"/>
    <w:rsid w:val="00F03B80"/>
    <w:rsid w:val="00F03E0D"/>
    <w:rsid w:val="00F03E1B"/>
    <w:rsid w:val="00F051D0"/>
    <w:rsid w:val="00F054A4"/>
    <w:rsid w:val="00F06802"/>
    <w:rsid w:val="00F07039"/>
    <w:rsid w:val="00F070F3"/>
    <w:rsid w:val="00F0733B"/>
    <w:rsid w:val="00F07D70"/>
    <w:rsid w:val="00F07F66"/>
    <w:rsid w:val="00F10130"/>
    <w:rsid w:val="00F101C8"/>
    <w:rsid w:val="00F112AE"/>
    <w:rsid w:val="00F11772"/>
    <w:rsid w:val="00F120F9"/>
    <w:rsid w:val="00F1256D"/>
    <w:rsid w:val="00F1281C"/>
    <w:rsid w:val="00F1321B"/>
    <w:rsid w:val="00F1373F"/>
    <w:rsid w:val="00F145FA"/>
    <w:rsid w:val="00F149B2"/>
    <w:rsid w:val="00F15761"/>
    <w:rsid w:val="00F15F99"/>
    <w:rsid w:val="00F17ACC"/>
    <w:rsid w:val="00F17E28"/>
    <w:rsid w:val="00F21669"/>
    <w:rsid w:val="00F22A1B"/>
    <w:rsid w:val="00F22B38"/>
    <w:rsid w:val="00F22DB7"/>
    <w:rsid w:val="00F246E0"/>
    <w:rsid w:val="00F247AF"/>
    <w:rsid w:val="00F27707"/>
    <w:rsid w:val="00F30099"/>
    <w:rsid w:val="00F3035D"/>
    <w:rsid w:val="00F30DE7"/>
    <w:rsid w:val="00F3104D"/>
    <w:rsid w:val="00F314B1"/>
    <w:rsid w:val="00F31C42"/>
    <w:rsid w:val="00F340BF"/>
    <w:rsid w:val="00F34194"/>
    <w:rsid w:val="00F35FCA"/>
    <w:rsid w:val="00F36871"/>
    <w:rsid w:val="00F36A75"/>
    <w:rsid w:val="00F36D19"/>
    <w:rsid w:val="00F379CE"/>
    <w:rsid w:val="00F40C08"/>
    <w:rsid w:val="00F40DDA"/>
    <w:rsid w:val="00F414FC"/>
    <w:rsid w:val="00F4164B"/>
    <w:rsid w:val="00F41BE2"/>
    <w:rsid w:val="00F41F2C"/>
    <w:rsid w:val="00F42359"/>
    <w:rsid w:val="00F429CE"/>
    <w:rsid w:val="00F43FE0"/>
    <w:rsid w:val="00F46807"/>
    <w:rsid w:val="00F46FB6"/>
    <w:rsid w:val="00F4788B"/>
    <w:rsid w:val="00F510C5"/>
    <w:rsid w:val="00F517BA"/>
    <w:rsid w:val="00F5198B"/>
    <w:rsid w:val="00F519AC"/>
    <w:rsid w:val="00F51D47"/>
    <w:rsid w:val="00F526F5"/>
    <w:rsid w:val="00F527F4"/>
    <w:rsid w:val="00F52806"/>
    <w:rsid w:val="00F52B29"/>
    <w:rsid w:val="00F53EE8"/>
    <w:rsid w:val="00F54AF5"/>
    <w:rsid w:val="00F5565C"/>
    <w:rsid w:val="00F56405"/>
    <w:rsid w:val="00F601AE"/>
    <w:rsid w:val="00F60954"/>
    <w:rsid w:val="00F60B0D"/>
    <w:rsid w:val="00F60FE3"/>
    <w:rsid w:val="00F6124C"/>
    <w:rsid w:val="00F6145D"/>
    <w:rsid w:val="00F61592"/>
    <w:rsid w:val="00F6336F"/>
    <w:rsid w:val="00F63BC3"/>
    <w:rsid w:val="00F63C6F"/>
    <w:rsid w:val="00F642F3"/>
    <w:rsid w:val="00F649B5"/>
    <w:rsid w:val="00F64E7E"/>
    <w:rsid w:val="00F653A0"/>
    <w:rsid w:val="00F678AD"/>
    <w:rsid w:val="00F6790B"/>
    <w:rsid w:val="00F67DD8"/>
    <w:rsid w:val="00F67FBF"/>
    <w:rsid w:val="00F7010A"/>
    <w:rsid w:val="00F702B8"/>
    <w:rsid w:val="00F70839"/>
    <w:rsid w:val="00F70EE6"/>
    <w:rsid w:val="00F71388"/>
    <w:rsid w:val="00F72B19"/>
    <w:rsid w:val="00F72F28"/>
    <w:rsid w:val="00F73A37"/>
    <w:rsid w:val="00F740E7"/>
    <w:rsid w:val="00F74799"/>
    <w:rsid w:val="00F75258"/>
    <w:rsid w:val="00F758C3"/>
    <w:rsid w:val="00F75C6D"/>
    <w:rsid w:val="00F77665"/>
    <w:rsid w:val="00F776E8"/>
    <w:rsid w:val="00F803A1"/>
    <w:rsid w:val="00F81C89"/>
    <w:rsid w:val="00F81CCE"/>
    <w:rsid w:val="00F81CFE"/>
    <w:rsid w:val="00F82A7F"/>
    <w:rsid w:val="00F83DE1"/>
    <w:rsid w:val="00F84528"/>
    <w:rsid w:val="00F84BCF"/>
    <w:rsid w:val="00F84C8A"/>
    <w:rsid w:val="00F855AA"/>
    <w:rsid w:val="00F859EC"/>
    <w:rsid w:val="00F860C9"/>
    <w:rsid w:val="00F862E3"/>
    <w:rsid w:val="00F863B2"/>
    <w:rsid w:val="00F86C62"/>
    <w:rsid w:val="00F8715C"/>
    <w:rsid w:val="00F8743B"/>
    <w:rsid w:val="00F87BF9"/>
    <w:rsid w:val="00F9012E"/>
    <w:rsid w:val="00F90E53"/>
    <w:rsid w:val="00F91C8B"/>
    <w:rsid w:val="00F91D40"/>
    <w:rsid w:val="00F92A6B"/>
    <w:rsid w:val="00F92E3E"/>
    <w:rsid w:val="00F92E72"/>
    <w:rsid w:val="00F92E93"/>
    <w:rsid w:val="00F9345E"/>
    <w:rsid w:val="00F940EB"/>
    <w:rsid w:val="00F9480B"/>
    <w:rsid w:val="00F94983"/>
    <w:rsid w:val="00F95121"/>
    <w:rsid w:val="00F95271"/>
    <w:rsid w:val="00F96058"/>
    <w:rsid w:val="00F963C8"/>
    <w:rsid w:val="00F966FD"/>
    <w:rsid w:val="00F97451"/>
    <w:rsid w:val="00F97B3E"/>
    <w:rsid w:val="00F97FAB"/>
    <w:rsid w:val="00FA025C"/>
    <w:rsid w:val="00FA1321"/>
    <w:rsid w:val="00FA23FA"/>
    <w:rsid w:val="00FA24F9"/>
    <w:rsid w:val="00FA29BD"/>
    <w:rsid w:val="00FA3805"/>
    <w:rsid w:val="00FA47A7"/>
    <w:rsid w:val="00FA4DEF"/>
    <w:rsid w:val="00FA53FD"/>
    <w:rsid w:val="00FA547A"/>
    <w:rsid w:val="00FA71D6"/>
    <w:rsid w:val="00FA74A9"/>
    <w:rsid w:val="00FA7737"/>
    <w:rsid w:val="00FA7FA2"/>
    <w:rsid w:val="00FB02B8"/>
    <w:rsid w:val="00FB1147"/>
    <w:rsid w:val="00FB2DBF"/>
    <w:rsid w:val="00FB3C5F"/>
    <w:rsid w:val="00FB3EED"/>
    <w:rsid w:val="00FB43D9"/>
    <w:rsid w:val="00FB4638"/>
    <w:rsid w:val="00FB4B85"/>
    <w:rsid w:val="00FB4DBA"/>
    <w:rsid w:val="00FB527C"/>
    <w:rsid w:val="00FB53C3"/>
    <w:rsid w:val="00FB5746"/>
    <w:rsid w:val="00FB5D94"/>
    <w:rsid w:val="00FB6D98"/>
    <w:rsid w:val="00FC0061"/>
    <w:rsid w:val="00FC0340"/>
    <w:rsid w:val="00FC0C1C"/>
    <w:rsid w:val="00FC0FCB"/>
    <w:rsid w:val="00FC13CE"/>
    <w:rsid w:val="00FC1F7C"/>
    <w:rsid w:val="00FC2283"/>
    <w:rsid w:val="00FC2C20"/>
    <w:rsid w:val="00FC30D2"/>
    <w:rsid w:val="00FC31C6"/>
    <w:rsid w:val="00FC3732"/>
    <w:rsid w:val="00FC4F35"/>
    <w:rsid w:val="00FC56BB"/>
    <w:rsid w:val="00FC682C"/>
    <w:rsid w:val="00FC7EF3"/>
    <w:rsid w:val="00FD00F7"/>
    <w:rsid w:val="00FD0A49"/>
    <w:rsid w:val="00FD0E3B"/>
    <w:rsid w:val="00FD26E3"/>
    <w:rsid w:val="00FD54AA"/>
    <w:rsid w:val="00FD6821"/>
    <w:rsid w:val="00FD6DFC"/>
    <w:rsid w:val="00FD7F46"/>
    <w:rsid w:val="00FE089E"/>
    <w:rsid w:val="00FE08DE"/>
    <w:rsid w:val="00FE1748"/>
    <w:rsid w:val="00FE1CC8"/>
    <w:rsid w:val="00FE2205"/>
    <w:rsid w:val="00FE2F80"/>
    <w:rsid w:val="00FE308B"/>
    <w:rsid w:val="00FE4A6C"/>
    <w:rsid w:val="00FE4AC9"/>
    <w:rsid w:val="00FE4E7F"/>
    <w:rsid w:val="00FE51E6"/>
    <w:rsid w:val="00FE770F"/>
    <w:rsid w:val="00FE7A06"/>
    <w:rsid w:val="00FF0A55"/>
    <w:rsid w:val="00FF104B"/>
    <w:rsid w:val="00FF119C"/>
    <w:rsid w:val="00FF1A4A"/>
    <w:rsid w:val="00FF1A57"/>
    <w:rsid w:val="00FF1B2E"/>
    <w:rsid w:val="00FF1DBB"/>
    <w:rsid w:val="00FF3A98"/>
    <w:rsid w:val="00FF4F7C"/>
    <w:rsid w:val="00FF5E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4B0C7"/>
  <w15:chartTrackingRefBased/>
  <w15:docId w15:val="{8E6FD3F7-2460-4792-B894-81EED412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598"/>
  </w:style>
  <w:style w:type="paragraph" w:styleId="Ttulo1">
    <w:name w:val="heading 1"/>
    <w:basedOn w:val="Normal"/>
    <w:next w:val="Normal"/>
    <w:link w:val="Ttulo1Car"/>
    <w:uiPriority w:val="9"/>
    <w:qFormat/>
    <w:rsid w:val="00C01857"/>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paragraph" w:styleId="Ttulo2">
    <w:name w:val="heading 2"/>
    <w:basedOn w:val="Normal"/>
    <w:next w:val="Normal"/>
    <w:link w:val="Ttulo2Car"/>
    <w:uiPriority w:val="9"/>
    <w:unhideWhenUsed/>
    <w:qFormat/>
    <w:rsid w:val="00DF2273"/>
    <w:pPr>
      <w:keepNext/>
      <w:keepLines/>
      <w:spacing w:before="40" w:after="0"/>
      <w:outlineLvl w:val="1"/>
    </w:pPr>
    <w:rPr>
      <w:rFonts w:asciiTheme="majorHAnsi" w:eastAsiaTheme="majorEastAsia" w:hAnsiTheme="majorHAnsi" w:cstheme="majorBidi"/>
      <w:color w:val="729928" w:themeColor="accent1" w:themeShade="BF"/>
      <w:sz w:val="26"/>
      <w:szCs w:val="26"/>
    </w:rPr>
  </w:style>
  <w:style w:type="paragraph" w:styleId="Ttulo3">
    <w:name w:val="heading 3"/>
    <w:basedOn w:val="Normal"/>
    <w:next w:val="Normal"/>
    <w:link w:val="Ttulo3Car"/>
    <w:uiPriority w:val="9"/>
    <w:unhideWhenUsed/>
    <w:qFormat/>
    <w:rsid w:val="00DF2273"/>
    <w:pPr>
      <w:keepNext/>
      <w:keepLines/>
      <w:spacing w:before="40" w:after="0"/>
      <w:outlineLvl w:val="2"/>
    </w:pPr>
    <w:rPr>
      <w:rFonts w:asciiTheme="majorHAnsi" w:eastAsiaTheme="majorEastAsia" w:hAnsiTheme="majorHAnsi" w:cstheme="majorBidi"/>
      <w:color w:val="4C661A" w:themeColor="accent1" w:themeShade="7F"/>
      <w:sz w:val="24"/>
      <w:szCs w:val="24"/>
    </w:rPr>
  </w:style>
  <w:style w:type="paragraph" w:styleId="Ttulo4">
    <w:name w:val="heading 4"/>
    <w:basedOn w:val="Normal"/>
    <w:next w:val="Normal"/>
    <w:link w:val="Ttulo4Car"/>
    <w:uiPriority w:val="9"/>
    <w:semiHidden/>
    <w:unhideWhenUsed/>
    <w:qFormat/>
    <w:rsid w:val="00DF2273"/>
    <w:pPr>
      <w:keepNext/>
      <w:keepLines/>
      <w:spacing w:before="40" w:after="0"/>
      <w:outlineLvl w:val="3"/>
    </w:pPr>
    <w:rPr>
      <w:rFonts w:asciiTheme="majorHAnsi" w:eastAsiaTheme="majorEastAsia" w:hAnsiTheme="majorHAnsi" w:cstheme="majorBidi"/>
      <w:i/>
      <w:iCs/>
      <w:color w:val="729928" w:themeColor="accent1" w:themeShade="BF"/>
    </w:rPr>
  </w:style>
  <w:style w:type="paragraph" w:styleId="Ttulo5">
    <w:name w:val="heading 5"/>
    <w:basedOn w:val="Normal"/>
    <w:next w:val="Normal"/>
    <w:link w:val="Ttulo5Car"/>
    <w:uiPriority w:val="9"/>
    <w:semiHidden/>
    <w:unhideWhenUsed/>
    <w:qFormat/>
    <w:rsid w:val="00DF2273"/>
    <w:pPr>
      <w:keepNext/>
      <w:keepLines/>
      <w:spacing w:before="40" w:after="0"/>
      <w:outlineLvl w:val="4"/>
    </w:pPr>
    <w:rPr>
      <w:rFonts w:asciiTheme="majorHAnsi" w:eastAsiaTheme="majorEastAsia" w:hAnsiTheme="majorHAnsi" w:cstheme="majorBidi"/>
      <w:color w:val="729928" w:themeColor="accent1" w:themeShade="BF"/>
    </w:rPr>
  </w:style>
  <w:style w:type="paragraph" w:styleId="Ttulo6">
    <w:name w:val="heading 6"/>
    <w:basedOn w:val="Normal"/>
    <w:next w:val="Normal"/>
    <w:link w:val="Ttulo6Car"/>
    <w:uiPriority w:val="9"/>
    <w:semiHidden/>
    <w:unhideWhenUsed/>
    <w:qFormat/>
    <w:rsid w:val="00DF2273"/>
    <w:pPr>
      <w:keepNext/>
      <w:keepLines/>
      <w:spacing w:before="40" w:after="0"/>
      <w:outlineLvl w:val="5"/>
    </w:pPr>
    <w:rPr>
      <w:rFonts w:asciiTheme="majorHAnsi" w:eastAsiaTheme="majorEastAsia" w:hAnsiTheme="majorHAnsi" w:cstheme="majorBidi"/>
      <w:color w:val="4C661A" w:themeColor="accent1" w:themeShade="7F"/>
    </w:rPr>
  </w:style>
  <w:style w:type="paragraph" w:styleId="Ttulo7">
    <w:name w:val="heading 7"/>
    <w:basedOn w:val="Normal"/>
    <w:next w:val="Normal"/>
    <w:link w:val="Ttulo7Car"/>
    <w:uiPriority w:val="9"/>
    <w:semiHidden/>
    <w:unhideWhenUsed/>
    <w:qFormat/>
    <w:rsid w:val="00DF2273"/>
    <w:pPr>
      <w:keepNext/>
      <w:keepLines/>
      <w:spacing w:before="40" w:after="0"/>
      <w:outlineLvl w:val="6"/>
    </w:pPr>
    <w:rPr>
      <w:rFonts w:asciiTheme="majorHAnsi" w:eastAsiaTheme="majorEastAsia" w:hAnsiTheme="majorHAnsi" w:cstheme="majorBidi"/>
      <w:i/>
      <w:iCs/>
      <w:color w:val="4C661A" w:themeColor="accent1" w:themeShade="7F"/>
    </w:rPr>
  </w:style>
  <w:style w:type="paragraph" w:styleId="Ttulo8">
    <w:name w:val="heading 8"/>
    <w:basedOn w:val="Normal"/>
    <w:next w:val="Normal"/>
    <w:link w:val="Ttulo8Car"/>
    <w:uiPriority w:val="9"/>
    <w:semiHidden/>
    <w:unhideWhenUsed/>
    <w:qFormat/>
    <w:rsid w:val="00DF227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22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2F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F80"/>
  </w:style>
  <w:style w:type="paragraph" w:styleId="Piedepgina">
    <w:name w:val="footer"/>
    <w:basedOn w:val="Normal"/>
    <w:link w:val="PiedepginaCar"/>
    <w:uiPriority w:val="99"/>
    <w:unhideWhenUsed/>
    <w:rsid w:val="00CB2F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F80"/>
  </w:style>
  <w:style w:type="paragraph" w:styleId="Sinespaciado">
    <w:name w:val="No Spacing"/>
    <w:link w:val="SinespaciadoCar"/>
    <w:uiPriority w:val="1"/>
    <w:qFormat/>
    <w:rsid w:val="00CB2F8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CB2F80"/>
    <w:rPr>
      <w:rFonts w:eastAsiaTheme="minorEastAsia"/>
      <w:lang w:eastAsia="es-CO"/>
    </w:rPr>
  </w:style>
  <w:style w:type="table" w:styleId="Tablaconcuadrcula">
    <w:name w:val="Table Grid"/>
    <w:basedOn w:val="Tablanormal"/>
    <w:uiPriority w:val="39"/>
    <w:rsid w:val="00CB2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01857"/>
    <w:rPr>
      <w:rFonts w:asciiTheme="majorHAnsi" w:eastAsiaTheme="majorEastAsia" w:hAnsiTheme="majorHAnsi" w:cstheme="majorBidi"/>
      <w:color w:val="729928" w:themeColor="accent1" w:themeShade="BF"/>
      <w:sz w:val="32"/>
      <w:szCs w:val="32"/>
    </w:rPr>
  </w:style>
  <w:style w:type="paragraph" w:styleId="TtuloTDC">
    <w:name w:val="TOC Heading"/>
    <w:basedOn w:val="Ttulo1"/>
    <w:next w:val="Normal"/>
    <w:uiPriority w:val="39"/>
    <w:unhideWhenUsed/>
    <w:qFormat/>
    <w:rsid w:val="00C01857"/>
    <w:pPr>
      <w:outlineLvl w:val="9"/>
    </w:pPr>
    <w:rPr>
      <w:lang w:eastAsia="es-CO"/>
    </w:rPr>
  </w:style>
  <w:style w:type="paragraph" w:styleId="TDC2">
    <w:name w:val="toc 2"/>
    <w:basedOn w:val="Normal"/>
    <w:next w:val="Normal"/>
    <w:autoRedefine/>
    <w:uiPriority w:val="39"/>
    <w:unhideWhenUsed/>
    <w:rsid w:val="00EC201C"/>
    <w:pPr>
      <w:tabs>
        <w:tab w:val="right" w:leader="dot" w:pos="8828"/>
      </w:tabs>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5403AF"/>
    <w:pPr>
      <w:tabs>
        <w:tab w:val="left" w:pos="440"/>
        <w:tab w:val="right" w:leader="dot" w:pos="8828"/>
      </w:tabs>
      <w:spacing w:after="100" w:line="240" w:lineRule="auto"/>
    </w:pPr>
    <w:rPr>
      <w:rFonts w:eastAsiaTheme="minorEastAsia" w:cs="Times New Roman"/>
      <w:lang w:eastAsia="es-CO"/>
    </w:rPr>
  </w:style>
  <w:style w:type="paragraph" w:styleId="TDC3">
    <w:name w:val="toc 3"/>
    <w:basedOn w:val="Normal"/>
    <w:next w:val="Normal"/>
    <w:autoRedefine/>
    <w:uiPriority w:val="39"/>
    <w:unhideWhenUsed/>
    <w:rsid w:val="00C01857"/>
    <w:pPr>
      <w:spacing w:after="100"/>
      <w:ind w:left="440"/>
    </w:pPr>
    <w:rPr>
      <w:rFonts w:eastAsiaTheme="minorEastAsia" w:cs="Times New Roman"/>
      <w:lang w:eastAsia="es-CO"/>
    </w:rPr>
  </w:style>
  <w:style w:type="paragraph" w:styleId="Prrafodelista">
    <w:name w:val="List Paragraph"/>
    <w:basedOn w:val="Normal"/>
    <w:uiPriority w:val="34"/>
    <w:qFormat/>
    <w:rsid w:val="00C01857"/>
    <w:pPr>
      <w:ind w:left="720"/>
      <w:contextualSpacing/>
    </w:pPr>
  </w:style>
  <w:style w:type="character" w:styleId="Hipervnculo">
    <w:name w:val="Hyperlink"/>
    <w:basedOn w:val="Fuentedeprrafopredeter"/>
    <w:uiPriority w:val="99"/>
    <w:unhideWhenUsed/>
    <w:rsid w:val="00471B4F"/>
    <w:rPr>
      <w:color w:val="EE7B08" w:themeColor="hyperlink"/>
      <w:u w:val="single"/>
    </w:rPr>
  </w:style>
  <w:style w:type="paragraph" w:customStyle="1" w:styleId="Default">
    <w:name w:val="Default"/>
    <w:rsid w:val="00A64AA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85EE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denotaalfinal">
    <w:name w:val="Texto de nota al final"/>
    <w:basedOn w:val="Normal"/>
    <w:rsid w:val="00941A03"/>
    <w:pPr>
      <w:widowControl w:val="0"/>
      <w:spacing w:after="0" w:line="240" w:lineRule="auto"/>
    </w:pPr>
    <w:rPr>
      <w:rFonts w:ascii="Courier New" w:eastAsia="Times New Roman" w:hAnsi="Courier New" w:cs="Times New Roman"/>
      <w:sz w:val="24"/>
      <w:szCs w:val="20"/>
      <w:lang w:val="es-ES_tradnl" w:eastAsia="es-CO"/>
    </w:rPr>
  </w:style>
  <w:style w:type="character" w:styleId="Mencinsinresolver">
    <w:name w:val="Unresolved Mention"/>
    <w:basedOn w:val="Fuentedeprrafopredeter"/>
    <w:uiPriority w:val="99"/>
    <w:semiHidden/>
    <w:unhideWhenUsed/>
    <w:rsid w:val="00F0733B"/>
    <w:rPr>
      <w:color w:val="605E5C"/>
      <w:shd w:val="clear" w:color="auto" w:fill="E1DFDD"/>
    </w:rPr>
  </w:style>
  <w:style w:type="paragraph" w:styleId="Tabladeilustraciones">
    <w:name w:val="table of figures"/>
    <w:aliases w:val="Lista de Tablas"/>
    <w:basedOn w:val="Normal"/>
    <w:next w:val="Normal"/>
    <w:uiPriority w:val="99"/>
    <w:unhideWhenUsed/>
    <w:qFormat/>
    <w:rsid w:val="00F0733B"/>
    <w:pPr>
      <w:spacing w:after="0"/>
    </w:pPr>
    <w:rPr>
      <w:rFonts w:ascii="Trebuchet MS" w:hAnsi="Trebuchet MS"/>
    </w:rPr>
  </w:style>
  <w:style w:type="paragraph" w:styleId="Descripcin">
    <w:name w:val="caption"/>
    <w:basedOn w:val="Normal"/>
    <w:next w:val="Normal"/>
    <w:uiPriority w:val="35"/>
    <w:unhideWhenUsed/>
    <w:qFormat/>
    <w:rsid w:val="00F0733B"/>
    <w:pPr>
      <w:spacing w:after="200" w:line="240" w:lineRule="auto"/>
    </w:pPr>
    <w:rPr>
      <w:i/>
      <w:iCs/>
      <w:color w:val="455F51" w:themeColor="text2"/>
      <w:sz w:val="18"/>
      <w:szCs w:val="18"/>
    </w:rPr>
  </w:style>
  <w:style w:type="character" w:customStyle="1" w:styleId="Ttulo2Car">
    <w:name w:val="Título 2 Car"/>
    <w:basedOn w:val="Fuentedeprrafopredeter"/>
    <w:link w:val="Ttulo2"/>
    <w:uiPriority w:val="9"/>
    <w:rsid w:val="00DF2273"/>
    <w:rPr>
      <w:rFonts w:asciiTheme="majorHAnsi" w:eastAsiaTheme="majorEastAsia" w:hAnsiTheme="majorHAnsi" w:cstheme="majorBidi"/>
      <w:color w:val="729928" w:themeColor="accent1" w:themeShade="BF"/>
      <w:sz w:val="26"/>
      <w:szCs w:val="26"/>
    </w:rPr>
  </w:style>
  <w:style w:type="character" w:customStyle="1" w:styleId="Ttulo3Car">
    <w:name w:val="Título 3 Car"/>
    <w:basedOn w:val="Fuentedeprrafopredeter"/>
    <w:link w:val="Ttulo3"/>
    <w:uiPriority w:val="9"/>
    <w:rsid w:val="00DF2273"/>
    <w:rPr>
      <w:rFonts w:asciiTheme="majorHAnsi" w:eastAsiaTheme="majorEastAsia" w:hAnsiTheme="majorHAnsi" w:cstheme="majorBidi"/>
      <w:color w:val="4C661A" w:themeColor="accent1" w:themeShade="7F"/>
      <w:sz w:val="24"/>
      <w:szCs w:val="24"/>
    </w:rPr>
  </w:style>
  <w:style w:type="character" w:customStyle="1" w:styleId="Ttulo4Car">
    <w:name w:val="Título 4 Car"/>
    <w:basedOn w:val="Fuentedeprrafopredeter"/>
    <w:link w:val="Ttulo4"/>
    <w:uiPriority w:val="9"/>
    <w:semiHidden/>
    <w:rsid w:val="00DF2273"/>
    <w:rPr>
      <w:rFonts w:asciiTheme="majorHAnsi" w:eastAsiaTheme="majorEastAsia" w:hAnsiTheme="majorHAnsi" w:cstheme="majorBidi"/>
      <w:i/>
      <w:iCs/>
      <w:color w:val="729928" w:themeColor="accent1" w:themeShade="BF"/>
    </w:rPr>
  </w:style>
  <w:style w:type="character" w:customStyle="1" w:styleId="Ttulo5Car">
    <w:name w:val="Título 5 Car"/>
    <w:basedOn w:val="Fuentedeprrafopredeter"/>
    <w:link w:val="Ttulo5"/>
    <w:uiPriority w:val="9"/>
    <w:semiHidden/>
    <w:rsid w:val="00DF2273"/>
    <w:rPr>
      <w:rFonts w:asciiTheme="majorHAnsi" w:eastAsiaTheme="majorEastAsia" w:hAnsiTheme="majorHAnsi" w:cstheme="majorBidi"/>
      <w:color w:val="729928" w:themeColor="accent1" w:themeShade="BF"/>
    </w:rPr>
  </w:style>
  <w:style w:type="character" w:customStyle="1" w:styleId="Ttulo6Car">
    <w:name w:val="Título 6 Car"/>
    <w:basedOn w:val="Fuentedeprrafopredeter"/>
    <w:link w:val="Ttulo6"/>
    <w:uiPriority w:val="9"/>
    <w:semiHidden/>
    <w:rsid w:val="00DF2273"/>
    <w:rPr>
      <w:rFonts w:asciiTheme="majorHAnsi" w:eastAsiaTheme="majorEastAsia" w:hAnsiTheme="majorHAnsi" w:cstheme="majorBidi"/>
      <w:color w:val="4C661A" w:themeColor="accent1" w:themeShade="7F"/>
    </w:rPr>
  </w:style>
  <w:style w:type="character" w:customStyle="1" w:styleId="Ttulo7Car">
    <w:name w:val="Título 7 Car"/>
    <w:basedOn w:val="Fuentedeprrafopredeter"/>
    <w:link w:val="Ttulo7"/>
    <w:uiPriority w:val="9"/>
    <w:semiHidden/>
    <w:rsid w:val="00DF2273"/>
    <w:rPr>
      <w:rFonts w:asciiTheme="majorHAnsi" w:eastAsiaTheme="majorEastAsia" w:hAnsiTheme="majorHAnsi" w:cstheme="majorBidi"/>
      <w:i/>
      <w:iCs/>
      <w:color w:val="4C661A" w:themeColor="accent1" w:themeShade="7F"/>
    </w:rPr>
  </w:style>
  <w:style w:type="character" w:customStyle="1" w:styleId="Ttulo8Car">
    <w:name w:val="Título 8 Car"/>
    <w:basedOn w:val="Fuentedeprrafopredeter"/>
    <w:link w:val="Ttulo8"/>
    <w:uiPriority w:val="9"/>
    <w:semiHidden/>
    <w:rsid w:val="00DF227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2273"/>
    <w:rPr>
      <w:rFonts w:asciiTheme="majorHAnsi" w:eastAsiaTheme="majorEastAsia" w:hAnsiTheme="majorHAnsi" w:cstheme="majorBidi"/>
      <w:i/>
      <w:iCs/>
      <w:color w:val="272727" w:themeColor="text1" w:themeTint="D8"/>
      <w:sz w:val="21"/>
      <w:szCs w:val="21"/>
    </w:rPr>
  </w:style>
  <w:style w:type="table" w:styleId="Tablaconcuadrcula5oscura-nfasis3">
    <w:name w:val="Grid Table 5 Dark Accent 3"/>
    <w:basedOn w:val="Tablanormal"/>
    <w:uiPriority w:val="50"/>
    <w:rsid w:val="00D45D89"/>
    <w:pPr>
      <w:spacing w:after="0" w:line="240" w:lineRule="auto"/>
    </w:pPr>
    <w:rPr>
      <w:rFonts w:eastAsiaTheme="minorEastAsia"/>
      <w:lang w:eastAsia="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0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A76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A76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A76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A76F" w:themeFill="accent3"/>
      </w:tcPr>
    </w:tblStylePr>
    <w:tblStylePr w:type="band1Vert">
      <w:tblPr/>
      <w:tcPr>
        <w:shd w:val="clear" w:color="auto" w:fill="A8E2C5" w:themeFill="accent3" w:themeFillTint="66"/>
      </w:tcPr>
    </w:tblStylePr>
    <w:tblStylePr w:type="band1Horz">
      <w:tblPr/>
      <w:tcPr>
        <w:shd w:val="clear" w:color="auto" w:fill="A8E2C5" w:themeFill="accent3" w:themeFillTint="66"/>
      </w:tcPr>
    </w:tblStylePr>
  </w:style>
  <w:style w:type="table" w:styleId="Tabladelista6concolores-nfasis2">
    <w:name w:val="List Table 6 Colorful Accent 2"/>
    <w:basedOn w:val="Tablanormal"/>
    <w:uiPriority w:val="51"/>
    <w:rsid w:val="00314751"/>
    <w:pPr>
      <w:spacing w:after="0" w:line="240" w:lineRule="auto"/>
    </w:pPr>
    <w:rPr>
      <w:color w:val="4A7B29" w:themeColor="accent2" w:themeShade="BF"/>
    </w:rPr>
    <w:tblPr>
      <w:tblStyleRowBandSize w:val="1"/>
      <w:tblStyleColBandSize w:val="1"/>
      <w:tblBorders>
        <w:top w:val="single" w:sz="4" w:space="0" w:color="63A537" w:themeColor="accent2"/>
        <w:bottom w:val="single" w:sz="4" w:space="0" w:color="63A537" w:themeColor="accent2"/>
      </w:tblBorders>
    </w:tblPr>
    <w:tblStylePr w:type="firstRow">
      <w:rPr>
        <w:b/>
        <w:bCs/>
      </w:rPr>
      <w:tblPr/>
      <w:tcPr>
        <w:tcBorders>
          <w:bottom w:val="single" w:sz="4" w:space="0" w:color="63A537" w:themeColor="accent2"/>
        </w:tcBorders>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7concolores-nfasis2">
    <w:name w:val="Grid Table 7 Colorful Accent 2"/>
    <w:basedOn w:val="Tablanormal"/>
    <w:uiPriority w:val="52"/>
    <w:rsid w:val="00314751"/>
    <w:pPr>
      <w:spacing w:after="0" w:line="240" w:lineRule="auto"/>
    </w:pPr>
    <w:rPr>
      <w:color w:val="4A7B29" w:themeColor="accent2" w:themeShade="BF"/>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D3" w:themeFill="accent2" w:themeFillTint="33"/>
      </w:tcPr>
    </w:tblStylePr>
    <w:tblStylePr w:type="band1Horz">
      <w:tblPr/>
      <w:tcPr>
        <w:shd w:val="clear" w:color="auto" w:fill="DFF0D3" w:themeFill="accent2" w:themeFillTint="33"/>
      </w:tcPr>
    </w:tblStylePr>
    <w:tblStylePr w:type="neCell">
      <w:tblPr/>
      <w:tcPr>
        <w:tcBorders>
          <w:bottom w:val="single" w:sz="4" w:space="0" w:color="9FD37C" w:themeColor="accent2" w:themeTint="99"/>
        </w:tcBorders>
      </w:tcPr>
    </w:tblStylePr>
    <w:tblStylePr w:type="nwCell">
      <w:tblPr/>
      <w:tcPr>
        <w:tcBorders>
          <w:bottom w:val="single" w:sz="4" w:space="0" w:color="9FD37C" w:themeColor="accent2" w:themeTint="99"/>
        </w:tcBorders>
      </w:tcPr>
    </w:tblStylePr>
    <w:tblStylePr w:type="seCell">
      <w:tblPr/>
      <w:tcPr>
        <w:tcBorders>
          <w:top w:val="single" w:sz="4" w:space="0" w:color="9FD37C" w:themeColor="accent2" w:themeTint="99"/>
        </w:tcBorders>
      </w:tcPr>
    </w:tblStylePr>
    <w:tblStylePr w:type="swCell">
      <w:tblPr/>
      <w:tcPr>
        <w:tcBorders>
          <w:top w:val="single" w:sz="4" w:space="0" w:color="9FD37C" w:themeColor="accent2" w:themeTint="99"/>
        </w:tcBorders>
      </w:tcPr>
    </w:tblStylePr>
  </w:style>
  <w:style w:type="table" w:styleId="Tablaconcuadrcula3-nfasis2">
    <w:name w:val="Grid Table 3 Accent 2"/>
    <w:basedOn w:val="Tablanormal"/>
    <w:uiPriority w:val="48"/>
    <w:rsid w:val="00314751"/>
    <w:pPr>
      <w:spacing w:after="0"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D3" w:themeFill="accent2" w:themeFillTint="33"/>
      </w:tcPr>
    </w:tblStylePr>
    <w:tblStylePr w:type="band1Horz">
      <w:tblPr/>
      <w:tcPr>
        <w:shd w:val="clear" w:color="auto" w:fill="DFF0D3" w:themeFill="accent2" w:themeFillTint="33"/>
      </w:tcPr>
    </w:tblStylePr>
    <w:tblStylePr w:type="neCell">
      <w:tblPr/>
      <w:tcPr>
        <w:tcBorders>
          <w:bottom w:val="single" w:sz="4" w:space="0" w:color="9FD37C" w:themeColor="accent2" w:themeTint="99"/>
        </w:tcBorders>
      </w:tcPr>
    </w:tblStylePr>
    <w:tblStylePr w:type="nwCell">
      <w:tblPr/>
      <w:tcPr>
        <w:tcBorders>
          <w:bottom w:val="single" w:sz="4" w:space="0" w:color="9FD37C" w:themeColor="accent2" w:themeTint="99"/>
        </w:tcBorders>
      </w:tcPr>
    </w:tblStylePr>
    <w:tblStylePr w:type="seCell">
      <w:tblPr/>
      <w:tcPr>
        <w:tcBorders>
          <w:top w:val="single" w:sz="4" w:space="0" w:color="9FD37C" w:themeColor="accent2" w:themeTint="99"/>
        </w:tcBorders>
      </w:tcPr>
    </w:tblStylePr>
    <w:tblStylePr w:type="swCell">
      <w:tblPr/>
      <w:tcPr>
        <w:tcBorders>
          <w:top w:val="single" w:sz="4" w:space="0" w:color="9FD37C" w:themeColor="accent2" w:themeTint="99"/>
        </w:tcBorders>
      </w:tcPr>
    </w:tblStylePr>
  </w:style>
  <w:style w:type="table" w:styleId="Tablaconcuadrcula2-nfasis2">
    <w:name w:val="Grid Table 2 Accent 2"/>
    <w:basedOn w:val="Tablanormal"/>
    <w:uiPriority w:val="47"/>
    <w:rsid w:val="00314751"/>
    <w:pPr>
      <w:spacing w:after="0" w:line="240" w:lineRule="auto"/>
    </w:pPr>
    <w:tblPr>
      <w:tblStyleRowBandSize w:val="1"/>
      <w:tblStyleColBandSize w:val="1"/>
      <w:tblBorders>
        <w:top w:val="single" w:sz="2" w:space="0" w:color="9FD37C" w:themeColor="accent2" w:themeTint="99"/>
        <w:bottom w:val="single" w:sz="2" w:space="0" w:color="9FD37C" w:themeColor="accent2" w:themeTint="99"/>
        <w:insideH w:val="single" w:sz="2" w:space="0" w:color="9FD37C" w:themeColor="accent2" w:themeTint="99"/>
        <w:insideV w:val="single" w:sz="2" w:space="0" w:color="9FD37C" w:themeColor="accent2" w:themeTint="99"/>
      </w:tblBorders>
    </w:tblPr>
    <w:tblStylePr w:type="firstRow">
      <w:rPr>
        <w:b/>
        <w:bCs/>
      </w:rPr>
      <w:tblPr/>
      <w:tcPr>
        <w:tcBorders>
          <w:top w:val="nil"/>
          <w:bottom w:val="single" w:sz="12" w:space="0" w:color="9FD37C" w:themeColor="accent2" w:themeTint="99"/>
          <w:insideH w:val="nil"/>
          <w:insideV w:val="nil"/>
        </w:tcBorders>
        <w:shd w:val="clear" w:color="auto" w:fill="FFFFFF" w:themeFill="background1"/>
      </w:tcPr>
    </w:tblStylePr>
    <w:tblStylePr w:type="lastRow">
      <w:rPr>
        <w:b/>
        <w:bCs/>
      </w:rPr>
      <w:tblPr/>
      <w:tcPr>
        <w:tcBorders>
          <w:top w:val="double" w:sz="2" w:space="0" w:color="9FD3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5oscura-nfasis2">
    <w:name w:val="Grid Table 5 Dark Accent 2"/>
    <w:basedOn w:val="Tablanormal"/>
    <w:uiPriority w:val="50"/>
    <w:rsid w:val="003147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A5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A5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A5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A537" w:themeFill="accent2"/>
      </w:tcPr>
    </w:tblStylePr>
    <w:tblStylePr w:type="band1Vert">
      <w:tblPr/>
      <w:tcPr>
        <w:shd w:val="clear" w:color="auto" w:fill="BFE2A8" w:themeFill="accent2" w:themeFillTint="66"/>
      </w:tcPr>
    </w:tblStylePr>
    <w:tblStylePr w:type="band1Horz">
      <w:tblPr/>
      <w:tcPr>
        <w:shd w:val="clear" w:color="auto" w:fill="BFE2A8" w:themeFill="accent2" w:themeFillTint="66"/>
      </w:tcPr>
    </w:tblStylePr>
  </w:style>
  <w:style w:type="table" w:styleId="Tablaconcuadrcula2-nfasis1">
    <w:name w:val="Grid Table 2 Accent 1"/>
    <w:basedOn w:val="Tablanormal"/>
    <w:uiPriority w:val="47"/>
    <w:rsid w:val="00314751"/>
    <w:pPr>
      <w:spacing w:after="0" w:line="240" w:lineRule="auto"/>
    </w:pPr>
    <w:tblPr>
      <w:tblStyleRowBandSize w:val="1"/>
      <w:tblStyleColBandSize w:val="1"/>
      <w:tblBorders>
        <w:top w:val="single" w:sz="2" w:space="0" w:color="C1DF87" w:themeColor="accent1" w:themeTint="99"/>
        <w:bottom w:val="single" w:sz="2" w:space="0" w:color="C1DF87" w:themeColor="accent1" w:themeTint="99"/>
        <w:insideH w:val="single" w:sz="2" w:space="0" w:color="C1DF87" w:themeColor="accent1" w:themeTint="99"/>
        <w:insideV w:val="single" w:sz="2" w:space="0" w:color="C1DF87" w:themeColor="accent1" w:themeTint="99"/>
      </w:tblBorders>
    </w:tblPr>
    <w:tblStylePr w:type="firstRow">
      <w:rPr>
        <w:b/>
        <w:bCs/>
      </w:rPr>
      <w:tblPr/>
      <w:tcPr>
        <w:tcBorders>
          <w:top w:val="nil"/>
          <w:bottom w:val="single" w:sz="12" w:space="0" w:color="C1DF87" w:themeColor="accent1" w:themeTint="99"/>
          <w:insideH w:val="nil"/>
          <w:insideV w:val="nil"/>
        </w:tcBorders>
        <w:shd w:val="clear" w:color="auto" w:fill="FFFFFF" w:themeFill="background1"/>
      </w:tcPr>
    </w:tblStylePr>
    <w:tblStylePr w:type="lastRow">
      <w:rPr>
        <w:b/>
        <w:bCs/>
      </w:rPr>
      <w:tblPr/>
      <w:tcPr>
        <w:tcBorders>
          <w:top w:val="double" w:sz="2" w:space="0" w:color="C1DF8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styleId="Tablaconcuadrcula4-nfasis1">
    <w:name w:val="Grid Table 4 Accent 1"/>
    <w:basedOn w:val="Tablanormal"/>
    <w:uiPriority w:val="49"/>
    <w:rsid w:val="00314751"/>
    <w:pPr>
      <w:spacing w:after="0" w:line="240" w:lineRule="auto"/>
    </w:p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Pr>
    <w:tblStylePr w:type="firstRow">
      <w:rPr>
        <w:b/>
        <w:bCs/>
        <w:color w:val="FFFFFF" w:themeColor="background1"/>
      </w:rPr>
      <w:tblPr/>
      <w:tcPr>
        <w:tcBorders>
          <w:top w:val="single" w:sz="4" w:space="0" w:color="99CB38" w:themeColor="accent1"/>
          <w:left w:val="single" w:sz="4" w:space="0" w:color="99CB38" w:themeColor="accent1"/>
          <w:bottom w:val="single" w:sz="4" w:space="0" w:color="99CB38" w:themeColor="accent1"/>
          <w:right w:val="single" w:sz="4" w:space="0" w:color="99CB38" w:themeColor="accent1"/>
          <w:insideH w:val="nil"/>
          <w:insideV w:val="nil"/>
        </w:tcBorders>
        <w:shd w:val="clear" w:color="auto" w:fill="99CB38" w:themeFill="accent1"/>
      </w:tcPr>
    </w:tblStylePr>
    <w:tblStylePr w:type="lastRow">
      <w:rPr>
        <w:b/>
        <w:bCs/>
      </w:rPr>
      <w:tblPr/>
      <w:tcPr>
        <w:tcBorders>
          <w:top w:val="double" w:sz="4" w:space="0" w:color="99CB38" w:themeColor="accent1"/>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styleId="Tabladelista7concolores-nfasis2">
    <w:name w:val="List Table 7 Colorful Accent 2"/>
    <w:basedOn w:val="Tablanormal"/>
    <w:uiPriority w:val="52"/>
    <w:rsid w:val="00314751"/>
    <w:pPr>
      <w:spacing w:after="0" w:line="240" w:lineRule="auto"/>
    </w:pPr>
    <w:rPr>
      <w:color w:val="4A7B2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A53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A53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A53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A537" w:themeColor="accent2"/>
        </w:tcBorders>
        <w:shd w:val="clear" w:color="auto" w:fill="FFFFFF" w:themeFill="background1"/>
      </w:tcPr>
    </w:tblStylePr>
    <w:tblStylePr w:type="band1Vert">
      <w:tblPr/>
      <w:tcPr>
        <w:shd w:val="clear" w:color="auto" w:fill="DFF0D3" w:themeFill="accent2" w:themeFillTint="33"/>
      </w:tcPr>
    </w:tblStylePr>
    <w:tblStylePr w:type="band1Horz">
      <w:tblPr/>
      <w:tcPr>
        <w:shd w:val="clear" w:color="auto" w:fill="DFF0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4-nfasis2">
    <w:name w:val="Grid Table 4 Accent 2"/>
    <w:basedOn w:val="Tablanormal"/>
    <w:uiPriority w:val="49"/>
    <w:rsid w:val="00314751"/>
    <w:pPr>
      <w:spacing w:after="0"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5oscura-nfasis1">
    <w:name w:val="Grid Table 5 Dark Accent 1"/>
    <w:basedOn w:val="Tablanormal"/>
    <w:uiPriority w:val="50"/>
    <w:rsid w:val="00946E4D"/>
    <w:pPr>
      <w:spacing w:after="0" w:line="240" w:lineRule="auto"/>
      <w:jc w:val="right"/>
    </w:pPr>
    <w:rPr>
      <w:rFonts w:ascii="Trebuchet MS" w:hAnsi="Trebuchet M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7" w:themeFill="accent1" w:themeFillTint="33"/>
      <w:vAlign w:val="center"/>
    </w:tcPr>
    <w:tblStylePr w:type="firstRow">
      <w:pPr>
        <w:jc w:val="center"/>
      </w:pPr>
      <w:rPr>
        <w:b/>
        <w:bCs/>
        <w:color w:val="FFFFFF" w:themeColor="background1"/>
      </w:rPr>
      <w:tblPr/>
      <w:tcPr>
        <w:shd w:val="clear" w:color="auto" w:fill="BFE2A8" w:themeFill="accent2" w:themeFillTint="66"/>
      </w:tcPr>
    </w:tblStylePr>
    <w:tblStylePr w:type="lastRow">
      <w:rPr>
        <w:b/>
        <w:bCs/>
        <w:color w:val="FFFFFF" w:themeColor="background1"/>
      </w:rPr>
      <w:tblPr/>
      <w:tcPr>
        <w:shd w:val="clear" w:color="auto" w:fill="DFF0D3" w:themeFill="accent2" w:themeFillTint="33"/>
      </w:tcPr>
    </w:tblStylePr>
    <w:tblStylePr w:type="firstCol">
      <w:pPr>
        <w:jc w:val="left"/>
      </w:pPr>
      <w:rPr>
        <w:b/>
        <w:bCs/>
        <w:color w:val="FFFFFF" w:themeColor="background1"/>
      </w:rPr>
      <w:tblPr/>
      <w:tcPr>
        <w:shd w:val="clear" w:color="auto" w:fill="BFE2A8" w:themeFill="accent2" w:themeFillTint="66"/>
      </w:tcPr>
    </w:tblStylePr>
    <w:tblStylePr w:type="lastCol">
      <w:rPr>
        <w:b/>
        <w:bCs/>
        <w:color w:val="FFFFFF" w:themeColor="background1"/>
      </w:rPr>
      <w:tblPr/>
      <w:tcPr>
        <w:shd w:val="clear" w:color="auto" w:fill="BFE2A8" w:themeFill="accent2" w:themeFillTint="66"/>
      </w:tcPr>
    </w:tblStylePr>
    <w:tblStylePr w:type="band1Vert">
      <w:tblPr/>
      <w:tcPr>
        <w:shd w:val="clear" w:color="auto" w:fill="EAF4D7" w:themeFill="accent1" w:themeFillTint="33"/>
      </w:tcPr>
    </w:tblStylePr>
    <w:tblStylePr w:type="band1Horz">
      <w:tblPr/>
      <w:tcPr>
        <w:shd w:val="clear" w:color="auto" w:fill="EAF4D7" w:themeFill="accent1" w:themeFillTint="33"/>
      </w:tcPr>
    </w:tblStylePr>
    <w:tblStylePr w:type="band2Horz">
      <w:tblPr/>
      <w:tcPr>
        <w:shd w:val="clear" w:color="auto" w:fill="D6EAAF" w:themeFill="accent1" w:themeFillTint="66"/>
      </w:tcPr>
    </w:tblStylePr>
    <w:tblStylePr w:type="seCell">
      <w:tblPr/>
      <w:tcPr>
        <w:shd w:val="clear" w:color="auto" w:fill="9FD37C" w:themeFill="accent2" w:themeFillTint="99"/>
      </w:tcPr>
    </w:tblStylePr>
  </w:style>
  <w:style w:type="table" w:styleId="Tabladelista4-nfasis3">
    <w:name w:val="List Table 4 Accent 3"/>
    <w:basedOn w:val="Tablanormal"/>
    <w:uiPriority w:val="49"/>
    <w:rsid w:val="00D117E9"/>
    <w:pPr>
      <w:spacing w:after="0" w:line="240" w:lineRule="auto"/>
    </w:pPr>
    <w:rPr>
      <w:rFonts w:eastAsiaTheme="minorEastAsia"/>
      <w:lang w:eastAsia="es-CO"/>
    </w:r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tblBorders>
    </w:tblPr>
    <w:tblStylePr w:type="firstRow">
      <w:rPr>
        <w:b/>
        <w:bCs/>
        <w:color w:val="FFFFFF" w:themeColor="background1"/>
      </w:rPr>
      <w:tblPr/>
      <w:tcPr>
        <w:tcBorders>
          <w:top w:val="single" w:sz="4" w:space="0" w:color="37A76F" w:themeColor="accent3"/>
          <w:left w:val="single" w:sz="4" w:space="0" w:color="37A76F" w:themeColor="accent3"/>
          <w:bottom w:val="single" w:sz="4" w:space="0" w:color="37A76F" w:themeColor="accent3"/>
          <w:right w:val="single" w:sz="4" w:space="0" w:color="37A76F" w:themeColor="accent3"/>
          <w:insideH w:val="nil"/>
        </w:tcBorders>
        <w:shd w:val="clear" w:color="auto" w:fill="37A76F" w:themeFill="accent3"/>
      </w:tcPr>
    </w:tblStylePr>
    <w:tblStylePr w:type="lastRow">
      <w:rPr>
        <w:b/>
        <w:bCs/>
      </w:rPr>
      <w:tblPr/>
      <w:tcPr>
        <w:tcBorders>
          <w:top w:val="double" w:sz="4" w:space="0" w:color="7CD4A8" w:themeColor="accent3" w:themeTint="99"/>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table" w:styleId="Tablaconcuadrcula6concolores-nfasis3">
    <w:name w:val="Grid Table 6 Colorful Accent 3"/>
    <w:basedOn w:val="Tablanormal"/>
    <w:uiPriority w:val="51"/>
    <w:rsid w:val="00A9448F"/>
    <w:pPr>
      <w:spacing w:after="0" w:line="240" w:lineRule="auto"/>
    </w:pPr>
    <w:rPr>
      <w:rFonts w:eastAsiaTheme="minorEastAsia"/>
      <w:color w:val="297C52" w:themeColor="accent3" w:themeShade="BF"/>
      <w:lang w:eastAsia="es-CO"/>
    </w:rPr>
    <w:tblPr>
      <w:tblStyleRowBandSize w:val="1"/>
      <w:tblStyleColBandSize w:val="1"/>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tblPr>
    <w:tblStylePr w:type="firstRow">
      <w:rPr>
        <w:b/>
        <w:bCs/>
      </w:rPr>
      <w:tblPr/>
      <w:tcPr>
        <w:tcBorders>
          <w:bottom w:val="single" w:sz="12" w:space="0" w:color="7CD4A8" w:themeColor="accent3" w:themeTint="99"/>
        </w:tcBorders>
      </w:tcPr>
    </w:tblStylePr>
    <w:tblStylePr w:type="lastRow">
      <w:rPr>
        <w:b/>
        <w:bCs/>
      </w:rPr>
      <w:tblPr/>
      <w:tcPr>
        <w:tcBorders>
          <w:top w:val="double" w:sz="4" w:space="0" w:color="7CD4A8" w:themeColor="accent3" w:themeTint="99"/>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table" w:styleId="Tablaconcuadrcula4-nfasis3">
    <w:name w:val="Grid Table 4 Accent 3"/>
    <w:basedOn w:val="Tablanormal"/>
    <w:uiPriority w:val="49"/>
    <w:rsid w:val="00DC3471"/>
    <w:pPr>
      <w:spacing w:after="0" w:line="240" w:lineRule="auto"/>
    </w:pPr>
    <w:rPr>
      <w:rFonts w:eastAsiaTheme="minorEastAsia"/>
      <w:lang w:eastAsia="es-CO"/>
    </w:rPr>
    <w:tblPr>
      <w:tblStyleRowBandSize w:val="1"/>
      <w:tblStyleColBandSize w:val="1"/>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tblStylePr w:type="firstRow">
      <w:rPr>
        <w:b/>
        <w:bCs/>
        <w:color w:val="FFFFFF" w:themeColor="background1"/>
      </w:rPr>
      <w:tblPr/>
      <w:tcPr>
        <w:tcBorders>
          <w:top w:val="single" w:sz="4" w:space="0" w:color="37A76F" w:themeColor="accent3"/>
          <w:left w:val="single" w:sz="4" w:space="0" w:color="37A76F" w:themeColor="accent3"/>
          <w:bottom w:val="single" w:sz="4" w:space="0" w:color="37A76F" w:themeColor="accent3"/>
          <w:right w:val="single" w:sz="4" w:space="0" w:color="37A76F" w:themeColor="accent3"/>
          <w:insideH w:val="nil"/>
          <w:insideV w:val="nil"/>
        </w:tcBorders>
        <w:shd w:val="clear" w:color="auto" w:fill="37A76F" w:themeFill="accent3"/>
      </w:tcPr>
    </w:tblStylePr>
    <w:tblStylePr w:type="lastRow">
      <w:rPr>
        <w:b/>
        <w:bCs/>
      </w:rPr>
      <w:tblPr/>
      <w:tcPr>
        <w:tcBorders>
          <w:top w:val="double" w:sz="4" w:space="0" w:color="37A76F" w:themeColor="accent3"/>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paragraph" w:styleId="Textodeglobo">
    <w:name w:val="Balloon Text"/>
    <w:basedOn w:val="Normal"/>
    <w:link w:val="TextodegloboCar"/>
    <w:uiPriority w:val="99"/>
    <w:semiHidden/>
    <w:unhideWhenUsed/>
    <w:rsid w:val="00110B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0BDC"/>
    <w:rPr>
      <w:rFonts w:ascii="Segoe UI" w:hAnsi="Segoe UI" w:cs="Segoe UI"/>
      <w:sz w:val="18"/>
      <w:szCs w:val="18"/>
    </w:rPr>
  </w:style>
  <w:style w:type="character" w:styleId="Refdecomentario">
    <w:name w:val="annotation reference"/>
    <w:basedOn w:val="Fuentedeprrafopredeter"/>
    <w:uiPriority w:val="99"/>
    <w:semiHidden/>
    <w:unhideWhenUsed/>
    <w:rsid w:val="00E56738"/>
    <w:rPr>
      <w:sz w:val="16"/>
      <w:szCs w:val="16"/>
    </w:rPr>
  </w:style>
  <w:style w:type="paragraph" w:styleId="Textocomentario">
    <w:name w:val="annotation text"/>
    <w:basedOn w:val="Normal"/>
    <w:link w:val="TextocomentarioCar"/>
    <w:uiPriority w:val="99"/>
    <w:semiHidden/>
    <w:unhideWhenUsed/>
    <w:rsid w:val="00E567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6738"/>
    <w:rPr>
      <w:sz w:val="20"/>
      <w:szCs w:val="20"/>
    </w:rPr>
  </w:style>
  <w:style w:type="paragraph" w:styleId="Asuntodelcomentario">
    <w:name w:val="annotation subject"/>
    <w:basedOn w:val="Textocomentario"/>
    <w:next w:val="Textocomentario"/>
    <w:link w:val="AsuntodelcomentarioCar"/>
    <w:uiPriority w:val="99"/>
    <w:semiHidden/>
    <w:unhideWhenUsed/>
    <w:rsid w:val="00E56738"/>
    <w:rPr>
      <w:b/>
      <w:bCs/>
    </w:rPr>
  </w:style>
  <w:style w:type="character" w:customStyle="1" w:styleId="AsuntodelcomentarioCar">
    <w:name w:val="Asunto del comentario Car"/>
    <w:basedOn w:val="TextocomentarioCar"/>
    <w:link w:val="Asuntodelcomentario"/>
    <w:uiPriority w:val="99"/>
    <w:semiHidden/>
    <w:rsid w:val="00E56738"/>
    <w:rPr>
      <w:b/>
      <w:bCs/>
      <w:sz w:val="20"/>
      <w:szCs w:val="20"/>
    </w:rPr>
  </w:style>
  <w:style w:type="table" w:styleId="Tablaconcuadrcula6concolores-nfasis1">
    <w:name w:val="Grid Table 6 Colorful Accent 1"/>
    <w:basedOn w:val="Tablanormal"/>
    <w:uiPriority w:val="51"/>
    <w:rsid w:val="00B06561"/>
    <w:pPr>
      <w:spacing w:after="0" w:line="240" w:lineRule="auto"/>
    </w:pPr>
    <w:rPr>
      <w:color w:val="729928" w:themeColor="accent1" w:themeShade="BF"/>
    </w:r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Pr>
    <w:tblStylePr w:type="firstRow">
      <w:rPr>
        <w:b/>
        <w:bCs/>
      </w:rPr>
      <w:tblPr/>
      <w:tcPr>
        <w:tcBorders>
          <w:bottom w:val="single" w:sz="12" w:space="0" w:color="C1DF87" w:themeColor="accent1" w:themeTint="99"/>
        </w:tcBorders>
      </w:tcPr>
    </w:tblStylePr>
    <w:tblStylePr w:type="lastRow">
      <w:rPr>
        <w:b/>
        <w:bCs/>
      </w:rPr>
      <w:tblPr/>
      <w:tcPr>
        <w:tcBorders>
          <w:top w:val="double" w:sz="4" w:space="0" w:color="C1DF87" w:themeColor="accent1" w:themeTint="99"/>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paragraph" w:styleId="Revisin">
    <w:name w:val="Revision"/>
    <w:hidden/>
    <w:uiPriority w:val="99"/>
    <w:semiHidden/>
    <w:rsid w:val="002326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7764">
      <w:bodyDiv w:val="1"/>
      <w:marLeft w:val="0"/>
      <w:marRight w:val="0"/>
      <w:marTop w:val="0"/>
      <w:marBottom w:val="0"/>
      <w:divBdr>
        <w:top w:val="none" w:sz="0" w:space="0" w:color="auto"/>
        <w:left w:val="none" w:sz="0" w:space="0" w:color="auto"/>
        <w:bottom w:val="none" w:sz="0" w:space="0" w:color="auto"/>
        <w:right w:val="none" w:sz="0" w:space="0" w:color="auto"/>
      </w:divBdr>
    </w:div>
    <w:div w:id="119493182">
      <w:bodyDiv w:val="1"/>
      <w:marLeft w:val="0"/>
      <w:marRight w:val="0"/>
      <w:marTop w:val="0"/>
      <w:marBottom w:val="0"/>
      <w:divBdr>
        <w:top w:val="none" w:sz="0" w:space="0" w:color="auto"/>
        <w:left w:val="none" w:sz="0" w:space="0" w:color="auto"/>
        <w:bottom w:val="none" w:sz="0" w:space="0" w:color="auto"/>
        <w:right w:val="none" w:sz="0" w:space="0" w:color="auto"/>
      </w:divBdr>
    </w:div>
    <w:div w:id="184681913">
      <w:bodyDiv w:val="1"/>
      <w:marLeft w:val="0"/>
      <w:marRight w:val="0"/>
      <w:marTop w:val="0"/>
      <w:marBottom w:val="0"/>
      <w:divBdr>
        <w:top w:val="none" w:sz="0" w:space="0" w:color="auto"/>
        <w:left w:val="none" w:sz="0" w:space="0" w:color="auto"/>
        <w:bottom w:val="none" w:sz="0" w:space="0" w:color="auto"/>
        <w:right w:val="none" w:sz="0" w:space="0" w:color="auto"/>
      </w:divBdr>
    </w:div>
    <w:div w:id="228349495">
      <w:bodyDiv w:val="1"/>
      <w:marLeft w:val="0"/>
      <w:marRight w:val="0"/>
      <w:marTop w:val="0"/>
      <w:marBottom w:val="0"/>
      <w:divBdr>
        <w:top w:val="none" w:sz="0" w:space="0" w:color="auto"/>
        <w:left w:val="none" w:sz="0" w:space="0" w:color="auto"/>
        <w:bottom w:val="none" w:sz="0" w:space="0" w:color="auto"/>
        <w:right w:val="none" w:sz="0" w:space="0" w:color="auto"/>
      </w:divBdr>
    </w:div>
    <w:div w:id="236211089">
      <w:bodyDiv w:val="1"/>
      <w:marLeft w:val="0"/>
      <w:marRight w:val="0"/>
      <w:marTop w:val="0"/>
      <w:marBottom w:val="0"/>
      <w:divBdr>
        <w:top w:val="none" w:sz="0" w:space="0" w:color="auto"/>
        <w:left w:val="none" w:sz="0" w:space="0" w:color="auto"/>
        <w:bottom w:val="none" w:sz="0" w:space="0" w:color="auto"/>
        <w:right w:val="none" w:sz="0" w:space="0" w:color="auto"/>
      </w:divBdr>
    </w:div>
    <w:div w:id="271983867">
      <w:bodyDiv w:val="1"/>
      <w:marLeft w:val="0"/>
      <w:marRight w:val="0"/>
      <w:marTop w:val="0"/>
      <w:marBottom w:val="0"/>
      <w:divBdr>
        <w:top w:val="none" w:sz="0" w:space="0" w:color="auto"/>
        <w:left w:val="none" w:sz="0" w:space="0" w:color="auto"/>
        <w:bottom w:val="none" w:sz="0" w:space="0" w:color="auto"/>
        <w:right w:val="none" w:sz="0" w:space="0" w:color="auto"/>
      </w:divBdr>
    </w:div>
    <w:div w:id="333534171">
      <w:bodyDiv w:val="1"/>
      <w:marLeft w:val="0"/>
      <w:marRight w:val="0"/>
      <w:marTop w:val="0"/>
      <w:marBottom w:val="0"/>
      <w:divBdr>
        <w:top w:val="none" w:sz="0" w:space="0" w:color="auto"/>
        <w:left w:val="none" w:sz="0" w:space="0" w:color="auto"/>
        <w:bottom w:val="none" w:sz="0" w:space="0" w:color="auto"/>
        <w:right w:val="none" w:sz="0" w:space="0" w:color="auto"/>
      </w:divBdr>
    </w:div>
    <w:div w:id="349914112">
      <w:bodyDiv w:val="1"/>
      <w:marLeft w:val="0"/>
      <w:marRight w:val="0"/>
      <w:marTop w:val="0"/>
      <w:marBottom w:val="0"/>
      <w:divBdr>
        <w:top w:val="none" w:sz="0" w:space="0" w:color="auto"/>
        <w:left w:val="none" w:sz="0" w:space="0" w:color="auto"/>
        <w:bottom w:val="none" w:sz="0" w:space="0" w:color="auto"/>
        <w:right w:val="none" w:sz="0" w:space="0" w:color="auto"/>
      </w:divBdr>
    </w:div>
    <w:div w:id="566644865">
      <w:bodyDiv w:val="1"/>
      <w:marLeft w:val="0"/>
      <w:marRight w:val="0"/>
      <w:marTop w:val="0"/>
      <w:marBottom w:val="0"/>
      <w:divBdr>
        <w:top w:val="none" w:sz="0" w:space="0" w:color="auto"/>
        <w:left w:val="none" w:sz="0" w:space="0" w:color="auto"/>
        <w:bottom w:val="none" w:sz="0" w:space="0" w:color="auto"/>
        <w:right w:val="none" w:sz="0" w:space="0" w:color="auto"/>
      </w:divBdr>
    </w:div>
    <w:div w:id="584850026">
      <w:bodyDiv w:val="1"/>
      <w:marLeft w:val="0"/>
      <w:marRight w:val="0"/>
      <w:marTop w:val="0"/>
      <w:marBottom w:val="0"/>
      <w:divBdr>
        <w:top w:val="none" w:sz="0" w:space="0" w:color="auto"/>
        <w:left w:val="none" w:sz="0" w:space="0" w:color="auto"/>
        <w:bottom w:val="none" w:sz="0" w:space="0" w:color="auto"/>
        <w:right w:val="none" w:sz="0" w:space="0" w:color="auto"/>
      </w:divBdr>
    </w:div>
    <w:div w:id="595407439">
      <w:bodyDiv w:val="1"/>
      <w:marLeft w:val="0"/>
      <w:marRight w:val="0"/>
      <w:marTop w:val="0"/>
      <w:marBottom w:val="0"/>
      <w:divBdr>
        <w:top w:val="none" w:sz="0" w:space="0" w:color="auto"/>
        <w:left w:val="none" w:sz="0" w:space="0" w:color="auto"/>
        <w:bottom w:val="none" w:sz="0" w:space="0" w:color="auto"/>
        <w:right w:val="none" w:sz="0" w:space="0" w:color="auto"/>
      </w:divBdr>
    </w:div>
    <w:div w:id="635070421">
      <w:bodyDiv w:val="1"/>
      <w:marLeft w:val="0"/>
      <w:marRight w:val="0"/>
      <w:marTop w:val="0"/>
      <w:marBottom w:val="0"/>
      <w:divBdr>
        <w:top w:val="none" w:sz="0" w:space="0" w:color="auto"/>
        <w:left w:val="none" w:sz="0" w:space="0" w:color="auto"/>
        <w:bottom w:val="none" w:sz="0" w:space="0" w:color="auto"/>
        <w:right w:val="none" w:sz="0" w:space="0" w:color="auto"/>
      </w:divBdr>
    </w:div>
    <w:div w:id="645743277">
      <w:bodyDiv w:val="1"/>
      <w:marLeft w:val="0"/>
      <w:marRight w:val="0"/>
      <w:marTop w:val="0"/>
      <w:marBottom w:val="0"/>
      <w:divBdr>
        <w:top w:val="none" w:sz="0" w:space="0" w:color="auto"/>
        <w:left w:val="none" w:sz="0" w:space="0" w:color="auto"/>
        <w:bottom w:val="none" w:sz="0" w:space="0" w:color="auto"/>
        <w:right w:val="none" w:sz="0" w:space="0" w:color="auto"/>
      </w:divBdr>
    </w:div>
    <w:div w:id="738098308">
      <w:bodyDiv w:val="1"/>
      <w:marLeft w:val="0"/>
      <w:marRight w:val="0"/>
      <w:marTop w:val="0"/>
      <w:marBottom w:val="0"/>
      <w:divBdr>
        <w:top w:val="none" w:sz="0" w:space="0" w:color="auto"/>
        <w:left w:val="none" w:sz="0" w:space="0" w:color="auto"/>
        <w:bottom w:val="none" w:sz="0" w:space="0" w:color="auto"/>
        <w:right w:val="none" w:sz="0" w:space="0" w:color="auto"/>
      </w:divBdr>
    </w:div>
    <w:div w:id="755512925">
      <w:bodyDiv w:val="1"/>
      <w:marLeft w:val="0"/>
      <w:marRight w:val="0"/>
      <w:marTop w:val="0"/>
      <w:marBottom w:val="0"/>
      <w:divBdr>
        <w:top w:val="none" w:sz="0" w:space="0" w:color="auto"/>
        <w:left w:val="none" w:sz="0" w:space="0" w:color="auto"/>
        <w:bottom w:val="none" w:sz="0" w:space="0" w:color="auto"/>
        <w:right w:val="none" w:sz="0" w:space="0" w:color="auto"/>
      </w:divBdr>
    </w:div>
    <w:div w:id="789932649">
      <w:bodyDiv w:val="1"/>
      <w:marLeft w:val="0"/>
      <w:marRight w:val="0"/>
      <w:marTop w:val="0"/>
      <w:marBottom w:val="0"/>
      <w:divBdr>
        <w:top w:val="none" w:sz="0" w:space="0" w:color="auto"/>
        <w:left w:val="none" w:sz="0" w:space="0" w:color="auto"/>
        <w:bottom w:val="none" w:sz="0" w:space="0" w:color="auto"/>
        <w:right w:val="none" w:sz="0" w:space="0" w:color="auto"/>
      </w:divBdr>
    </w:div>
    <w:div w:id="821048621">
      <w:bodyDiv w:val="1"/>
      <w:marLeft w:val="0"/>
      <w:marRight w:val="0"/>
      <w:marTop w:val="0"/>
      <w:marBottom w:val="0"/>
      <w:divBdr>
        <w:top w:val="none" w:sz="0" w:space="0" w:color="auto"/>
        <w:left w:val="none" w:sz="0" w:space="0" w:color="auto"/>
        <w:bottom w:val="none" w:sz="0" w:space="0" w:color="auto"/>
        <w:right w:val="none" w:sz="0" w:space="0" w:color="auto"/>
      </w:divBdr>
    </w:div>
    <w:div w:id="830364103">
      <w:bodyDiv w:val="1"/>
      <w:marLeft w:val="0"/>
      <w:marRight w:val="0"/>
      <w:marTop w:val="0"/>
      <w:marBottom w:val="0"/>
      <w:divBdr>
        <w:top w:val="none" w:sz="0" w:space="0" w:color="auto"/>
        <w:left w:val="none" w:sz="0" w:space="0" w:color="auto"/>
        <w:bottom w:val="none" w:sz="0" w:space="0" w:color="auto"/>
        <w:right w:val="none" w:sz="0" w:space="0" w:color="auto"/>
      </w:divBdr>
    </w:div>
    <w:div w:id="866917116">
      <w:bodyDiv w:val="1"/>
      <w:marLeft w:val="0"/>
      <w:marRight w:val="0"/>
      <w:marTop w:val="0"/>
      <w:marBottom w:val="0"/>
      <w:divBdr>
        <w:top w:val="none" w:sz="0" w:space="0" w:color="auto"/>
        <w:left w:val="none" w:sz="0" w:space="0" w:color="auto"/>
        <w:bottom w:val="none" w:sz="0" w:space="0" w:color="auto"/>
        <w:right w:val="none" w:sz="0" w:space="0" w:color="auto"/>
      </w:divBdr>
    </w:div>
    <w:div w:id="954866960">
      <w:bodyDiv w:val="1"/>
      <w:marLeft w:val="0"/>
      <w:marRight w:val="0"/>
      <w:marTop w:val="0"/>
      <w:marBottom w:val="0"/>
      <w:divBdr>
        <w:top w:val="none" w:sz="0" w:space="0" w:color="auto"/>
        <w:left w:val="none" w:sz="0" w:space="0" w:color="auto"/>
        <w:bottom w:val="none" w:sz="0" w:space="0" w:color="auto"/>
        <w:right w:val="none" w:sz="0" w:space="0" w:color="auto"/>
      </w:divBdr>
    </w:div>
    <w:div w:id="1025981577">
      <w:bodyDiv w:val="1"/>
      <w:marLeft w:val="0"/>
      <w:marRight w:val="0"/>
      <w:marTop w:val="0"/>
      <w:marBottom w:val="0"/>
      <w:divBdr>
        <w:top w:val="none" w:sz="0" w:space="0" w:color="auto"/>
        <w:left w:val="none" w:sz="0" w:space="0" w:color="auto"/>
        <w:bottom w:val="none" w:sz="0" w:space="0" w:color="auto"/>
        <w:right w:val="none" w:sz="0" w:space="0" w:color="auto"/>
      </w:divBdr>
    </w:div>
    <w:div w:id="1038628843">
      <w:bodyDiv w:val="1"/>
      <w:marLeft w:val="0"/>
      <w:marRight w:val="0"/>
      <w:marTop w:val="0"/>
      <w:marBottom w:val="0"/>
      <w:divBdr>
        <w:top w:val="none" w:sz="0" w:space="0" w:color="auto"/>
        <w:left w:val="none" w:sz="0" w:space="0" w:color="auto"/>
        <w:bottom w:val="none" w:sz="0" w:space="0" w:color="auto"/>
        <w:right w:val="none" w:sz="0" w:space="0" w:color="auto"/>
      </w:divBdr>
    </w:div>
    <w:div w:id="1086877868">
      <w:bodyDiv w:val="1"/>
      <w:marLeft w:val="0"/>
      <w:marRight w:val="0"/>
      <w:marTop w:val="0"/>
      <w:marBottom w:val="0"/>
      <w:divBdr>
        <w:top w:val="none" w:sz="0" w:space="0" w:color="auto"/>
        <w:left w:val="none" w:sz="0" w:space="0" w:color="auto"/>
        <w:bottom w:val="none" w:sz="0" w:space="0" w:color="auto"/>
        <w:right w:val="none" w:sz="0" w:space="0" w:color="auto"/>
      </w:divBdr>
    </w:div>
    <w:div w:id="1226842258">
      <w:bodyDiv w:val="1"/>
      <w:marLeft w:val="0"/>
      <w:marRight w:val="0"/>
      <w:marTop w:val="0"/>
      <w:marBottom w:val="0"/>
      <w:divBdr>
        <w:top w:val="none" w:sz="0" w:space="0" w:color="auto"/>
        <w:left w:val="none" w:sz="0" w:space="0" w:color="auto"/>
        <w:bottom w:val="none" w:sz="0" w:space="0" w:color="auto"/>
        <w:right w:val="none" w:sz="0" w:space="0" w:color="auto"/>
      </w:divBdr>
    </w:div>
    <w:div w:id="1303119395">
      <w:bodyDiv w:val="1"/>
      <w:marLeft w:val="0"/>
      <w:marRight w:val="0"/>
      <w:marTop w:val="0"/>
      <w:marBottom w:val="0"/>
      <w:divBdr>
        <w:top w:val="none" w:sz="0" w:space="0" w:color="auto"/>
        <w:left w:val="none" w:sz="0" w:space="0" w:color="auto"/>
        <w:bottom w:val="none" w:sz="0" w:space="0" w:color="auto"/>
        <w:right w:val="none" w:sz="0" w:space="0" w:color="auto"/>
      </w:divBdr>
    </w:div>
    <w:div w:id="1328703738">
      <w:bodyDiv w:val="1"/>
      <w:marLeft w:val="0"/>
      <w:marRight w:val="0"/>
      <w:marTop w:val="0"/>
      <w:marBottom w:val="0"/>
      <w:divBdr>
        <w:top w:val="none" w:sz="0" w:space="0" w:color="auto"/>
        <w:left w:val="none" w:sz="0" w:space="0" w:color="auto"/>
        <w:bottom w:val="none" w:sz="0" w:space="0" w:color="auto"/>
        <w:right w:val="none" w:sz="0" w:space="0" w:color="auto"/>
      </w:divBdr>
    </w:div>
    <w:div w:id="1341732538">
      <w:bodyDiv w:val="1"/>
      <w:marLeft w:val="0"/>
      <w:marRight w:val="0"/>
      <w:marTop w:val="0"/>
      <w:marBottom w:val="0"/>
      <w:divBdr>
        <w:top w:val="none" w:sz="0" w:space="0" w:color="auto"/>
        <w:left w:val="none" w:sz="0" w:space="0" w:color="auto"/>
        <w:bottom w:val="none" w:sz="0" w:space="0" w:color="auto"/>
        <w:right w:val="none" w:sz="0" w:space="0" w:color="auto"/>
      </w:divBdr>
    </w:div>
    <w:div w:id="1354305909">
      <w:bodyDiv w:val="1"/>
      <w:marLeft w:val="0"/>
      <w:marRight w:val="0"/>
      <w:marTop w:val="0"/>
      <w:marBottom w:val="0"/>
      <w:divBdr>
        <w:top w:val="none" w:sz="0" w:space="0" w:color="auto"/>
        <w:left w:val="none" w:sz="0" w:space="0" w:color="auto"/>
        <w:bottom w:val="none" w:sz="0" w:space="0" w:color="auto"/>
        <w:right w:val="none" w:sz="0" w:space="0" w:color="auto"/>
      </w:divBdr>
    </w:div>
    <w:div w:id="1415979346">
      <w:bodyDiv w:val="1"/>
      <w:marLeft w:val="0"/>
      <w:marRight w:val="0"/>
      <w:marTop w:val="0"/>
      <w:marBottom w:val="0"/>
      <w:divBdr>
        <w:top w:val="none" w:sz="0" w:space="0" w:color="auto"/>
        <w:left w:val="none" w:sz="0" w:space="0" w:color="auto"/>
        <w:bottom w:val="none" w:sz="0" w:space="0" w:color="auto"/>
        <w:right w:val="none" w:sz="0" w:space="0" w:color="auto"/>
      </w:divBdr>
    </w:div>
    <w:div w:id="1458524101">
      <w:bodyDiv w:val="1"/>
      <w:marLeft w:val="0"/>
      <w:marRight w:val="0"/>
      <w:marTop w:val="0"/>
      <w:marBottom w:val="0"/>
      <w:divBdr>
        <w:top w:val="none" w:sz="0" w:space="0" w:color="auto"/>
        <w:left w:val="none" w:sz="0" w:space="0" w:color="auto"/>
        <w:bottom w:val="none" w:sz="0" w:space="0" w:color="auto"/>
        <w:right w:val="none" w:sz="0" w:space="0" w:color="auto"/>
      </w:divBdr>
    </w:div>
    <w:div w:id="1468209062">
      <w:bodyDiv w:val="1"/>
      <w:marLeft w:val="0"/>
      <w:marRight w:val="0"/>
      <w:marTop w:val="0"/>
      <w:marBottom w:val="0"/>
      <w:divBdr>
        <w:top w:val="none" w:sz="0" w:space="0" w:color="auto"/>
        <w:left w:val="none" w:sz="0" w:space="0" w:color="auto"/>
        <w:bottom w:val="none" w:sz="0" w:space="0" w:color="auto"/>
        <w:right w:val="none" w:sz="0" w:space="0" w:color="auto"/>
      </w:divBdr>
    </w:div>
    <w:div w:id="1500804802">
      <w:bodyDiv w:val="1"/>
      <w:marLeft w:val="0"/>
      <w:marRight w:val="0"/>
      <w:marTop w:val="0"/>
      <w:marBottom w:val="0"/>
      <w:divBdr>
        <w:top w:val="none" w:sz="0" w:space="0" w:color="auto"/>
        <w:left w:val="none" w:sz="0" w:space="0" w:color="auto"/>
        <w:bottom w:val="none" w:sz="0" w:space="0" w:color="auto"/>
        <w:right w:val="none" w:sz="0" w:space="0" w:color="auto"/>
      </w:divBdr>
    </w:div>
    <w:div w:id="1533687727">
      <w:bodyDiv w:val="1"/>
      <w:marLeft w:val="0"/>
      <w:marRight w:val="0"/>
      <w:marTop w:val="0"/>
      <w:marBottom w:val="0"/>
      <w:divBdr>
        <w:top w:val="none" w:sz="0" w:space="0" w:color="auto"/>
        <w:left w:val="none" w:sz="0" w:space="0" w:color="auto"/>
        <w:bottom w:val="none" w:sz="0" w:space="0" w:color="auto"/>
        <w:right w:val="none" w:sz="0" w:space="0" w:color="auto"/>
      </w:divBdr>
    </w:div>
    <w:div w:id="1539780129">
      <w:bodyDiv w:val="1"/>
      <w:marLeft w:val="0"/>
      <w:marRight w:val="0"/>
      <w:marTop w:val="0"/>
      <w:marBottom w:val="0"/>
      <w:divBdr>
        <w:top w:val="none" w:sz="0" w:space="0" w:color="auto"/>
        <w:left w:val="none" w:sz="0" w:space="0" w:color="auto"/>
        <w:bottom w:val="none" w:sz="0" w:space="0" w:color="auto"/>
        <w:right w:val="none" w:sz="0" w:space="0" w:color="auto"/>
      </w:divBdr>
    </w:div>
    <w:div w:id="1631935438">
      <w:bodyDiv w:val="1"/>
      <w:marLeft w:val="0"/>
      <w:marRight w:val="0"/>
      <w:marTop w:val="0"/>
      <w:marBottom w:val="0"/>
      <w:divBdr>
        <w:top w:val="none" w:sz="0" w:space="0" w:color="auto"/>
        <w:left w:val="none" w:sz="0" w:space="0" w:color="auto"/>
        <w:bottom w:val="none" w:sz="0" w:space="0" w:color="auto"/>
        <w:right w:val="none" w:sz="0" w:space="0" w:color="auto"/>
      </w:divBdr>
    </w:div>
    <w:div w:id="1699700073">
      <w:bodyDiv w:val="1"/>
      <w:marLeft w:val="0"/>
      <w:marRight w:val="0"/>
      <w:marTop w:val="0"/>
      <w:marBottom w:val="0"/>
      <w:divBdr>
        <w:top w:val="none" w:sz="0" w:space="0" w:color="auto"/>
        <w:left w:val="none" w:sz="0" w:space="0" w:color="auto"/>
        <w:bottom w:val="none" w:sz="0" w:space="0" w:color="auto"/>
        <w:right w:val="none" w:sz="0" w:space="0" w:color="auto"/>
      </w:divBdr>
    </w:div>
    <w:div w:id="1800536081">
      <w:bodyDiv w:val="1"/>
      <w:marLeft w:val="0"/>
      <w:marRight w:val="0"/>
      <w:marTop w:val="0"/>
      <w:marBottom w:val="0"/>
      <w:divBdr>
        <w:top w:val="none" w:sz="0" w:space="0" w:color="auto"/>
        <w:left w:val="none" w:sz="0" w:space="0" w:color="auto"/>
        <w:bottom w:val="none" w:sz="0" w:space="0" w:color="auto"/>
        <w:right w:val="none" w:sz="0" w:space="0" w:color="auto"/>
      </w:divBdr>
    </w:div>
    <w:div w:id="1868904020">
      <w:bodyDiv w:val="1"/>
      <w:marLeft w:val="0"/>
      <w:marRight w:val="0"/>
      <w:marTop w:val="0"/>
      <w:marBottom w:val="0"/>
      <w:divBdr>
        <w:top w:val="none" w:sz="0" w:space="0" w:color="auto"/>
        <w:left w:val="none" w:sz="0" w:space="0" w:color="auto"/>
        <w:bottom w:val="none" w:sz="0" w:space="0" w:color="auto"/>
        <w:right w:val="none" w:sz="0" w:space="0" w:color="auto"/>
      </w:divBdr>
    </w:div>
    <w:div w:id="1996183603">
      <w:bodyDiv w:val="1"/>
      <w:marLeft w:val="0"/>
      <w:marRight w:val="0"/>
      <w:marTop w:val="0"/>
      <w:marBottom w:val="0"/>
      <w:divBdr>
        <w:top w:val="none" w:sz="0" w:space="0" w:color="auto"/>
        <w:left w:val="none" w:sz="0" w:space="0" w:color="auto"/>
        <w:bottom w:val="none" w:sz="0" w:space="0" w:color="auto"/>
        <w:right w:val="none" w:sz="0" w:space="0" w:color="auto"/>
      </w:divBdr>
    </w:div>
    <w:div w:id="2000619319">
      <w:bodyDiv w:val="1"/>
      <w:marLeft w:val="0"/>
      <w:marRight w:val="0"/>
      <w:marTop w:val="0"/>
      <w:marBottom w:val="0"/>
      <w:divBdr>
        <w:top w:val="none" w:sz="0" w:space="0" w:color="auto"/>
        <w:left w:val="none" w:sz="0" w:space="0" w:color="auto"/>
        <w:bottom w:val="none" w:sz="0" w:space="0" w:color="auto"/>
        <w:right w:val="none" w:sz="0" w:space="0" w:color="auto"/>
      </w:divBdr>
    </w:div>
    <w:div w:id="2008096569">
      <w:bodyDiv w:val="1"/>
      <w:marLeft w:val="0"/>
      <w:marRight w:val="0"/>
      <w:marTop w:val="0"/>
      <w:marBottom w:val="0"/>
      <w:divBdr>
        <w:top w:val="none" w:sz="0" w:space="0" w:color="auto"/>
        <w:left w:val="none" w:sz="0" w:space="0" w:color="auto"/>
        <w:bottom w:val="none" w:sz="0" w:space="0" w:color="auto"/>
        <w:right w:val="none" w:sz="0" w:space="0" w:color="auto"/>
      </w:divBdr>
    </w:div>
    <w:div w:id="2026858739">
      <w:bodyDiv w:val="1"/>
      <w:marLeft w:val="0"/>
      <w:marRight w:val="0"/>
      <w:marTop w:val="0"/>
      <w:marBottom w:val="0"/>
      <w:divBdr>
        <w:top w:val="none" w:sz="0" w:space="0" w:color="auto"/>
        <w:left w:val="none" w:sz="0" w:space="0" w:color="auto"/>
        <w:bottom w:val="none" w:sz="0" w:space="0" w:color="auto"/>
        <w:right w:val="none" w:sz="0" w:space="0" w:color="auto"/>
      </w:divBdr>
    </w:div>
    <w:div w:id="2060282604">
      <w:bodyDiv w:val="1"/>
      <w:marLeft w:val="0"/>
      <w:marRight w:val="0"/>
      <w:marTop w:val="0"/>
      <w:marBottom w:val="0"/>
      <w:divBdr>
        <w:top w:val="none" w:sz="0" w:space="0" w:color="auto"/>
        <w:left w:val="none" w:sz="0" w:space="0" w:color="auto"/>
        <w:bottom w:val="none" w:sz="0" w:space="0" w:color="auto"/>
        <w:right w:val="none" w:sz="0" w:space="0" w:color="auto"/>
      </w:divBdr>
    </w:div>
    <w:div w:id="2069524784">
      <w:bodyDiv w:val="1"/>
      <w:marLeft w:val="0"/>
      <w:marRight w:val="0"/>
      <w:marTop w:val="0"/>
      <w:marBottom w:val="0"/>
      <w:divBdr>
        <w:top w:val="none" w:sz="0" w:space="0" w:color="auto"/>
        <w:left w:val="none" w:sz="0" w:space="0" w:color="auto"/>
        <w:bottom w:val="none" w:sz="0" w:space="0" w:color="auto"/>
        <w:right w:val="none" w:sz="0" w:space="0" w:color="auto"/>
      </w:divBdr>
    </w:div>
    <w:div w:id="2091846767">
      <w:bodyDiv w:val="1"/>
      <w:marLeft w:val="0"/>
      <w:marRight w:val="0"/>
      <w:marTop w:val="0"/>
      <w:marBottom w:val="0"/>
      <w:divBdr>
        <w:top w:val="none" w:sz="0" w:space="0" w:color="auto"/>
        <w:left w:val="none" w:sz="0" w:space="0" w:color="auto"/>
        <w:bottom w:val="none" w:sz="0" w:space="0" w:color="auto"/>
        <w:right w:val="none" w:sz="0" w:space="0" w:color="auto"/>
      </w:divBdr>
    </w:div>
    <w:div w:id="2127384926">
      <w:bodyDiv w:val="1"/>
      <w:marLeft w:val="0"/>
      <w:marRight w:val="0"/>
      <w:marTop w:val="0"/>
      <w:marBottom w:val="0"/>
      <w:divBdr>
        <w:top w:val="none" w:sz="0" w:space="0" w:color="auto"/>
        <w:left w:val="none" w:sz="0" w:space="0" w:color="auto"/>
        <w:bottom w:val="none" w:sz="0" w:space="0" w:color="auto"/>
        <w:right w:val="none" w:sz="0" w:space="0" w:color="auto"/>
      </w:divBdr>
    </w:div>
    <w:div w:id="21451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F1A089F654F97A5BE6F67A332E42D"/>
        <w:category>
          <w:name w:val="General"/>
          <w:gallery w:val="placeholder"/>
        </w:category>
        <w:types>
          <w:type w:val="bbPlcHdr"/>
        </w:types>
        <w:behaviors>
          <w:behavior w:val="content"/>
        </w:behaviors>
        <w:guid w:val="{F8EE4794-215E-42D1-9386-2817ADFBFBBD}"/>
      </w:docPartPr>
      <w:docPartBody>
        <w:p w:rsidR="00FC7E44" w:rsidRDefault="001B1049">
          <w:pPr>
            <w:pStyle w:val="2F1F1A089F654F97A5BE6F67A332E42D"/>
          </w:pPr>
          <w:r>
            <w:rPr>
              <w:rFonts w:asciiTheme="majorHAnsi" w:eastAsiaTheme="majorEastAsia" w:hAnsiTheme="majorHAnsi" w:cstheme="majorBidi"/>
              <w:caps/>
              <w:color w:val="4472C4" w:themeColor="accent1"/>
              <w:sz w:val="80"/>
              <w:szCs w:val="8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49"/>
    <w:rsid w:val="00045543"/>
    <w:rsid w:val="001020CA"/>
    <w:rsid w:val="001B1049"/>
    <w:rsid w:val="001F4A93"/>
    <w:rsid w:val="00263680"/>
    <w:rsid w:val="00265088"/>
    <w:rsid w:val="002B2F81"/>
    <w:rsid w:val="002C0B1B"/>
    <w:rsid w:val="002D28B9"/>
    <w:rsid w:val="003B1E99"/>
    <w:rsid w:val="004500BE"/>
    <w:rsid w:val="0046102C"/>
    <w:rsid w:val="004A57C7"/>
    <w:rsid w:val="00531890"/>
    <w:rsid w:val="0055513B"/>
    <w:rsid w:val="005675BF"/>
    <w:rsid w:val="005F55F4"/>
    <w:rsid w:val="006328D6"/>
    <w:rsid w:val="00676C68"/>
    <w:rsid w:val="00695D62"/>
    <w:rsid w:val="00695D82"/>
    <w:rsid w:val="006A060B"/>
    <w:rsid w:val="00701891"/>
    <w:rsid w:val="007E0F8C"/>
    <w:rsid w:val="007E6C04"/>
    <w:rsid w:val="008D1572"/>
    <w:rsid w:val="00984E41"/>
    <w:rsid w:val="00A03E92"/>
    <w:rsid w:val="00A7530A"/>
    <w:rsid w:val="00B26636"/>
    <w:rsid w:val="00BC5D0A"/>
    <w:rsid w:val="00D3616F"/>
    <w:rsid w:val="00D504C9"/>
    <w:rsid w:val="00E04742"/>
    <w:rsid w:val="00E33BA8"/>
    <w:rsid w:val="00F066BE"/>
    <w:rsid w:val="00F6272B"/>
    <w:rsid w:val="00FC7E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F1F1A089F654F97A5BE6F67A332E42D">
    <w:name w:val="2F1F1A089F654F97A5BE6F67A332E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2A1D6CB5F203C8408258989F2BC18DAD" ma:contentTypeVersion="18" ma:contentTypeDescription="Crear nuevo documento." ma:contentTypeScope="" ma:versionID="1c0fdbd2872bb76d8a49ccd142f7eed4">
  <xsd:schema xmlns:xsd="http://www.w3.org/2001/XMLSchema" xmlns:xs="http://www.w3.org/2001/XMLSchema" xmlns:p="http://schemas.microsoft.com/office/2006/metadata/properties" xmlns:ns2="36884c60-c274-4940-9354-c29f0b69c076" xmlns:ns3="661bfcfa-41c8-4741-9d5b-01325c234c02" xmlns:ns4="fde91536-cb6a-48c8-a1c9-f59bb520eba1" targetNamespace="http://schemas.microsoft.com/office/2006/metadata/properties" ma:root="true" ma:fieldsID="95893e72903684269fcfe8e8eb940643" ns2:_="" ns3:_="" ns4:_="">
    <xsd:import namespace="36884c60-c274-4940-9354-c29f0b69c076"/>
    <xsd:import namespace="661bfcfa-41c8-4741-9d5b-01325c234c02"/>
    <xsd:import namespace="fde91536-cb6a-48c8-a1c9-f59bb520eba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MediaServiceMetadata" minOccurs="0"/>
                <xsd:element ref="ns3:MediaServiceFastMetadata" minOccurs="0"/>
                <xsd:element ref="ns2: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Hiperv_x00ed_nculo"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B_x00fa_sque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84c60-c274-4940-9354-c29f0b69c076"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1bfcfa-41c8-4741-9d5b-01325c234c0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Hiperv_x00ed_nculo" ma:index="21"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eca7b523-58f5-4d52-b53c-05f253e3dcf7" ma:termSetId="09814cd3-568e-fe90-9814-8d621ff8fb84" ma:anchorId="fba54fb3-c3e1-fe81-a776-ca4b69148c4d" ma:open="true" ma:isKeyword="false">
      <xsd:complexType>
        <xsd:sequence>
          <xsd:element ref="pc:Terms" minOccurs="0" maxOccurs="1"/>
        </xsd:sequence>
      </xsd:complexType>
    </xsd:element>
    <xsd:element name="B_x00fa_squeda" ma:index="28" nillable="true" ma:displayName="Búsqueda" ma:format="Dropdown" ma:list="661bfcfa-41c8-4741-9d5b-01325c234c02" ma:internalName="B_x00fa_squeda"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de91536-cb6a-48c8-a1c9-f59bb520eba1"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656acd0-360b-4265-88cd-874eae1b5f53}" ma:internalName="TaxCatchAll" ma:showField="CatchAllData" ma:web="36884c60-c274-4940-9354-c29f0b69c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perv_x00ed_nculo xmlns="661bfcfa-41c8-4741-9d5b-01325c234c02">
      <Url xsi:nil="true"/>
      <Description xsi:nil="true"/>
    </Hiperv_x00ed_nculo>
    <_dlc_DocId xmlns="36884c60-c274-4940-9354-c29f0b69c076">6DA63UNE3QJW-1271664277-442568</_dlc_DocId>
    <_dlc_DocIdUrl xmlns="36884c60-c274-4940-9354-c29f0b69c076">
      <Url>https://epmco.sharepoint.com/sites/uttde/_layouts/15/DocIdRedir.aspx?ID=6DA63UNE3QJW-1271664277-442568</Url>
      <Description>6DA63UNE3QJW-1271664277-442568</Description>
    </_dlc_DocIdUrl>
    <TaxCatchAll xmlns="fde91536-cb6a-48c8-a1c9-f59bb520eba1" xsi:nil="true"/>
    <lcf76f155ced4ddcb4097134ff3c332f xmlns="661bfcfa-41c8-4741-9d5b-01325c234c02">
      <Terms xmlns="http://schemas.microsoft.com/office/infopath/2007/PartnerControls"/>
    </lcf76f155ced4ddcb4097134ff3c332f>
    <B_x00fa_squeda xmlns="661bfcfa-41c8-4741-9d5b-01325c234c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CC281A-75CB-40ED-97AA-C6F5C51B8375}">
  <ds:schemaRefs>
    <ds:schemaRef ds:uri="http://schemas.microsoft.com/sharepoint/events"/>
  </ds:schemaRefs>
</ds:datastoreItem>
</file>

<file path=customXml/itemProps2.xml><?xml version="1.0" encoding="utf-8"?>
<ds:datastoreItem xmlns:ds="http://schemas.openxmlformats.org/officeDocument/2006/customXml" ds:itemID="{1B053E3C-7B4D-4808-A791-0F01E7B4EC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84c60-c274-4940-9354-c29f0b69c076"/>
    <ds:schemaRef ds:uri="661bfcfa-41c8-4741-9d5b-01325c234c02"/>
    <ds:schemaRef ds:uri="fde91536-cb6a-48c8-a1c9-f59bb520e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4A790-8DC0-49CA-992F-95ECA39CFB9E}">
  <ds:schemaRefs>
    <ds:schemaRef ds:uri="http://schemas.microsoft.com/office/2006/metadata/properties"/>
    <ds:schemaRef ds:uri="http://schemas.microsoft.com/office/infopath/2007/PartnerControls"/>
    <ds:schemaRef ds:uri="661bfcfa-41c8-4741-9d5b-01325c234c02"/>
    <ds:schemaRef ds:uri="36884c60-c274-4940-9354-c29f0b69c076"/>
    <ds:schemaRef ds:uri="fde91536-cb6a-48c8-a1c9-f59bb520eba1"/>
  </ds:schemaRefs>
</ds:datastoreItem>
</file>

<file path=customXml/itemProps4.xml><?xml version="1.0" encoding="utf-8"?>
<ds:datastoreItem xmlns:ds="http://schemas.openxmlformats.org/officeDocument/2006/customXml" ds:itemID="{0DC3C2D6-27C3-4EC3-803D-897FF30CCF1E}">
  <ds:schemaRefs>
    <ds:schemaRef ds:uri="http://schemas.openxmlformats.org/officeDocument/2006/bibliography"/>
  </ds:schemaRefs>
</ds:datastoreItem>
</file>

<file path=customXml/itemProps5.xml><?xml version="1.0" encoding="utf-8"?>
<ds:datastoreItem xmlns:ds="http://schemas.openxmlformats.org/officeDocument/2006/customXml" ds:itemID="{CB6463E1-1908-4814-B8D9-1D0425DD4C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9706</TotalTime>
  <Pages>2</Pages>
  <Words>15032</Words>
  <Characters>82679</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Informe Seguimiento a la Ejecución del Plan de Inversiones Regulatorio – Año 2022</vt:lpstr>
    </vt:vector>
  </TitlesOfParts>
  <Company>EMpresas PÚBLICAS de meDellÍn e.s.p.</Company>
  <LinksUpToDate>false</LinksUpToDate>
  <CharactersWithSpaces>97516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Seguimiento a la Ejecución del Plan de Inversiones Regulatorio – Año 2022</dc:title>
  <dc:subject>Año 2020</dc:subject>
  <dc:creator>MELISA DEL CARMEN BAENA GALEANO</dc:creator>
  <cp:keywords/>
  <dc:description/>
  <cp:lastModifiedBy>ADRIANA CAROLINA RODRIGUEZ HINCAPIE</cp:lastModifiedBy>
  <cp:revision>3499</cp:revision>
  <cp:lastPrinted>2023-03-31T03:57:00Z</cp:lastPrinted>
  <dcterms:created xsi:type="dcterms:W3CDTF">2020-02-20T20:24:00Z</dcterms:created>
  <dcterms:modified xsi:type="dcterms:W3CDTF">2023-03-31T04:02:00Z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0x0101002A1D6CB5F203C8408258989F2BC18DAD</vt:lpwstr>
  </property>
  <property fmtid="{D5CDD505-2E9C-101B-9397-08002B2CF9AE}" pid="3" name="_dlc_DocIdItemGuid">
    <vt:lpwstr>fbae4371-48c8-45e4-b039-c9008ec7748e</vt:lpwstr>
  </property>
  <property fmtid="{D5CDD505-2E9C-101B-9397-08002B2CF9AE}" pid="4" name="MSIP_Label_5d8abea6-f7bf-4d7f-aa7c-07b94d6e5785_Enabled">
    <vt:lpwstr>true</vt:lpwstr>
  </property>
  <property fmtid="{D5CDD505-2E9C-101B-9397-08002B2CF9AE}" pid="5" name="MSIP_Label_5d8abea6-f7bf-4d7f-aa7c-07b94d6e5785_SetDate">
    <vt:lpwstr>2023-03-31T04:02:56Z</vt:lpwstr>
  </property>
  <property fmtid="{D5CDD505-2E9C-101B-9397-08002B2CF9AE}" pid="6" name="MSIP_Label_5d8abea6-f7bf-4d7f-aa7c-07b94d6e5785_Method">
    <vt:lpwstr>Privileged</vt:lpwstr>
  </property>
  <property fmtid="{D5CDD505-2E9C-101B-9397-08002B2CF9AE}" pid="7" name="MSIP_Label_5d8abea6-f7bf-4d7f-aa7c-07b94d6e5785_Name">
    <vt:lpwstr>Cualquiera</vt:lpwstr>
  </property>
  <property fmtid="{D5CDD505-2E9C-101B-9397-08002B2CF9AE}" pid="8" name="MSIP_Label_5d8abea6-f7bf-4d7f-aa7c-07b94d6e5785_SiteId">
    <vt:lpwstr>bf1ce8b5-5d39-4bc5-ad6e-07b3e4d7d67a</vt:lpwstr>
  </property>
  <property fmtid="{D5CDD505-2E9C-101B-9397-08002B2CF9AE}" pid="9" name="MSIP_Label_5d8abea6-f7bf-4d7f-aa7c-07b94d6e5785_ActionId">
    <vt:lpwstr>8d78f8c1-41ed-414b-b32f-b9f5a8a0faf2</vt:lpwstr>
  </property>
  <property fmtid="{D5CDD505-2E9C-101B-9397-08002B2CF9AE}" pid="10" name="MSIP_Label_5d8abea6-f7bf-4d7f-aa7c-07b94d6e5785_ContentBits">
    <vt:lpwstr>0</vt:lpwstr>
  </property>
</Properties>
</file>